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Specialist Agent Record Template</w:t>
      </w:r>
    </w:p>
    <w:p>
      <w:pPr>
        <w:jc w:val="center"/>
      </w:pPr>
      <w:r>
        <w:t>MASY1-GC 1800 | Assignments 2-8</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rPr>
                <w:sz w:val="20"/>
              </w:rP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rPr>
        <w:tc>
          <w:tcPr>
            <w:tcW w:type="dxa" w:w="5227"/>
            <w:tcMar>
              <w:top w:w="70" w:type="dxa"/>
              <w:start w:w="90" w:type="dxa"/>
              <w:bottom w:w="70" w:type="dxa"/>
              <w:end w:w="90" w:type="dxa"/>
            </w:tcMar>
            <w:vAlign w:val="top"/>
            <w:shd w:fill="57068C"/>
          </w:tcPr>
          <w:p>
            <w:pPr>
              <w:spacing w:after="100"/>
            </w:pPr>
            <w:r>
              <w:rPr>
                <w:b/>
                <w:color w:val="FFFFFF"/>
                <w:sz w:val="20"/>
              </w:rPr>
              <w:t>Field</w:t>
            </w:r>
          </w:p>
        </w:tc>
        <w:tc>
          <w:tcPr>
            <w:tcW w:type="dxa" w:w="5227"/>
            <w:tcMar>
              <w:top w:w="70" w:type="dxa"/>
              <w:start w:w="90" w:type="dxa"/>
              <w:bottom w:w="70" w:type="dxa"/>
              <w:end w:w="90" w:type="dxa"/>
            </w:tcMar>
            <w:vAlign w:val="top"/>
            <w:shd w:fill="57068C"/>
          </w:tcPr>
          <w:p>
            <w:pPr>
              <w:spacing w:after="100"/>
            </w:pPr>
            <w:r>
              <w:rPr>
                <w:b/>
                <w:color w:val="FFFFFF"/>
                <w:sz w:val="20"/>
              </w:rPr>
              <w:t>Student record</w:t>
            </w:r>
          </w:p>
        </w:tc>
      </w:tr>
      <w:tr>
        <w:trPr>
          <w:cantSplit/>
        </w:trPr>
        <w:tc>
          <w:tcPr>
            <w:tcW w:type="dxa" w:w="5227"/>
            <w:tcMar>
              <w:top w:w="70" w:type="dxa"/>
              <w:start w:w="90" w:type="dxa"/>
              <w:bottom w:w="70" w:type="dxa"/>
              <w:end w:w="90" w:type="dxa"/>
            </w:tcMar>
            <w:vAlign w:val="top"/>
          </w:tcPr>
          <w:p>
            <w:pPr>
              <w:spacing w:after="100"/>
            </w:pPr>
            <w:r>
              <w:rPr>
                <w:sz w:val="20"/>
              </w:rPr>
              <w:t>Student / team</w:t>
            </w:r>
          </w:p>
        </w:tc>
        <w:tc>
          <w:tcPr>
            <w:tcW w:type="dxa" w:w="5227"/>
            <w:tcMar>
              <w:top w:w="70" w:type="dxa"/>
              <w:start w:w="90" w:type="dxa"/>
              <w:bottom w:w="70" w:type="dxa"/>
              <w:end w:w="90" w:type="dxa"/>
            </w:tcMar>
            <w:vAlign w:val="top"/>
          </w:tcPr>
          <w:p>
            <w:pPr>
              <w:spacing w:after="100"/>
            </w:pPr>
            <w:r>
              <w:rPr>
                <w:sz w:val="20"/>
              </w:rPr>
              <w:t>Yulia Anisimova | Emerging Technologies, Section 103. Individual candidate for later team consideration.</w:t>
            </w:r>
          </w:p>
        </w:tc>
      </w:tr>
      <w:tr>
        <w:trPr>
          <w:cantSplit/>
        </w:trPr>
        <w:tc>
          <w:tcPr>
            <w:tcW w:type="dxa" w:w="5227"/>
            <w:tcMar>
              <w:top w:w="70" w:type="dxa"/>
              <w:start w:w="90" w:type="dxa"/>
              <w:bottom w:w="70" w:type="dxa"/>
              <w:end w:w="90" w:type="dxa"/>
            </w:tcMar>
            <w:vAlign w:val="top"/>
          </w:tcPr>
          <w:p>
            <w:pPr>
              <w:spacing w:after="100"/>
            </w:pPr>
            <w:r>
              <w:rPr>
                <w:sz w:val="20"/>
              </w:rPr>
              <w:t>Assignment / specialist agent</w:t>
            </w:r>
          </w:p>
        </w:tc>
        <w:tc>
          <w:tcPr>
            <w:tcW w:type="dxa" w:w="5227"/>
            <w:tcMar>
              <w:top w:w="70" w:type="dxa"/>
              <w:start w:w="90" w:type="dxa"/>
              <w:bottom w:w="70" w:type="dxa"/>
              <w:end w:w="90" w:type="dxa"/>
            </w:tcMar>
            <w:vAlign w:val="top"/>
          </w:tcPr>
          <w:p>
            <w:r>
              <w:rPr>
                <w:sz w:val="20"/>
              </w:rPr>
              <w:t>Assignment 2 — Emerging Technology Creation Agent: Historical Risk Lens, version 2.0-student</w:t>
            </w:r>
          </w:p>
        </w:tc>
      </w:tr>
      <w:tr>
        <w:trPr>
          <w:cantSplit/>
        </w:trPr>
        <w:tc>
          <w:tcPr>
            <w:tcW w:type="dxa" w:w="5227"/>
            <w:tcMar>
              <w:top w:w="70" w:type="dxa"/>
              <w:start w:w="90" w:type="dxa"/>
              <w:bottom w:w="70" w:type="dxa"/>
              <w:end w:w="90" w:type="dxa"/>
            </w:tcMar>
            <w:vAlign w:val="top"/>
          </w:tcPr>
          <w:p>
            <w:pPr>
              <w:spacing w:after="100"/>
            </w:pPr>
            <w:r>
              <w:rPr>
                <w:sz w:val="20"/>
              </w:rPr>
              <w:t>Date</w:t>
            </w:r>
          </w:p>
        </w:tc>
        <w:tc>
          <w:tcPr>
            <w:tcW w:type="dxa" w:w="5227"/>
            <w:tcMar>
              <w:top w:w="70" w:type="dxa"/>
              <w:start w:w="90" w:type="dxa"/>
              <w:bottom w:w="70" w:type="dxa"/>
              <w:end w:w="90" w:type="dxa"/>
            </w:tcMar>
            <w:vAlign w:val="top"/>
          </w:tcPr>
          <w:p>
            <w:r>
              <w:rPr>
                <w:sz w:val="20"/>
              </w:rPr>
              <w:t>October 6, 2026</w:t>
            </w:r>
          </w:p>
        </w:tc>
      </w:tr>
      <w:tr>
        <w:trPr>
          <w:cantSplit/>
        </w:trPr>
        <w:tc>
          <w:tcPr>
            <w:tcW w:type="dxa" w:w="5227"/>
            <w:tcMar>
              <w:top w:w="70" w:type="dxa"/>
              <w:start w:w="90" w:type="dxa"/>
              <w:bottom w:w="70" w:type="dxa"/>
              <w:end w:w="90" w:type="dxa"/>
            </w:tcMar>
            <w:vAlign w:val="top"/>
          </w:tcPr>
          <w:p>
            <w:pPr>
              <w:spacing w:after="100"/>
            </w:pPr>
            <w:r>
              <w:rPr>
                <w:sz w:val="20"/>
              </w:rPr>
              <w:t>GitHub repository</w:t>
            </w:r>
          </w:p>
        </w:tc>
        <w:tc>
          <w:tcPr>
            <w:tcW w:type="dxa" w:w="5227"/>
            <w:tcMar>
              <w:top w:w="70" w:type="dxa"/>
              <w:start w:w="90" w:type="dxa"/>
              <w:bottom w:w="70" w:type="dxa"/>
              <w:end w:w="90" w:type="dxa"/>
            </w:tcMar>
            <w:vAlign w:val="top"/>
          </w:tcPr>
          <w:p>
            <w:pPr>
              <w:spacing w:after="100"/>
            </w:pPr>
            <w:r>
              <w:rPr>
                <w:sz w:val="20"/>
              </w:rPr>
              <w:t>Pending publication to the student working repository. Milk-Almond/Teamwork2 is the supplied team practice reference, not evidence this agent was uploaded.</w:t>
            </w:r>
          </w:p>
        </w:tc>
      </w:tr>
      <w:tr>
        <w:trPr>
          <w:cantSplit/>
        </w:trPr>
        <w:tc>
          <w:tcPr>
            <w:tcW w:type="dxa" w:w="5227"/>
            <w:tcMar>
              <w:top w:w="70" w:type="dxa"/>
              <w:start w:w="90" w:type="dxa"/>
              <w:bottom w:w="70" w:type="dxa"/>
              <w:end w:w="90" w:type="dxa"/>
            </w:tcMar>
            <w:vAlign w:val="top"/>
          </w:tcPr>
          <w:p>
            <w:pPr>
              <w:spacing w:after="100"/>
            </w:pPr>
            <w:r>
              <w:rPr>
                <w:sz w:val="20"/>
              </w:rPr>
              <w:t>Branch</w:t>
            </w:r>
          </w:p>
        </w:tc>
        <w:tc>
          <w:tcPr>
            <w:tcW w:type="dxa" w:w="5227"/>
            <w:tcMar>
              <w:top w:w="70" w:type="dxa"/>
              <w:start w:w="90" w:type="dxa"/>
              <w:bottom w:w="70" w:type="dxa"/>
              <w:end w:w="90" w:type="dxa"/>
            </w:tcMar>
            <w:vAlign w:val="top"/>
          </w:tcPr>
          <w:p>
            <w:pPr>
              <w:spacing w:after="100"/>
            </w:pPr>
            <w:r>
              <w:rPr>
                <w:sz w:val="20"/>
              </w:rPr>
              <w:t>assignment-2-creation-agent (local branch)</w:t>
            </w:r>
          </w:p>
        </w:tc>
      </w:tr>
      <w:tr>
        <w:trPr>
          <w:cantSplit/>
        </w:trPr>
        <w:tc>
          <w:tcPr>
            <w:tcW w:type="dxa" w:w="5227"/>
            <w:tcMar>
              <w:top w:w="70" w:type="dxa"/>
              <w:start w:w="90" w:type="dxa"/>
              <w:bottom w:w="70" w:type="dxa"/>
              <w:end w:w="90" w:type="dxa"/>
            </w:tcMar>
            <w:vAlign w:val="top"/>
          </w:tcPr>
          <w:p>
            <w:pPr>
              <w:spacing w:after="100"/>
            </w:pPr>
            <w:r>
              <w:rPr>
                <w:sz w:val="20"/>
              </w:rPr>
              <w:t>Commit</w:t>
            </w:r>
          </w:p>
        </w:tc>
        <w:tc>
          <w:tcPr>
            <w:tcW w:type="dxa" w:w="5227"/>
            <w:tcMar>
              <w:top w:w="70" w:type="dxa"/>
              <w:start w:w="90" w:type="dxa"/>
              <w:bottom w:w="70" w:type="dxa"/>
              <w:end w:w="90" w:type="dxa"/>
            </w:tcMar>
            <w:vAlign w:val="top"/>
          </w:tcPr>
          <w:p>
            <w:r>
              <w:rPr>
                <w:sz w:val="20"/>
              </w:rPr>
              <w:t>bfed1c29fbabda9afc1c05459028e201292ed12f (local implementation/test checkpoint; not published to GitHub)</w:t>
            </w:r>
          </w:p>
        </w:tc>
      </w:tr>
      <w:tr>
        <w:trPr>
          <w:cantSplit/>
        </w:trPr>
        <w:tc>
          <w:tcPr>
            <w:tcW w:type="dxa" w:w="5227"/>
            <w:tcMar>
              <w:top w:w="70" w:type="dxa"/>
              <w:start w:w="90" w:type="dxa"/>
              <w:bottom w:w="70" w:type="dxa"/>
              <w:end w:w="90" w:type="dxa"/>
            </w:tcMar>
            <w:vAlign w:val="top"/>
          </w:tcPr>
          <w:p>
            <w:pPr>
              <w:spacing w:after="100"/>
            </w:pPr>
            <w:r>
              <w:rPr>
                <w:sz w:val="20"/>
              </w:rPr>
              <w:t>Frozen scaffold version</w:t>
            </w:r>
          </w:p>
        </w:tc>
        <w:tc>
          <w:tcPr>
            <w:tcW w:type="dxa" w:w="5227"/>
            <w:tcMar>
              <w:top w:w="70" w:type="dxa"/>
              <w:start w:w="90" w:type="dxa"/>
              <w:bottom w:w="70" w:type="dxa"/>
              <w:end w:w="90" w:type="dxa"/>
            </w:tcMar>
            <w:vAlign w:val="top"/>
          </w:tcPr>
          <w:p>
            <w:pPr>
              <w:spacing w:after="100"/>
            </w:pPr>
            <w:r>
              <w:rPr>
                <w:sz w:val="20"/>
              </w:rPr>
              <w:t>MASY1800_ET_Agent_Scaffold_v1_0. Seven frozen files verified intact; supplied working subset, not complete original ZIP.</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rPr>
        <w:tc>
          <w:tcPr>
            <w:tcW w:type="dxa" w:w="5227"/>
            <w:tcMar>
              <w:top w:w="70" w:type="dxa"/>
              <w:start w:w="90" w:type="dxa"/>
              <w:bottom w:w="70" w:type="dxa"/>
              <w:end w:w="90" w:type="dxa"/>
            </w:tcMar>
            <w:vAlign w:val="top"/>
            <w:shd w:fill="57068C"/>
          </w:tcPr>
          <w:p>
            <w:pPr>
              <w:spacing w:after="100"/>
            </w:pPr>
            <w:r>
              <w:rPr>
                <w:b/>
                <w:color w:val="FFFFFF"/>
                <w:sz w:val="20"/>
              </w:rPr>
              <w:t>Field</w:t>
            </w:r>
          </w:p>
        </w:tc>
        <w:tc>
          <w:tcPr>
            <w:tcW w:type="dxa" w:w="5227"/>
            <w:tcMar>
              <w:top w:w="70" w:type="dxa"/>
              <w:start w:w="90" w:type="dxa"/>
              <w:bottom w:w="70" w:type="dxa"/>
              <w:end w:w="90" w:type="dxa"/>
            </w:tcMar>
            <w:vAlign w:val="top"/>
            <w:shd w:fill="57068C"/>
          </w:tcPr>
          <w:p>
            <w:pPr>
              <w:spacing w:after="100"/>
            </w:pPr>
            <w:r>
              <w:rPr>
                <w:b/>
                <w:color w:val="FFFFFF"/>
                <w:sz w:val="20"/>
              </w:rPr>
              <w:t>Student record</w:t>
            </w:r>
          </w:p>
        </w:tc>
      </w:tr>
      <w:tr>
        <w:trPr>
          <w:cantSplit/>
        </w:trPr>
        <w:tc>
          <w:tcPr>
            <w:tcW w:type="dxa" w:w="5227"/>
            <w:tcMar>
              <w:top w:w="70" w:type="dxa"/>
              <w:start w:w="90" w:type="dxa"/>
              <w:bottom w:w="70" w:type="dxa"/>
              <w:end w:w="90" w:type="dxa"/>
            </w:tcMar>
            <w:vAlign w:val="top"/>
          </w:tcPr>
          <w:p>
            <w:pPr>
              <w:spacing w:after="100"/>
            </w:pPr>
            <w:r>
              <w:rPr>
                <w:sz w:val="20"/>
              </w:rPr>
              <w:t>Governing analytical question</w:t>
            </w:r>
          </w:p>
        </w:tc>
        <w:tc>
          <w:tcPr>
            <w:tcW w:type="dxa" w:w="5227"/>
            <w:tcMar>
              <w:top w:w="70" w:type="dxa"/>
              <w:start w:w="90" w:type="dxa"/>
              <w:bottom w:w="70" w:type="dxa"/>
              <w:end w:w="90" w:type="dxa"/>
            </w:tcMar>
            <w:vAlign w:val="top"/>
          </w:tcPr>
          <w:p>
            <w:r>
              <w:rPr>
                <w:sz w:val="20"/>
              </w:rPr>
              <w:t>How did the technology arise, and which inherited capabilities or historically demonstrated limitations create red flags for this implementation?</w:t>
            </w:r>
          </w:p>
        </w:tc>
      </w:tr>
      <w:tr>
        <w:trPr>
          <w:cantSplit/>
        </w:trPr>
        <w:tc>
          <w:tcPr>
            <w:tcW w:type="dxa" w:w="5227"/>
            <w:tcMar>
              <w:top w:w="70" w:type="dxa"/>
              <w:start w:w="90" w:type="dxa"/>
              <w:bottom w:w="70" w:type="dxa"/>
              <w:end w:w="90" w:type="dxa"/>
            </w:tcMar>
            <w:vAlign w:val="top"/>
          </w:tcPr>
          <w:p>
            <w:pPr>
              <w:spacing w:after="100"/>
            </w:pPr>
            <w:r>
              <w:rPr>
                <w:sz w:val="20"/>
              </w:rPr>
              <w:t>Emerging technology</w:t>
            </w:r>
          </w:p>
        </w:tc>
        <w:tc>
          <w:tcPr>
            <w:tcW w:type="dxa" w:w="5227"/>
            <w:tcMar>
              <w:top w:w="70" w:type="dxa"/>
              <w:start w:w="90" w:type="dxa"/>
              <w:bottom w:w="70" w:type="dxa"/>
              <w:end w:w="90" w:type="dxa"/>
            </w:tcMar>
            <w:vAlign w:val="top"/>
          </w:tcPr>
          <w:p>
            <w:pPr>
              <w:spacing w:after="100"/>
            </w:pPr>
            <w:r>
              <w:rPr>
                <w:sz w:val="20"/>
              </w:rPr>
              <w:t>Instruction-tuned, transformer-based large language models (LLMs).</w:t>
            </w:r>
          </w:p>
        </w:tc>
      </w:tr>
      <w:tr>
        <w:trPr>
          <w:cantSplit/>
        </w:trPr>
        <w:tc>
          <w:tcPr>
            <w:tcW w:type="dxa" w:w="5227"/>
            <w:tcMar>
              <w:top w:w="70" w:type="dxa"/>
              <w:start w:w="90" w:type="dxa"/>
              <w:bottom w:w="70" w:type="dxa"/>
              <w:end w:w="90" w:type="dxa"/>
            </w:tcMar>
            <w:vAlign w:val="top"/>
          </w:tcPr>
          <w:p>
            <w:pPr>
              <w:spacing w:after="100"/>
            </w:pPr>
            <w:r>
              <w:rPr>
                <w:sz w:val="20"/>
              </w:rPr>
              <w:t>Intended application</w:t>
            </w:r>
          </w:p>
        </w:tc>
        <w:tc>
          <w:tcPr>
            <w:tcW w:type="dxa" w:w="5227"/>
            <w:tcMar>
              <w:top w:w="70" w:type="dxa"/>
              <w:start w:w="90" w:type="dxa"/>
              <w:bottom w:w="70" w:type="dxa"/>
              <w:end w:w="90" w:type="dxa"/>
            </w:tcMar>
            <w:vAlign w:val="top"/>
          </w:tcPr>
          <w:p>
            <w:r>
              <w:rPr>
                <w:sz w:val="20"/>
              </w:rPr>
              <w:t>LLM summaries at a consulting firm. Primary: analyst-reviewed public reports. Contrast: confidential client documents, shared retrieval and direct client delivery.</w:t>
            </w:r>
          </w:p>
        </w:tc>
      </w:tr>
      <w:tr>
        <w:trPr>
          <w:cantSplit/>
        </w:trPr>
        <w:tc>
          <w:tcPr>
            <w:tcW w:type="dxa" w:w="5227"/>
            <w:tcMar>
              <w:top w:w="70" w:type="dxa"/>
              <w:start w:w="90" w:type="dxa"/>
              <w:bottom w:w="70" w:type="dxa"/>
              <w:end w:w="90" w:type="dxa"/>
            </w:tcMar>
            <w:vAlign w:val="top"/>
          </w:tcPr>
          <w:p>
            <w:pPr>
              <w:spacing w:after="100"/>
            </w:pPr>
            <w:r>
              <w:rPr>
                <w:sz w:val="20"/>
              </w:rPr>
              <w:t>Organization / industry</w:t>
            </w:r>
          </w:p>
        </w:tc>
        <w:tc>
          <w:tcPr>
            <w:tcW w:type="dxa" w:w="5227"/>
            <w:tcMar>
              <w:top w:w="70" w:type="dxa"/>
              <w:start w:w="90" w:type="dxa"/>
              <w:bottom w:w="70" w:type="dxa"/>
              <w:end w:w="90" w:type="dxa"/>
            </w:tcMar>
            <w:vAlign w:val="top"/>
          </w:tcPr>
          <w:p>
            <w:r>
              <w:rPr>
                <w:sz w:val="20"/>
              </w:rPr>
              <w:t>The same hypothetical small analytical consulting firm in both cases; professional services / business analytics.</w:t>
            </w:r>
          </w:p>
        </w:tc>
      </w:tr>
      <w:tr>
        <w:trPr>
          <w:cantSplit/>
        </w:trPr>
        <w:tc>
          <w:tcPr>
            <w:tcW w:type="dxa" w:w="5227"/>
            <w:tcMar>
              <w:top w:w="70" w:type="dxa"/>
              <w:start w:w="90" w:type="dxa"/>
              <w:bottom w:w="70" w:type="dxa"/>
              <w:end w:w="90" w:type="dxa"/>
            </w:tcMar>
            <w:vAlign w:val="top"/>
          </w:tcPr>
          <w:p>
            <w:pPr>
              <w:spacing w:after="100"/>
            </w:pPr>
            <w:r>
              <w:rPr>
                <w:sz w:val="20"/>
              </w:rPr>
              <w:t>Adoption posture</w:t>
            </w:r>
          </w:p>
        </w:tc>
        <w:tc>
          <w:tcPr>
            <w:tcW w:type="dxa" w:w="5227"/>
            <w:tcMar>
              <w:top w:w="70" w:type="dxa"/>
              <w:start w:w="90" w:type="dxa"/>
              <w:bottom w:w="70" w:type="dxa"/>
              <w:end w:w="90" w:type="dxa"/>
            </w:tcMar>
            <w:vAlign w:val="top"/>
          </w:tcPr>
          <w:p>
            <w:r>
              <w:rPr>
                <w:sz w:val="20"/>
              </w:rPr>
              <w:t>Primary: moderate / fast follower. Contrast: aggressive / leading edge; evidence stays stable.</w:t>
            </w:r>
          </w:p>
        </w:tc>
      </w:tr>
      <w:tr>
        <w:trPr>
          <w:cantSplit/>
        </w:trPr>
        <w:tc>
          <w:tcPr>
            <w:tcW w:type="dxa" w:w="5227"/>
            <w:tcMar>
              <w:top w:w="70" w:type="dxa"/>
              <w:start w:w="90" w:type="dxa"/>
              <w:bottom w:w="70" w:type="dxa"/>
              <w:end w:w="90" w:type="dxa"/>
            </w:tcMar>
            <w:vAlign w:val="top"/>
          </w:tcPr>
          <w:p>
            <w:pPr>
              <w:spacing w:after="100"/>
            </w:pPr>
            <w:r>
              <w:rPr>
                <w:sz w:val="20"/>
              </w:rPr>
              <w:t>Risk / consequence context</w:t>
            </w:r>
          </w:p>
        </w:tc>
        <w:tc>
          <w:tcPr>
            <w:tcW w:type="dxa" w:w="5227"/>
            <w:tcMar>
              <w:top w:w="70" w:type="dxa"/>
              <w:start w:w="90" w:type="dxa"/>
              <w:bottom w:w="70" w:type="dxa"/>
              <w:end w:w="90" w:type="dxa"/>
            </w:tcMar>
            <w:vAlign w:val="top"/>
          </w:tcPr>
          <w:p>
            <w:r>
              <w:rPr>
                <w:sz w:val="20"/>
              </w:rPr>
              <w:t>Accuracy and misleading output; privacy/confidentiality; indirect prompt injection; retrieval and delivery permissions. No physical actuation is specified.</w:t>
            </w:r>
          </w:p>
        </w:tc>
      </w:tr>
      <w:tr>
        <w:trPr>
          <w:cantSplit/>
        </w:trPr>
        <w:tc>
          <w:tcPr>
            <w:tcW w:type="dxa" w:w="5227"/>
            <w:tcMar>
              <w:top w:w="70" w:type="dxa"/>
              <w:start w:w="90" w:type="dxa"/>
              <w:bottom w:w="70" w:type="dxa"/>
              <w:end w:w="90" w:type="dxa"/>
            </w:tcMar>
            <w:vAlign w:val="top"/>
          </w:tcPr>
          <w:p>
            <w:pPr>
              <w:spacing w:after="100"/>
            </w:pPr>
            <w:r>
              <w:rPr>
                <w:sz w:val="20"/>
              </w:rPr>
              <w:t>Management question / time horizon</w:t>
            </w:r>
          </w:p>
        </w:tc>
        <w:tc>
          <w:tcPr>
            <w:tcW w:type="dxa" w:w="5227"/>
            <w:tcMar>
              <w:top w:w="70" w:type="dxa"/>
              <w:start w:w="90" w:type="dxa"/>
              <w:bottom w:w="70" w:type="dxa"/>
              <w:end w:w="90" w:type="dxa"/>
            </w:tcMar>
            <w:vAlign w:val="top"/>
          </w:tcPr>
          <w:p>
            <w:r>
              <w:rPr>
                <w:sz w:val="20"/>
              </w:rPr>
              <w:t>Which historically grounded red flags should management investigate before a six-week evaluation? Does confidential automated delivery change the implication?</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rPr>
        <w:tc>
          <w:tcPr>
            <w:tcW w:type="dxa" w:w="5227"/>
            <w:tcMar>
              <w:top w:w="70" w:type="dxa"/>
              <w:start w:w="90" w:type="dxa"/>
              <w:bottom w:w="70" w:type="dxa"/>
              <w:end w:w="90" w:type="dxa"/>
            </w:tcMar>
            <w:vAlign w:val="top"/>
            <w:shd w:fill="57068C"/>
          </w:tcPr>
          <w:p>
            <w:pPr>
              <w:spacing w:after="100"/>
            </w:pPr>
            <w:r>
              <w:rPr>
                <w:b/>
                <w:color w:val="FFFFFF"/>
                <w:sz w:val="20"/>
              </w:rPr>
              <w:t>Field</w:t>
            </w:r>
          </w:p>
        </w:tc>
        <w:tc>
          <w:tcPr>
            <w:tcW w:type="dxa" w:w="5227"/>
            <w:tcMar>
              <w:top w:w="70" w:type="dxa"/>
              <w:start w:w="90" w:type="dxa"/>
              <w:bottom w:w="70" w:type="dxa"/>
              <w:end w:w="90" w:type="dxa"/>
            </w:tcMar>
            <w:vAlign w:val="top"/>
            <w:shd w:fill="57068C"/>
          </w:tcPr>
          <w:p>
            <w:pPr>
              <w:spacing w:after="100"/>
            </w:pPr>
            <w:r>
              <w:rPr>
                <w:b/>
                <w:color w:val="FFFFFF"/>
                <w:sz w:val="20"/>
              </w:rPr>
              <w:t>Student record</w:t>
            </w:r>
          </w:p>
        </w:tc>
      </w:tr>
      <w:tr>
        <w:trPr>
          <w:cantSplit/>
        </w:trPr>
        <w:tc>
          <w:tcPr>
            <w:tcW w:type="dxa" w:w="5227"/>
            <w:tcMar>
              <w:top w:w="70" w:type="dxa"/>
              <w:start w:w="90" w:type="dxa"/>
              <w:bottom w:w="70" w:type="dxa"/>
              <w:end w:w="90" w:type="dxa"/>
            </w:tcMar>
            <w:vAlign w:val="top"/>
          </w:tcPr>
          <w:p>
            <w:pPr>
              <w:spacing w:after="100"/>
            </w:pPr>
            <w:r>
              <w:rPr>
                <w:sz w:val="20"/>
              </w:rPr>
              <w:t>ET generally</w:t>
            </w:r>
          </w:p>
        </w:tc>
        <w:tc>
          <w:tcPr>
            <w:tcW w:type="dxa" w:w="5227"/>
            <w:tcMar>
              <w:top w:w="70" w:type="dxa"/>
              <w:start w:w="90" w:type="dxa"/>
              <w:bottom w:w="70" w:type="dxa"/>
              <w:end w:w="90" w:type="dxa"/>
            </w:tcMar>
            <w:vAlign w:val="top"/>
          </w:tcPr>
          <w:p>
            <w:r>
              <w:rPr>
                <w:sz w:val="20"/>
              </w:rPr>
              <w:t>The original creation lineage remains central: attention architecture, large-scale pretraining/task reuse and instruction tuning [1–3]. Historical work adds mechanisms worth investigating: training-data extraction and indirect prompt injection [4–5]. This does not establish current vendor behavior.</w:t>
            </w:r>
          </w:p>
        </w:tc>
      </w:tr>
      <w:tr>
        <w:trPr>
          <w:cantSplit/>
        </w:trPr>
        <w:tc>
          <w:tcPr>
            <w:tcW w:type="dxa" w:w="5227"/>
            <w:tcMar>
              <w:top w:w="70" w:type="dxa"/>
              <w:start w:w="90" w:type="dxa"/>
              <w:bottom w:w="70" w:type="dxa"/>
              <w:end w:w="90" w:type="dxa"/>
            </w:tcMar>
            <w:vAlign w:val="top"/>
          </w:tcPr>
          <w:p>
            <w:pPr>
              <w:spacing w:after="100"/>
            </w:pPr>
            <w:r>
              <w:rPr>
                <w:sz w:val="20"/>
              </w:rPr>
              <w:t>ET for this application</w:t>
            </w:r>
          </w:p>
        </w:tc>
        <w:tc>
          <w:tcPr>
            <w:tcW w:type="dxa" w:w="5227"/>
            <w:tcMar>
              <w:top w:w="70" w:type="dxa"/>
              <w:start w:w="90" w:type="dxa"/>
              <w:bottom w:w="70" w:type="dxa"/>
              <w:end w:w="90" w:type="dxa"/>
            </w:tcMar>
            <w:vAlign w:val="top"/>
          </w:tcPr>
          <w:p>
            <w:r>
              <w:rPr>
                <w:sz w:val="20"/>
              </w:rPr>
              <w:t>Inference: instruction-following supports controllable drafting, but fluency is not proof of source fidelity. Documents can contain untrusted instructions. A text-only summarizer has no stated physical actuation pathway; its safety concern here is misleading decisions, not an asserted physical hazard.</w:t>
            </w:r>
          </w:p>
        </w:tc>
      </w:tr>
      <w:tr>
        <w:trPr>
          <w:cantSplit/>
        </w:trPr>
        <w:tc>
          <w:tcPr>
            <w:tcW w:type="dxa" w:w="5227"/>
            <w:tcMar>
              <w:top w:w="70" w:type="dxa"/>
              <w:start w:w="90" w:type="dxa"/>
              <w:bottom w:w="70" w:type="dxa"/>
              <w:end w:w="90" w:type="dxa"/>
            </w:tcMar>
            <w:vAlign w:val="top"/>
          </w:tcPr>
          <w:p>
            <w:pPr>
              <w:spacing w:after="100"/>
            </w:pPr>
            <w:r>
              <w:rPr>
                <w:sz w:val="20"/>
              </w:rPr>
              <w:t>ET for this application in this organization</w:t>
            </w:r>
          </w:p>
        </w:tc>
        <w:tc>
          <w:tcPr>
            <w:tcW w:type="dxa" w:w="5227"/>
            <w:tcMar>
              <w:top w:w="70" w:type="dxa"/>
              <w:start w:w="90" w:type="dxa"/>
              <w:bottom w:w="70" w:type="dxa"/>
              <w:end w:w="90" w:type="dxa"/>
            </w:tcMar>
            <w:vAlign w:val="top"/>
          </w:tcPr>
          <w:p>
            <w:r>
              <w:rPr>
                <w:sz w:val="20"/>
              </w:rPr>
              <w:t>Inference: public-only inputs reduce exposure of nonpublic client information. Two analysts and required review provide a checking opportunity, but review capacity is unmeasured. With no connectors, direct automated sending or system changes are outside the stated design. Public reports may still contain personal information; public availability does not establish suitability for every subsequent use.</w:t>
            </w:r>
          </w:p>
        </w:tc>
      </w:tr>
      <w:tr>
        <w:trPr>
          <w:cantSplit/>
        </w:trPr>
        <w:tc>
          <w:tcPr>
            <w:tcW w:type="dxa" w:w="5227"/>
            <w:tcMar>
              <w:top w:w="70" w:type="dxa"/>
              <w:start w:w="90" w:type="dxa"/>
              <w:bottom w:w="70" w:type="dxa"/>
              <w:end w:w="90" w:type="dxa"/>
            </w:tcMar>
            <w:vAlign w:val="top"/>
          </w:tcPr>
          <w:p>
            <w:pPr>
              <w:spacing w:after="100"/>
            </w:pPr>
            <w:r>
              <w:rPr>
                <w:sz w:val="20"/>
              </w:rPr>
              <w:t>Bounded management implication</w:t>
            </w:r>
          </w:p>
        </w:tc>
        <w:tc>
          <w:tcPr>
            <w:tcW w:type="dxa" w:w="5227"/>
            <w:tcMar>
              <w:top w:w="70" w:type="dxa"/>
              <w:start w:w="90" w:type="dxa"/>
              <w:bottom w:w="70" w:type="dxa"/>
              <w:end w:w="90" w:type="dxa"/>
            </w:tcMar>
            <w:vAlign w:val="top"/>
          </w:tcPr>
          <w:p>
            <w:r>
              <w:rPr>
                <w:sz w:val="20"/>
              </w:rPr>
              <w:t>Primary: consider public-data, draft-only evaluation with source checking. Contrast: resolve data handling, client isolation and approval gaps before evaluating confidential automated delivery. Refer final assurance to security/privacy and readiness reviewers.</w:t>
            </w:r>
          </w:p>
        </w:tc>
      </w:tr>
      <w:tr>
        <w:trPr>
          <w:cantSplit/>
        </w:trPr>
        <w:tc>
          <w:tcPr>
            <w:tcW w:type="dxa" w:w="5227"/>
            <w:tcMar>
              <w:top w:w="70" w:type="dxa"/>
              <w:start w:w="90" w:type="dxa"/>
              <w:bottom w:w="70" w:type="dxa"/>
              <w:end w:w="90" w:type="dxa"/>
            </w:tcMar>
            <w:vAlign w:val="top"/>
          </w:tcPr>
          <w:p>
            <w:pPr>
              <w:spacing w:after="100"/>
            </w:pPr>
            <w:r>
              <w:rPr>
                <w:sz w:val="20"/>
              </w:rPr>
              <w:t>Confidence / uncertainty</w:t>
            </w:r>
          </w:p>
        </w:tc>
        <w:tc>
          <w:tcPr>
            <w:tcW w:type="dxa" w:w="5227"/>
            <w:tcMar>
              <w:top w:w="70" w:type="dxa"/>
              <w:start w:w="90" w:type="dxa"/>
              <w:bottom w:w="70" w:type="dxa"/>
              <w:end w:w="90" w:type="dxa"/>
            </w:tcMar>
            <w:vAlign w:val="top"/>
          </w:tcPr>
          <w:p>
            <w:r>
              <w:rPr>
                <w:sz w:val="20"/>
              </w:rPr>
              <w:t>High confidence that the cited historical demonstrations were reported; moderate confidence in the inferred exposure pathways; current exploitability and control effectiveness are unknown. Priorities are qualitative, not probability estimates.</w:t>
            </w:r>
          </w:p>
        </w:tc>
      </w:tr>
      <w:tr>
        <w:trPr>
          <w:cantSplit/>
        </w:trPr>
        <w:tc>
          <w:tcPr>
            <w:tcW w:type="dxa" w:w="5227"/>
            <w:tcMar>
              <w:top w:w="70" w:type="dxa"/>
              <w:start w:w="90" w:type="dxa"/>
              <w:bottom w:w="70" w:type="dxa"/>
              <w:end w:w="90" w:type="dxa"/>
            </w:tcMar>
            <w:vAlign w:val="top"/>
          </w:tcPr>
          <w:p>
            <w:pPr>
              <w:spacing w:after="100"/>
            </w:pPr>
            <w:r>
              <w:rPr>
                <w:sz w:val="20"/>
              </w:rPr>
              <w:t>What evidence or condition would change the conclusion</w:t>
            </w:r>
          </w:p>
        </w:tc>
        <w:tc>
          <w:tcPr>
            <w:tcW w:type="dxa" w:w="5227"/>
            <w:tcMar>
              <w:top w:w="70" w:type="dxa"/>
              <w:start w:w="90" w:type="dxa"/>
              <w:bottom w:w="70" w:type="dxa"/>
              <w:end w:w="90" w:type="dxa"/>
            </w:tcMar>
            <w:vAlign w:val="top"/>
          </w:tcPr>
          <w:p>
            <w:r>
              <w:rPr>
                <w:sz w:val="20"/>
              </w:rPr>
              <w:t>Reassess when the exact service/configuration and representative results are supplied, or when confidential inputs, cross-client retrieval or sending permissions enter scope. New historical evidence may revise the mechanism account.</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rPr>
        <w:tc>
          <w:tcPr>
            <w:tcW w:type="dxa" w:w="5227"/>
            <w:tcMar>
              <w:top w:w="70" w:type="dxa"/>
              <w:start w:w="90" w:type="dxa"/>
              <w:bottom w:w="70" w:type="dxa"/>
              <w:end w:w="90" w:type="dxa"/>
            </w:tcMar>
            <w:vAlign w:val="top"/>
            <w:shd w:fill="57068C"/>
          </w:tcPr>
          <w:p>
            <w:pPr>
              <w:spacing w:after="100"/>
            </w:pPr>
            <w:r>
              <w:rPr>
                <w:b/>
                <w:color w:val="FFFFFF"/>
                <w:sz w:val="20"/>
              </w:rPr>
              <w:t>Field</w:t>
            </w:r>
          </w:p>
        </w:tc>
        <w:tc>
          <w:tcPr>
            <w:tcW w:type="dxa" w:w="5227"/>
            <w:tcMar>
              <w:top w:w="70" w:type="dxa"/>
              <w:start w:w="90" w:type="dxa"/>
              <w:bottom w:w="70" w:type="dxa"/>
              <w:end w:w="90" w:type="dxa"/>
            </w:tcMar>
            <w:vAlign w:val="top"/>
            <w:shd w:fill="57068C"/>
          </w:tcPr>
          <w:p>
            <w:pPr>
              <w:spacing w:after="100"/>
            </w:pPr>
            <w:r>
              <w:rPr>
                <w:b/>
                <w:color w:val="FFFFFF"/>
                <w:sz w:val="20"/>
              </w:rPr>
              <w:t>Student record</w:t>
            </w:r>
          </w:p>
        </w:tc>
      </w:tr>
      <w:tr>
        <w:trPr>
          <w:cantSplit/>
        </w:trPr>
        <w:tc>
          <w:tcPr>
            <w:tcW w:type="dxa" w:w="5227"/>
            <w:tcMar>
              <w:top w:w="70" w:type="dxa"/>
              <w:start w:w="90" w:type="dxa"/>
              <w:bottom w:w="70" w:type="dxa"/>
              <w:end w:w="90" w:type="dxa"/>
            </w:tcMar>
            <w:vAlign w:val="top"/>
          </w:tcPr>
          <w:p>
            <w:pPr>
              <w:spacing w:after="100"/>
            </w:pPr>
            <w:r>
              <w:rPr>
                <w:sz w:val="20"/>
              </w:rPr>
              <w:t>Most important evidence/source(s)</w:t>
            </w:r>
          </w:p>
        </w:tc>
        <w:tc>
          <w:tcPr>
            <w:tcW w:type="dxa" w:w="5227"/>
            <w:tcMar>
              <w:top w:w="70" w:type="dxa"/>
              <w:start w:w="90" w:type="dxa"/>
              <w:bottom w:w="70" w:type="dxa"/>
              <w:end w:w="90" w:type="dxa"/>
            </w:tcMar>
            <w:vAlign w:val="top"/>
          </w:tcPr>
          <w:p>
            <w:r>
              <w:rPr>
                <w:sz w:val="20"/>
              </w:rPr>
              <w:t>Five original-paper abstracts and publication histories [1–5], inspected October 6, 2026. Sources 1–3 support creation lineage; sources 4–5 support historical risk mechanisms. Current vendor policies are unknown. Scaffold contracts remain unchanged.</w:t>
            </w:r>
          </w:p>
        </w:tc>
      </w:tr>
      <w:tr>
        <w:trPr>
          <w:cantSplit/>
        </w:trPr>
        <w:tc>
          <w:tcPr>
            <w:tcW w:type="dxa" w:w="5227"/>
            <w:tcMar>
              <w:top w:w="70" w:type="dxa"/>
              <w:start w:w="90" w:type="dxa"/>
              <w:bottom w:w="70" w:type="dxa"/>
              <w:end w:w="90" w:type="dxa"/>
            </w:tcMar>
            <w:vAlign w:val="top"/>
          </w:tcPr>
          <w:p>
            <w:pPr>
              <w:spacing w:after="100"/>
            </w:pPr>
            <w:r>
              <w:rPr>
                <w:sz w:val="20"/>
              </w:rPr>
              <w:t>Primary test - result</w:t>
            </w:r>
          </w:p>
        </w:tc>
        <w:tc>
          <w:tcPr>
            <w:tcW w:type="dxa" w:w="5227"/>
            <w:tcMar>
              <w:top w:w="70" w:type="dxa"/>
              <w:start w:w="90" w:type="dxa"/>
              <w:bottom w:w="70" w:type="dxa"/>
              <w:end w:w="90" w:type="dxa"/>
            </w:tcMar>
            <w:vAlign w:val="top"/>
          </w:tcPr>
          <w:p>
            <w:r>
              <w:rPr>
                <w:sz w:val="20"/>
              </w:rPr>
              <w:t>Current primary response screens fidelity, untrusted source instructions and data-handling unknowns while recognizing reduced exposure from public-only inputs and no connectors. Saved JSON passes both validators.</w:t>
            </w:r>
          </w:p>
        </w:tc>
      </w:tr>
      <w:tr>
        <w:trPr>
          <w:cantSplit/>
        </w:trPr>
        <w:tc>
          <w:tcPr>
            <w:tcW w:type="dxa" w:w="5227"/>
            <w:tcMar>
              <w:top w:w="70" w:type="dxa"/>
              <w:start w:w="90" w:type="dxa"/>
              <w:bottom w:w="70" w:type="dxa"/>
              <w:end w:w="90" w:type="dxa"/>
            </w:tcMar>
            <w:vAlign w:val="top"/>
          </w:tcPr>
          <w:p>
            <w:pPr>
              <w:spacing w:after="100"/>
            </w:pPr>
            <w:r>
              <w:rPr>
                <w:sz w:val="20"/>
              </w:rPr>
              <w:t>Contrast test - what appropriately stayed stable</w:t>
            </w:r>
          </w:p>
        </w:tc>
        <w:tc>
          <w:tcPr>
            <w:tcW w:type="dxa" w:w="5227"/>
            <w:tcMar>
              <w:top w:w="70" w:type="dxa"/>
              <w:start w:w="90" w:type="dxa"/>
              <w:bottom w:w="70" w:type="dxa"/>
              <w:end w:w="90" w:type="dxa"/>
            </w:tcMar>
            <w:vAlign w:val="top"/>
          </w:tcPr>
          <w:p>
            <w:r>
              <w:rPr>
                <w:sz w:val="20"/>
              </w:rPr>
              <w:t>The creation lineage and existence of historical mechanisms remain stable across the same technology and source base; higher stakes do not rewrite history.</w:t>
            </w:r>
          </w:p>
        </w:tc>
      </w:tr>
      <w:tr>
        <w:trPr>
          <w:cantSplit/>
        </w:trPr>
        <w:tc>
          <w:tcPr>
            <w:tcW w:type="dxa" w:w="5227"/>
            <w:tcMar>
              <w:top w:w="70" w:type="dxa"/>
              <w:start w:w="90" w:type="dxa"/>
              <w:bottom w:w="70" w:type="dxa"/>
              <w:end w:w="90" w:type="dxa"/>
            </w:tcMar>
            <w:vAlign w:val="top"/>
          </w:tcPr>
          <w:p>
            <w:pPr>
              <w:spacing w:after="100"/>
            </w:pPr>
            <w:r>
              <w:rPr>
                <w:sz w:val="20"/>
              </w:rPr>
              <w:t>Contrast test - what appropriately changed</w:t>
            </w:r>
          </w:p>
        </w:tc>
        <w:tc>
          <w:tcPr>
            <w:tcW w:type="dxa" w:w="5227"/>
            <w:tcMar>
              <w:top w:w="70" w:type="dxa"/>
              <w:start w:w="90" w:type="dxa"/>
              <w:bottom w:w="70" w:type="dxa"/>
              <w:end w:w="90" w:type="dxa"/>
            </w:tcMar>
            <w:vAlign w:val="top"/>
          </w:tcPr>
          <w:p>
            <w:r>
              <w:rPr>
                <w:sz w:val="20"/>
              </w:rPr>
              <w:t>Confidential inputs, cross-client retrieval and unreviewed delivery produce different exposure pathways and stronger information requirements. The privacy-boundary test rejects the claim that historical GPT-2 extraction proves current vendor training or leakage.</w:t>
            </w:r>
          </w:p>
        </w:tc>
      </w:tr>
      <w:tr>
        <w:trPr>
          <w:cantSplit/>
        </w:trPr>
        <w:tc>
          <w:tcPr>
            <w:tcW w:type="dxa" w:w="5227"/>
            <w:tcMar>
              <w:top w:w="70" w:type="dxa"/>
              <w:start w:w="90" w:type="dxa"/>
              <w:bottom w:w="70" w:type="dxa"/>
              <w:end w:w="90" w:type="dxa"/>
            </w:tcMar>
            <w:vAlign w:val="top"/>
          </w:tcPr>
          <w:p>
            <w:pPr>
              <w:spacing w:after="100"/>
            </w:pPr>
            <w:r>
              <w:rPr>
                <w:sz w:val="20"/>
              </w:rPr>
              <w:t>Weakness/failure found</w:t>
            </w:r>
          </w:p>
        </w:tc>
        <w:tc>
          <w:tcPr>
            <w:tcW w:type="dxa" w:w="5227"/>
            <w:tcMar>
              <w:top w:w="70" w:type="dxa"/>
              <w:start w:w="90" w:type="dxa"/>
              <w:bottom w:w="70" w:type="dxa"/>
              <w:end w:w="90" w:type="dxa"/>
            </w:tcMar>
            <w:vAlign w:val="top"/>
          </w:tcPr>
          <w:p>
            <w:r>
              <w:rPr>
                <w:sz w:val="20"/>
              </w:rPr>
              <w:t>Earlier outputs lacked a systematic historical-mechanism-to-control chain and dedicated privacy/security evidence. Original early-run generic triggers are also preserved in history/version_1_0.</w:t>
            </w:r>
          </w:p>
        </w:tc>
      </w:tr>
      <w:tr>
        <w:trPr>
          <w:cantSplit/>
        </w:trPr>
        <w:tc>
          <w:tcPr>
            <w:tcW w:type="dxa" w:w="5227"/>
            <w:tcMar>
              <w:top w:w="70" w:type="dxa"/>
              <w:start w:w="90" w:type="dxa"/>
              <w:bottom w:w="70" w:type="dxa"/>
              <w:end w:w="90" w:type="dxa"/>
            </w:tcMar>
            <w:vAlign w:val="top"/>
          </w:tcPr>
          <w:p>
            <w:pPr>
              <w:spacing w:after="100"/>
            </w:pPr>
            <w:r>
              <w:rPr>
                <w:sz w:val="20"/>
              </w:rPr>
              <w:t>Revision made and why</w:t>
            </w:r>
          </w:p>
        </w:tc>
        <w:tc>
          <w:tcPr>
            <w:tcW w:type="dxa" w:w="5227"/>
            <w:tcMar>
              <w:top w:w="70" w:type="dxa"/>
              <w:start w:w="90" w:type="dxa"/>
              <w:bottom w:w="70" w:type="dxa"/>
              <w:end w:w="90" w:type="dxa"/>
            </w:tcMar>
            <w:vAlign w:val="top"/>
          </w:tcPr>
          <w:p>
            <w:r>
              <w:rPr>
                <w:sz w:val="20"/>
              </w:rPr>
              <w:t>Version 2.0 adds the risk chain, privacy distinctions, five-source evidence policy and a boundary challenge. The contrast was deliberately redesigned to match the user’s consulting scenario; this is not a controlled before/after benchmark.</w:t>
            </w:r>
          </w:p>
        </w:tc>
      </w:tr>
      <w:tr>
        <w:trPr>
          <w:cantSplit/>
        </w:trPr>
        <w:tc>
          <w:tcPr>
            <w:tcW w:type="dxa" w:w="5227"/>
            <w:tcMar>
              <w:top w:w="70" w:type="dxa"/>
              <w:start w:w="90" w:type="dxa"/>
              <w:bottom w:w="70" w:type="dxa"/>
              <w:end w:w="90" w:type="dxa"/>
            </w:tcMar>
            <w:vAlign w:val="top"/>
          </w:tcPr>
          <w:p>
            <w:pPr>
              <w:spacing w:after="100"/>
            </w:pPr>
            <w:r>
              <w:rPr>
                <w:sz w:val="20"/>
              </w:rPr>
              <w:t>Remaining limitation / abstention condition</w:t>
            </w:r>
          </w:p>
        </w:tc>
        <w:tc>
          <w:tcPr>
            <w:tcW w:type="dxa" w:w="5227"/>
            <w:tcMar>
              <w:top w:w="70" w:type="dxa"/>
              <w:start w:w="90" w:type="dxa"/>
              <w:bottom w:w="70" w:type="dxa"/>
              <w:end w:w="90" w:type="dxa"/>
            </w:tcMar>
            <w:vAlign w:val="top"/>
          </w:tcPr>
          <w:p>
            <w:r>
              <w:rPr>
                <w:sz w:val="20"/>
              </w:rPr>
              <w:t>Same-assistant assessment; synthetic cases; abstract-level source review. No actual fidelity/security test, safety certification or provider data-handling verification. Abstain on current leakage, compliance and deployment readiness without evidence.</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rPr>
        <w:tc>
          <w:tcPr>
            <w:tcW w:type="dxa" w:w="5227"/>
            <w:tcMar>
              <w:top w:w="70" w:type="dxa"/>
              <w:start w:w="90" w:type="dxa"/>
              <w:bottom w:w="70" w:type="dxa"/>
              <w:end w:w="90" w:type="dxa"/>
            </w:tcMar>
            <w:vAlign w:val="top"/>
            <w:shd w:fill="57068C"/>
          </w:tcPr>
          <w:p>
            <w:pPr>
              <w:spacing w:after="100"/>
            </w:pPr>
            <w:r>
              <w:rPr>
                <w:b/>
                <w:color w:val="FFFFFF"/>
                <w:sz w:val="20"/>
              </w:rPr>
              <w:t>Field</w:t>
            </w:r>
          </w:p>
        </w:tc>
        <w:tc>
          <w:tcPr>
            <w:tcW w:type="dxa" w:w="5227"/>
            <w:tcMar>
              <w:top w:w="70" w:type="dxa"/>
              <w:start w:w="90" w:type="dxa"/>
              <w:bottom w:w="70" w:type="dxa"/>
              <w:end w:w="90" w:type="dxa"/>
            </w:tcMar>
            <w:vAlign w:val="top"/>
            <w:shd w:fill="57068C"/>
          </w:tcPr>
          <w:p>
            <w:pPr>
              <w:spacing w:after="100"/>
            </w:pPr>
            <w:r>
              <w:rPr>
                <w:b/>
                <w:color w:val="FFFFFF"/>
                <w:sz w:val="20"/>
              </w:rPr>
              <w:t>Student record</w:t>
            </w:r>
          </w:p>
        </w:tc>
      </w:tr>
      <w:tr>
        <w:trPr>
          <w:cantSplit/>
        </w:trPr>
        <w:tc>
          <w:tcPr>
            <w:tcW w:type="dxa" w:w="5227"/>
            <w:tcMar>
              <w:top w:w="70" w:type="dxa"/>
              <w:start w:w="90" w:type="dxa"/>
              <w:bottom w:w="70" w:type="dxa"/>
              <w:end w:w="90" w:type="dxa"/>
            </w:tcMar>
            <w:vAlign w:val="top"/>
          </w:tcPr>
          <w:p>
            <w:pPr>
              <w:spacing w:after="100"/>
            </w:pPr>
            <w:r>
              <w:rPr>
                <w:sz w:val="20"/>
              </w:rPr>
              <w:t>Is the agent credible enough for team consideration? Why?</w:t>
            </w:r>
          </w:p>
        </w:tc>
        <w:tc>
          <w:tcPr>
            <w:tcW w:type="dxa" w:w="5227"/>
            <w:tcMar>
              <w:top w:w="70" w:type="dxa"/>
              <w:start w:w="90" w:type="dxa"/>
              <w:bottom w:w="70" w:type="dxa"/>
              <w:end w:w="90" w:type="dxa"/>
            </w:tcMar>
            <w:vAlign w:val="top"/>
          </w:tcPr>
          <w:p>
            <w:r>
              <w:rPr>
                <w:sz w:val="20"/>
              </w:rPr>
              <w:t>Proposed judgment for student review: credible for a bounded historical risk screen because red flags connect to evidence and explicit case conditions, and the boundary test rejects an unsupported privacy conclusion. It is not a complete risk assessment or team-approved deployment recommendation.</w:t>
            </w:r>
          </w:p>
        </w:tc>
      </w:tr>
      <w:tr>
        <w:trPr>
          <w:cantSplit/>
        </w:trPr>
        <w:tc>
          <w:tcPr>
            <w:tcW w:type="dxa" w:w="5227"/>
            <w:tcMar>
              <w:top w:w="70" w:type="dxa"/>
              <w:start w:w="90" w:type="dxa"/>
              <w:bottom w:w="70" w:type="dxa"/>
              <w:end w:w="90" w:type="dxa"/>
            </w:tcMar>
            <w:vAlign w:val="top"/>
          </w:tcPr>
          <w:p>
            <w:pPr>
              <w:spacing w:after="100"/>
            </w:pPr>
            <w:r>
              <w:rPr>
                <w:sz w:val="20"/>
              </w:rPr>
              <w:t>Most important recommendation to the team</w:t>
            </w:r>
          </w:p>
        </w:tc>
        <w:tc>
          <w:tcPr>
            <w:tcW w:type="dxa" w:w="5227"/>
            <w:tcMar>
              <w:top w:w="70" w:type="dxa"/>
              <w:start w:w="90" w:type="dxa"/>
              <w:bottom w:w="70" w:type="dxa"/>
              <w:end w:w="90" w:type="dxa"/>
            </w:tcMar>
            <w:vAlign w:val="top"/>
          </w:tcPr>
          <w:p>
            <w:r>
              <w:rPr>
                <w:sz w:val="20"/>
              </w:rPr>
              <w:t>Integrate the creation lineage and red-flag chain while preserving common field names. Route current service/privacy facts to security/privacy reviewers and readiness decisions to the relevant specialist.</w:t>
            </w:r>
          </w:p>
        </w:tc>
      </w:tr>
      <w:tr>
        <w:trPr>
          <w:cantSplit/>
        </w:trPr>
        <w:tc>
          <w:tcPr>
            <w:tcW w:type="dxa" w:w="5227"/>
            <w:tcMar>
              <w:top w:w="70" w:type="dxa"/>
              <w:start w:w="90" w:type="dxa"/>
              <w:bottom w:w="70" w:type="dxa"/>
              <w:end w:w="90" w:type="dxa"/>
            </w:tcMar>
            <w:vAlign w:val="top"/>
          </w:tcPr>
          <w:p>
            <w:pPr>
              <w:spacing w:after="100"/>
            </w:pPr>
            <w:r>
              <w:rPr>
                <w:sz w:val="20"/>
              </w:rPr>
              <w:t>AI / verification note</w:t>
            </w:r>
          </w:p>
        </w:tc>
        <w:tc>
          <w:tcPr>
            <w:tcW w:type="dxa" w:w="5227"/>
            <w:tcMar>
              <w:top w:w="70" w:type="dxa"/>
              <w:start w:w="90" w:type="dxa"/>
              <w:bottom w:w="70" w:type="dxa"/>
              <w:end w:w="90" w:type="dxa"/>
            </w:tcMar>
            <w:vAlign w:val="top"/>
          </w:tcPr>
          <w:p>
            <w:r>
              <w:rPr>
                <w:sz w:val="20"/>
              </w:rPr>
              <w:t>ChatGPT/Codex revised instructions, cases and three current responses; added original research checks; and evaluated the boundary inference. Python built packets, validated schemas and checked the frozen core. Earlier versions are archived. No separate API run, human sign-off, GitHub push or Brightspace submission is claimed.</w:t>
            </w:r>
          </w:p>
        </w:tc>
      </w:tr>
    </w:tbl>
    <w:p>
      <w:pPr>
        <w:pStyle w:val="Heading1"/>
      </w:pPr>
      <w:r>
        <w:t>References and verification status</w:t>
      </w:r>
    </w:p>
    <w:p>
      <w:r>
        <w:t>[1] Vaswani, A., et al. (2017). Attention Is All You Need. https://arxiv.org/abs/1706.03762</w:t>
      </w:r>
    </w:p>
    <w:p>
      <w:r>
        <w:t>[2] Brown, T. B., et al. (2020). Language Models are Few-Shot Learners. https://arxiv.org/abs/2005.14165</w:t>
      </w:r>
    </w:p>
    <w:p>
      <w:r>
        <w:t>[3] Ouyang, L., et al. (2022). Training language models to follow instructions with human feedback. https://arxiv.org/abs/2203.02155</w:t>
      </w:r>
    </w:p>
    <w:p>
      <w:r>
        <w:t>[4] Carlini, N., et al. (2020; revised 2021). Extracting Training Data from Large Language Models. https://arxiv.org/abs/2012.07805</w:t>
      </w:r>
    </w:p>
    <w:p>
      <w:r>
        <w:t>[5] Greshake, K., et al. (2023). Not what you have signed up for: Compromising Real-World LLM-Integrated Applications with Indirect Prompt Injection. https://arxiv.org/abs/2302.12173</w:t>
      </w:r>
    </w:p>
    <w:p>
      <w:r>
        <w:t>Original-source scope: five abstracts and publication histories checked October 6, 2026. Historical mechanisms are not current provider-policy evidence; no full-paper replication is claimed.</w:t>
      </w:r>
    </w:p>
    <w:p>
      <w:pPr>
        <w:pStyle w:val="Heading2"/>
      </w:pPr>
      <w:r>
        <w:t>Submission checklist</w:t>
      </w:r>
    </w:p>
    <w:p>
      <w:pPr>
        <w:pStyle w:val="ListBullet"/>
      </w:pPr>
      <w:r>
        <w:t>Complete: revised specialist instructions, common contracts, three current test cases/responses, archived weakness/revision, comparison and AI disclosure.</w:t>
      </w:r>
    </w:p>
    <w:p>
      <w:pPr>
        <w:pStyle w:val="ListBullet"/>
      </w:pPr>
      <w:r>
        <w:t>Complete: supplied validator, full JSON schema checks and seven-file frozen-core integrity check.</w:t>
      </w:r>
    </w:p>
    <w:p>
      <w:pPr>
        <w:pStyle w:val="ListBullet"/>
      </w:pPr>
      <w:r>
        <w:t>Pending: student reviews the proposed independent judgment and confirms the case selection meets instructor guidance.</w:t>
      </w:r>
    </w:p>
    <w:p>
      <w:pPr>
        <w:pStyle w:val="ListBullet"/>
      </w:pPr>
      <w:r>
        <w:t>Pending: student GitHub URL and remote branch/commit; publish the package and update Section A.</w:t>
      </w:r>
    </w:p>
    <w:p>
      <w:pPr>
        <w:pStyle w:val="ListBullet"/>
      </w:pPr>
      <w:r>
        <w:t>Pending: upload to the correct Brightspace assignment and retain its receipt. No submission has occurred.</w:t>
      </w:r>
    </w:p>
    <w:p>
      <w:r>
        <w:t>Package note: uploaded files omitted agents/_template and some example assets. The specialist folder was authored directly against the intact common schema. The frozen core was not changed; full original-package completeness is not claimed.</w:t>
      </w:r>
    </w:p>
    <w:p>
      <w:pPr>
        <w:pStyle w:val="Heading1"/>
      </w:pPr>
      <w:r>
        <w:t>Concrete red flags: consulting summaries</w:t>
      </w:r>
    </w:p>
    <w:tbl>
      <w:tblPr>
        <w:tblStyle w:val="TableGrid"/>
        <w:tblW w:type="auto" w:w="0"/>
        <w:tblLook w:firstColumn="1" w:firstRow="1" w:lastColumn="0" w:lastRow="0" w:noHBand="0" w:noVBand="1" w:val="04A0"/>
      </w:tblPr>
      <w:tblGrid>
        <w:gridCol w:w="3485"/>
        <w:gridCol w:w="3485"/>
        <w:gridCol w:w="3485"/>
      </w:tblGrid>
      <w:tr>
        <w:tc>
          <w:tcPr>
            <w:tcW w:type="dxa" w:w="3485"/>
          </w:tcPr>
          <w:p>
            <w:r>
              <w:rPr>
                <w:sz w:val="20"/>
              </w:rPr>
              <w:t>Red flag</w:t>
            </w:r>
          </w:p>
        </w:tc>
        <w:tc>
          <w:tcPr>
            <w:tcW w:type="dxa" w:w="3485"/>
          </w:tcPr>
          <w:p>
            <w:r>
              <w:rPr>
                <w:sz w:val="20"/>
              </w:rPr>
              <w:t>Why it matters</w:t>
            </w:r>
          </w:p>
        </w:tc>
        <w:tc>
          <w:tcPr>
            <w:tcW w:type="dxa" w:w="3485"/>
          </w:tcPr>
          <w:p>
            <w:r>
              <w:rPr>
                <w:sz w:val="20"/>
              </w:rPr>
              <w:t>Action / evidence needed</w:t>
            </w:r>
          </w:p>
        </w:tc>
      </w:tr>
      <w:tr>
        <w:tc>
          <w:tcPr>
            <w:tcW w:type="dxa" w:w="3485"/>
          </w:tcPr>
          <w:p>
            <w:r>
              <w:rPr>
                <w:sz w:val="20"/>
              </w:rPr>
              <w:t>Unsupported statements in a summary</w:t>
            </w:r>
          </w:p>
        </w:tc>
        <w:tc>
          <w:tcPr>
            <w:tcW w:type="dxa" w:w="3485"/>
          </w:tcPr>
          <w:p>
            <w:r>
              <w:rPr>
                <w:sz w:val="20"/>
              </w:rPr>
              <w:t>Instruction-following does not establish source fidelity.</w:t>
            </w:r>
          </w:p>
        </w:tc>
        <w:tc>
          <w:tcPr>
            <w:tcW w:type="dxa" w:w="3485"/>
          </w:tcPr>
          <w:p>
            <w:r>
              <w:rPr>
                <w:sz w:val="20"/>
              </w:rPr>
              <w:t>Analyst checks each material claim against the original report.</w:t>
            </w:r>
          </w:p>
        </w:tc>
      </w:tr>
      <w:tr>
        <w:tc>
          <w:tcPr>
            <w:tcW w:type="dxa" w:w="3485"/>
          </w:tcPr>
          <w:p>
            <w:r>
              <w:rPr>
                <w:sz w:val="20"/>
              </w:rPr>
              <w:t>Confidential files sent to an unspecified service</w:t>
            </w:r>
          </w:p>
        </w:tc>
        <w:tc>
          <w:tcPr>
            <w:tcW w:type="dxa" w:w="3485"/>
          </w:tcPr>
          <w:p>
            <w:r>
              <w:rPr>
                <w:sz w:val="20"/>
              </w:rPr>
              <w:t>Data handling is unknown; a historical memorization study does not establish current upload policy.</w:t>
            </w:r>
          </w:p>
        </w:tc>
        <w:tc>
          <w:tcPr>
            <w:tcW w:type="dxa" w:w="3485"/>
          </w:tcPr>
          <w:p>
            <w:r>
              <w:rPr>
                <w:sz w:val="20"/>
              </w:rPr>
              <w:t>Verify the named service’s retention, training-use and access arrangements before confidential use.</w:t>
            </w:r>
          </w:p>
        </w:tc>
      </w:tr>
      <w:tr>
        <w:tc>
          <w:tcPr>
            <w:tcW w:type="dxa" w:w="3485"/>
          </w:tcPr>
          <w:p>
            <w:r>
              <w:rPr>
                <w:sz w:val="20"/>
              </w:rPr>
              <w:t>Documents contain instructions to the model</w:t>
            </w:r>
          </w:p>
        </w:tc>
        <w:tc>
          <w:tcPr>
            <w:tcW w:type="dxa" w:w="3485"/>
          </w:tcPr>
          <w:p>
            <w:r>
              <w:rPr>
                <w:sz w:val="20"/>
              </w:rPr>
              <w:t>Historical indirect-injection research establishes a mechanism worth testing.</w:t>
            </w:r>
          </w:p>
        </w:tc>
        <w:tc>
          <w:tcPr>
            <w:tcW w:type="dxa" w:w="3485"/>
          </w:tcPr>
          <w:p>
            <w:r>
              <w:rPr>
                <w:sz w:val="20"/>
              </w:rPr>
              <w:t>Treat source text as data; limit permissions and test the actual workflow.</w:t>
            </w:r>
          </w:p>
        </w:tc>
      </w:tr>
      <w:tr>
        <w:tc>
          <w:tcPr>
            <w:tcW w:type="dxa" w:w="3485"/>
          </w:tcPr>
          <w:p>
            <w:r>
              <w:rPr>
                <w:sz w:val="20"/>
              </w:rPr>
              <w:t>Shared client retrieval and automatic delivery</w:t>
            </w:r>
          </w:p>
        </w:tc>
        <w:tc>
          <w:tcPr>
            <w:tcW w:type="dxa" w:w="3485"/>
          </w:tcPr>
          <w:p>
            <w:r>
              <w:rPr>
                <w:sz w:val="20"/>
              </w:rPr>
              <w:t>Implementation-specific paths could spread incorrect or unauthorized content.</w:t>
            </w:r>
          </w:p>
        </w:tc>
        <w:tc>
          <w:tcPr>
            <w:tcW w:type="dxa" w:w="3485"/>
          </w:tcPr>
          <w:p>
            <w:r>
              <w:rPr>
                <w:sz w:val="20"/>
              </w:rPr>
              <w:t>Test client isolation; retain human approval; resolve permissions with security reviewers.</w:t>
            </w:r>
          </w:p>
        </w:tc>
      </w:tr>
    </w:tbl>
    <w:p>
      <w:r>
        <w:t>These are evidence-informed red flags and proposed safeguards, not verified incidents or measured risk levels. The agent recommends what to investigate; it does not certify safety.</w:t>
      </w:r>
    </w:p>
    <w:sectPr w:rsidR="00630F3A" w:rsidSect="00034616">
      <w:headerReference w:type="default" r:id="rId8"/>
      <w:footerReference w:type="default" r:id="rId9"/>
      <w:pgSz w:w="12240" w:h="15840"/>
      <w:pgMar w:top="936" w:right="893" w:bottom="936"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