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000000"/>
          <w:sz w:val="28"/>
        </w:rPr>
        <w:t>EMERGING TECHNOLOGIES</w:t>
      </w:r>
    </w:p>
    <w:p>
      <w:pPr>
        <w:pStyle w:val="Title"/>
        <w:jc w:val="center"/>
      </w:pPr>
      <w:r>
        <w:rPr>
          <w:color w:val="000000"/>
          <w:sz w:val="44"/>
        </w:rPr>
        <w:t>Innovation and Disruption Agent Record</w:t>
      </w:r>
    </w:p>
    <w:p>
      <w:pPr>
        <w:jc w:val="center"/>
      </w:pPr>
      <w:r>
        <w:rPr>
          <w:color w:val="000000"/>
        </w:rPr>
        <w:t>MASY1-GC 1800 | Assignments 2-8</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rPr>
                <w:color w:val="000000"/>
              </w:rPr>
              <w:t>Complete this record from the evidence in your working scaffold. Keep it concise. The record documents what you specialized, how you tested it, what failed or changed, and what professional judgment you reached.</w:t>
            </w:r>
          </w:p>
        </w:tc>
      </w:tr>
    </w:tbl>
    <w:p>
      <w:pPr>
        <w:pStyle w:val="Heading1"/>
      </w:pPr>
      <w:r>
        <w:rPr>
          <w:color w:val="000000"/>
        </w:rPr>
        <w:t>A. Agent and Version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cantSplit/>
        </w:trPr>
        <w:tc>
          <w:tcPr>
            <w:tcW w:type="dxa" w:w="2952"/>
            <w:tcMar>
              <w:top w:w="70" w:type="dxa"/>
              <w:start w:w="90" w:type="dxa"/>
              <w:bottom w:w="70" w:type="dxa"/>
              <w:end w:w="90" w:type="dxa"/>
            </w:tcMar>
            <w:vAlign w:val="top"/>
            <w:shd w:fill="57068C"/>
            <w:shd w:fill="EAEAEA"/>
          </w:tcPr>
          <w:p>
            <w:pPr>
              <w:spacing w:after="80"/>
            </w:pPr>
            <w:r>
              <w:rPr>
                <w:b/>
                <w:color w:val="000000"/>
                <w:sz w:val="20"/>
              </w:rPr>
              <w:t>Field</w:t>
            </w:r>
          </w:p>
        </w:tc>
        <w:tc>
          <w:tcPr>
            <w:tcW w:type="dxa" w:w="7272"/>
            <w:tcMar>
              <w:top w:w="70" w:type="dxa"/>
              <w:start w:w="90" w:type="dxa"/>
              <w:bottom w:w="70" w:type="dxa"/>
              <w:end w:w="90" w:type="dxa"/>
            </w:tcMar>
            <w:vAlign w:val="top"/>
            <w:shd w:fill="57068C"/>
            <w:shd w:fill="EAEAEA"/>
          </w:tcPr>
          <w:p>
            <w:pPr>
              <w:spacing w:after="80"/>
            </w:pPr>
            <w:r>
              <w:rPr>
                <w:b/>
                <w:color w:val="000000"/>
                <w:sz w:val="20"/>
              </w:rPr>
              <w:t>Student record</w:t>
            </w:r>
          </w:p>
        </w:tc>
      </w:tr>
      <w:tr>
        <w:trPr>
          <w:cantSplit/>
        </w:trPr>
        <w:tc>
          <w:tcPr>
            <w:tcW w:type="dxa" w:w="2952"/>
            <w:tcMar>
              <w:top w:w="70" w:type="dxa"/>
              <w:start w:w="90" w:type="dxa"/>
              <w:bottom w:w="70" w:type="dxa"/>
              <w:end w:w="90" w:type="dxa"/>
            </w:tcMar>
            <w:vAlign w:val="top"/>
          </w:tcPr>
          <w:p>
            <w:pPr>
              <w:spacing w:after="80"/>
            </w:pPr>
            <w:r>
              <w:rPr>
                <w:color w:val="000000"/>
                <w:sz w:val="20"/>
              </w:rPr>
              <w:t>Student / team</w:t>
            </w:r>
          </w:p>
        </w:tc>
        <w:tc>
          <w:tcPr>
            <w:tcW w:type="dxa" w:w="7272"/>
            <w:tcMar>
              <w:top w:w="70" w:type="dxa"/>
              <w:start w:w="90" w:type="dxa"/>
              <w:bottom w:w="70" w:type="dxa"/>
              <w:end w:w="90" w:type="dxa"/>
            </w:tcMar>
            <w:vAlign w:val="top"/>
          </w:tcPr>
          <w:p>
            <w:pPr>
              <w:spacing w:after="80"/>
            </w:pPr>
            <w:r>
              <w:rPr>
                <w:color w:val="000000"/>
                <w:sz w:val="20"/>
              </w:rPr>
              <w:t>Yulia Anisimova | Emerging Technologies Section 103</w:t>
            </w:r>
          </w:p>
        </w:tc>
      </w:tr>
      <w:tr>
        <w:trPr>
          <w:cantSplit/>
        </w:trPr>
        <w:tc>
          <w:tcPr>
            <w:tcW w:type="dxa" w:w="2952"/>
            <w:tcMar>
              <w:top w:w="70" w:type="dxa"/>
              <w:start w:w="90" w:type="dxa"/>
              <w:bottom w:w="70" w:type="dxa"/>
              <w:end w:w="90" w:type="dxa"/>
            </w:tcMar>
            <w:vAlign w:val="top"/>
          </w:tcPr>
          <w:p>
            <w:pPr>
              <w:spacing w:after="80"/>
            </w:pPr>
            <w:r>
              <w:rPr>
                <w:color w:val="000000"/>
                <w:sz w:val="20"/>
              </w:rPr>
              <w:t>Assignment / specialist agent</w:t>
            </w:r>
          </w:p>
        </w:tc>
        <w:tc>
          <w:tcPr>
            <w:tcW w:type="dxa" w:w="7272"/>
            <w:tcMar>
              <w:top w:w="70" w:type="dxa"/>
              <w:start w:w="90" w:type="dxa"/>
              <w:bottom w:w="70" w:type="dxa"/>
              <w:end w:w="90" w:type="dxa"/>
            </w:tcMar>
            <w:vAlign w:val="top"/>
          </w:tcPr>
          <w:p>
            <w:pPr>
              <w:spacing w:after="80"/>
            </w:pPr>
            <w:r>
              <w:t>Assignment 3 | Innovation and Disruption Agent v0.3</w:t>
            </w:r>
          </w:p>
        </w:tc>
      </w:tr>
      <w:tr>
        <w:trPr>
          <w:cantSplit/>
        </w:trPr>
        <w:tc>
          <w:tcPr>
            <w:tcW w:type="dxa" w:w="2952"/>
            <w:tcMar>
              <w:top w:w="70" w:type="dxa"/>
              <w:start w:w="90" w:type="dxa"/>
              <w:bottom w:w="70" w:type="dxa"/>
              <w:end w:w="90" w:type="dxa"/>
            </w:tcMar>
            <w:vAlign w:val="top"/>
          </w:tcPr>
          <w:p>
            <w:pPr>
              <w:spacing w:after="80"/>
            </w:pPr>
            <w:r>
              <w:rPr>
                <w:color w:val="000000"/>
                <w:sz w:val="20"/>
              </w:rPr>
              <w:t>Date</w:t>
            </w:r>
          </w:p>
        </w:tc>
        <w:tc>
          <w:tcPr>
            <w:tcW w:type="dxa" w:w="7272"/>
            <w:tcMar>
              <w:top w:w="70" w:type="dxa"/>
              <w:start w:w="90" w:type="dxa"/>
              <w:bottom w:w="70" w:type="dxa"/>
              <w:end w:w="90" w:type="dxa"/>
            </w:tcMar>
            <w:vAlign w:val="top"/>
          </w:tcPr>
          <w:p>
            <w:pPr>
              <w:spacing w:after="80"/>
            </w:pPr>
            <w:r>
              <w:rPr>
                <w:color w:val="000000"/>
                <w:sz w:val="20"/>
              </w:rPr>
              <w:t>October 12, 2026</w:t>
            </w:r>
          </w:p>
        </w:tc>
      </w:tr>
      <w:tr>
        <w:trPr>
          <w:cantSplit/>
        </w:trPr>
        <w:tc>
          <w:tcPr>
            <w:tcW w:type="dxa" w:w="2952"/>
            <w:tcMar>
              <w:top w:w="70" w:type="dxa"/>
              <w:start w:w="90" w:type="dxa"/>
              <w:bottom w:w="70" w:type="dxa"/>
              <w:end w:w="90" w:type="dxa"/>
            </w:tcMar>
            <w:vAlign w:val="top"/>
          </w:tcPr>
          <w:p>
            <w:pPr>
              <w:spacing w:after="80"/>
            </w:pPr>
            <w:r>
              <w:rPr>
                <w:color w:val="000000"/>
                <w:sz w:val="20"/>
              </w:rPr>
              <w:t>GitHub repository</w:t>
            </w:r>
          </w:p>
        </w:tc>
        <w:tc>
          <w:tcPr>
            <w:tcW w:type="dxa" w:w="7272"/>
            <w:tcMar>
              <w:top w:w="70" w:type="dxa"/>
              <w:start w:w="90" w:type="dxa"/>
              <w:bottom w:w="70" w:type="dxa"/>
              <w:end w:w="90" w:type="dxa"/>
            </w:tcMar>
            <w:vAlign w:val="top"/>
          </w:tcPr>
          <w:p>
            <w:pPr>
              <w:spacing w:after="80"/>
            </w:pPr>
            <w:r>
              <w:t>https://github.com/yanisimova/Sub-Agent-2-Cycles</w:t>
            </w:r>
          </w:p>
        </w:tc>
      </w:tr>
      <w:tr>
        <w:trPr>
          <w:cantSplit/>
        </w:trPr>
        <w:tc>
          <w:tcPr>
            <w:tcW w:type="dxa" w:w="2952"/>
            <w:tcMar>
              <w:top w:w="70" w:type="dxa"/>
              <w:start w:w="90" w:type="dxa"/>
              <w:bottom w:w="70" w:type="dxa"/>
              <w:end w:w="90" w:type="dxa"/>
            </w:tcMar>
            <w:vAlign w:val="top"/>
          </w:tcPr>
          <w:p>
            <w:pPr>
              <w:spacing w:after="80"/>
            </w:pPr>
            <w:r>
              <w:rPr>
                <w:color w:val="000000"/>
                <w:sz w:val="20"/>
              </w:rPr>
              <w:t>Branch</w:t>
            </w:r>
          </w:p>
        </w:tc>
        <w:tc>
          <w:tcPr>
            <w:tcW w:type="dxa" w:w="7272"/>
            <w:tcMar>
              <w:top w:w="70" w:type="dxa"/>
              <w:start w:w="90" w:type="dxa"/>
              <w:bottom w:w="70" w:type="dxa"/>
              <w:end w:w="90" w:type="dxa"/>
            </w:tcMar>
            <w:vAlign w:val="top"/>
          </w:tcPr>
          <w:p>
            <w:r>
              <w:t>main (verified scaffold baseline); specialist branch not created</w:t>
            </w:r>
          </w:p>
        </w:tc>
      </w:tr>
      <w:tr>
        <w:trPr>
          <w:cantSplit/>
        </w:trPr>
        <w:tc>
          <w:tcPr>
            <w:tcW w:type="dxa" w:w="2952"/>
            <w:tcMar>
              <w:top w:w="70" w:type="dxa"/>
              <w:start w:w="90" w:type="dxa"/>
              <w:bottom w:w="70" w:type="dxa"/>
              <w:end w:w="90" w:type="dxa"/>
            </w:tcMar>
            <w:vAlign w:val="top"/>
          </w:tcPr>
          <w:p>
            <w:pPr>
              <w:spacing w:after="80"/>
            </w:pPr>
            <w:r>
              <w:rPr>
                <w:color w:val="000000"/>
                <w:sz w:val="20"/>
              </w:rPr>
              <w:t>Commit</w:t>
            </w:r>
          </w:p>
        </w:tc>
        <w:tc>
          <w:tcPr>
            <w:tcW w:type="dxa" w:w="7272"/>
            <w:tcMar>
              <w:top w:w="70" w:type="dxa"/>
              <w:start w:w="90" w:type="dxa"/>
              <w:bottom w:w="70" w:type="dxa"/>
              <w:end w:w="90" w:type="dxa"/>
            </w:tcMar>
            <w:vAlign w:val="top"/>
          </w:tcPr>
          <w:p>
            <w:r>
              <w:t>Scaffold baseline: f42138abcb9e9c67c47fb8315128b5130f7d964c. Specialist commit: unavailable; GitHub write rejected with HTTP 403.</w:t>
            </w:r>
          </w:p>
        </w:tc>
      </w:tr>
      <w:tr>
        <w:trPr>
          <w:cantSplit/>
        </w:trPr>
        <w:tc>
          <w:tcPr>
            <w:tcW w:type="dxa" w:w="2952"/>
            <w:tcMar>
              <w:top w:w="70" w:type="dxa"/>
              <w:start w:w="90" w:type="dxa"/>
              <w:bottom w:w="70" w:type="dxa"/>
              <w:end w:w="90" w:type="dxa"/>
            </w:tcMar>
            <w:vAlign w:val="top"/>
          </w:tcPr>
          <w:p>
            <w:pPr>
              <w:spacing w:after="80"/>
            </w:pPr>
            <w:r>
              <w:rPr>
                <w:color w:val="000000"/>
                <w:sz w:val="20"/>
              </w:rPr>
              <w:t>Frozen scaffold version</w:t>
            </w:r>
          </w:p>
        </w:tc>
        <w:tc>
          <w:tcPr>
            <w:tcW w:type="dxa" w:w="7272"/>
            <w:tcMar>
              <w:top w:w="70" w:type="dxa"/>
              <w:start w:w="90" w:type="dxa"/>
              <w:bottom w:w="70" w:type="dxa"/>
              <w:end w:w="90" w:type="dxa"/>
            </w:tcMar>
            <w:vAlign w:val="top"/>
          </w:tcPr>
          <w:p>
            <w:pPr>
              <w:spacing w:after="80"/>
            </w:pPr>
            <w:r>
              <w:t>MASY1800_ET_Agent_Scaffold_v1_0; all seven frozen file hashes verified intact</w:t>
            </w:r>
          </w:p>
        </w:tc>
      </w:tr>
    </w:tbl>
    <w:p>
      <w:pPr>
        <w:pStyle w:val="Heading1"/>
      </w:pPr>
      <w:r>
        <w:rPr>
          <w:color w:val="000000"/>
        </w:rPr>
        <w:t>B. Specialist Purpose and Context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cantSplit/>
        </w:trPr>
        <w:tc>
          <w:tcPr>
            <w:tcW w:type="dxa" w:w="2952"/>
            <w:tcMar>
              <w:top w:w="70" w:type="dxa"/>
              <w:start w:w="90" w:type="dxa"/>
              <w:bottom w:w="70" w:type="dxa"/>
              <w:end w:w="90" w:type="dxa"/>
            </w:tcMar>
            <w:vAlign w:val="top"/>
            <w:shd w:fill="57068C"/>
            <w:shd w:fill="EAEAEA"/>
          </w:tcPr>
          <w:p>
            <w:pPr>
              <w:spacing w:after="80"/>
            </w:pPr>
            <w:r>
              <w:rPr>
                <w:b/>
                <w:color w:val="000000"/>
                <w:sz w:val="20"/>
              </w:rPr>
              <w:t>Field</w:t>
            </w:r>
          </w:p>
        </w:tc>
        <w:tc>
          <w:tcPr>
            <w:tcW w:type="dxa" w:w="7272"/>
            <w:tcMar>
              <w:top w:w="70" w:type="dxa"/>
              <w:start w:w="90" w:type="dxa"/>
              <w:bottom w:w="70" w:type="dxa"/>
              <w:end w:w="90" w:type="dxa"/>
            </w:tcMar>
            <w:vAlign w:val="top"/>
            <w:shd w:fill="57068C"/>
            <w:shd w:fill="EAEAEA"/>
          </w:tcPr>
          <w:p>
            <w:pPr>
              <w:spacing w:after="80"/>
            </w:pPr>
            <w:r>
              <w:rPr>
                <w:b/>
                <w:color w:val="000000"/>
                <w:sz w:val="20"/>
              </w:rPr>
              <w:t>Student record</w:t>
            </w:r>
          </w:p>
        </w:tc>
      </w:tr>
      <w:tr>
        <w:trPr>
          <w:cantSplit/>
        </w:trPr>
        <w:tc>
          <w:tcPr>
            <w:tcW w:type="dxa" w:w="2952"/>
            <w:tcMar>
              <w:top w:w="70" w:type="dxa"/>
              <w:start w:w="90" w:type="dxa"/>
              <w:bottom w:w="70" w:type="dxa"/>
              <w:end w:w="90" w:type="dxa"/>
            </w:tcMar>
            <w:vAlign w:val="top"/>
          </w:tcPr>
          <w:p>
            <w:pPr>
              <w:spacing w:after="80"/>
            </w:pPr>
            <w:r>
              <w:rPr>
                <w:color w:val="000000"/>
                <w:sz w:val="20"/>
              </w:rPr>
              <w:t>Governing analytical question</w:t>
            </w:r>
          </w:p>
        </w:tc>
        <w:tc>
          <w:tcPr>
            <w:tcW w:type="dxa" w:w="7272"/>
            <w:tcMar>
              <w:top w:w="70" w:type="dxa"/>
              <w:start w:w="90" w:type="dxa"/>
              <w:bottom w:w="70" w:type="dxa"/>
              <w:end w:w="90" w:type="dxa"/>
            </w:tcMar>
            <w:vAlign w:val="top"/>
          </w:tcPr>
          <w:p>
            <w:pPr>
              <w:spacing w:after="80"/>
            </w:pPr>
            <w:r>
              <w:rPr>
                <w:color w:val="000000"/>
                <w:sz w:val="20"/>
              </w:rPr>
              <w:t>What kind of innovation is this technology and application, and how could it create, destroy, displace, or reshape value in this organization and its business model?</w:t>
            </w:r>
          </w:p>
        </w:tc>
      </w:tr>
      <w:tr>
        <w:trPr>
          <w:cantSplit/>
        </w:trPr>
        <w:tc>
          <w:tcPr>
            <w:tcW w:type="dxa" w:w="2952"/>
            <w:tcMar>
              <w:top w:w="70" w:type="dxa"/>
              <w:start w:w="90" w:type="dxa"/>
              <w:bottom w:w="70" w:type="dxa"/>
              <w:end w:w="90" w:type="dxa"/>
            </w:tcMar>
            <w:vAlign w:val="top"/>
          </w:tcPr>
          <w:p>
            <w:pPr>
              <w:spacing w:after="80"/>
            </w:pPr>
            <w:r>
              <w:rPr>
                <w:color w:val="000000"/>
                <w:sz w:val="20"/>
              </w:rPr>
              <w:t>Emerging technology</w:t>
            </w:r>
          </w:p>
        </w:tc>
        <w:tc>
          <w:tcPr>
            <w:tcW w:type="dxa" w:w="7272"/>
            <w:tcMar>
              <w:top w:w="70" w:type="dxa"/>
              <w:start w:w="90" w:type="dxa"/>
              <w:bottom w:w="70" w:type="dxa"/>
              <w:end w:w="90" w:type="dxa"/>
            </w:tcMar>
            <w:vAlign w:val="top"/>
          </w:tcPr>
          <w:p>
            <w:pPr>
              <w:spacing w:after="80"/>
            </w:pPr>
            <w:r>
              <w:rPr>
                <w:color w:val="000000"/>
                <w:sz w:val="20"/>
              </w:rPr>
              <w:t>Generative AI using LLMs for text synthesis</w:t>
            </w:r>
          </w:p>
        </w:tc>
      </w:tr>
      <w:tr>
        <w:trPr>
          <w:cantSplit/>
        </w:trPr>
        <w:tc>
          <w:tcPr>
            <w:tcW w:type="dxa" w:w="2952"/>
            <w:tcMar>
              <w:top w:w="70" w:type="dxa"/>
              <w:start w:w="90" w:type="dxa"/>
              <w:bottom w:w="70" w:type="dxa"/>
              <w:end w:w="90" w:type="dxa"/>
            </w:tcMar>
            <w:vAlign w:val="top"/>
          </w:tcPr>
          <w:p>
            <w:pPr>
              <w:spacing w:after="80"/>
            </w:pPr>
            <w:r>
              <w:rPr>
                <w:color w:val="000000"/>
                <w:sz w:val="20"/>
              </w:rPr>
              <w:t>Intended application</w:t>
            </w:r>
          </w:p>
        </w:tc>
        <w:tc>
          <w:tcPr>
            <w:tcW w:type="dxa" w:w="7272"/>
            <w:tcMar>
              <w:top w:w="70" w:type="dxa"/>
              <w:start w:w="90" w:type="dxa"/>
              <w:bottom w:w="70" w:type="dxa"/>
              <w:end w:w="90" w:type="dxa"/>
            </w:tcMar>
            <w:vAlign w:val="top"/>
          </w:tcPr>
          <w:p>
            <w:pPr>
              <w:spacing w:after="80"/>
            </w:pPr>
            <w:r>
              <w:rPr>
                <w:color w:val="000000"/>
                <w:sz w:val="20"/>
              </w:rPr>
              <w:t>Consultant-reviewed drafts of approved source documents</w:t>
            </w:r>
          </w:p>
        </w:tc>
      </w:tr>
      <w:tr>
        <w:trPr>
          <w:cantSplit/>
        </w:trPr>
        <w:tc>
          <w:tcPr>
            <w:tcW w:type="dxa" w:w="2952"/>
            <w:tcMar>
              <w:top w:w="70" w:type="dxa"/>
              <w:start w:w="90" w:type="dxa"/>
              <w:bottom w:w="70" w:type="dxa"/>
              <w:end w:w="90" w:type="dxa"/>
            </w:tcMar>
            <w:vAlign w:val="top"/>
          </w:tcPr>
          <w:p>
            <w:pPr>
              <w:spacing w:after="80"/>
            </w:pPr>
            <w:r>
              <w:rPr>
                <w:color w:val="000000"/>
                <w:sz w:val="20"/>
              </w:rPr>
              <w:t>Organization / industry</w:t>
            </w:r>
          </w:p>
        </w:tc>
        <w:tc>
          <w:tcPr>
            <w:tcW w:type="dxa" w:w="7272"/>
            <w:tcMar>
              <w:top w:w="70" w:type="dxa"/>
              <w:start w:w="90" w:type="dxa"/>
              <w:bottom w:w="70" w:type="dxa"/>
              <w:end w:w="90" w:type="dxa"/>
            </w:tcMar>
            <w:vAlign w:val="top"/>
          </w:tcPr>
          <w:p>
            <w:pPr>
              <w:spacing w:after="80"/>
            </w:pPr>
            <w:r>
              <w:rPr>
                <w:color w:val="000000"/>
                <w:sz w:val="20"/>
              </w:rPr>
              <w:t>Hypothetical 25-person analytical consultancy; hourly billing</w:t>
            </w:r>
          </w:p>
        </w:tc>
      </w:tr>
      <w:tr>
        <w:trPr>
          <w:cantSplit/>
        </w:trPr>
        <w:tc>
          <w:tcPr>
            <w:tcW w:type="dxa" w:w="2952"/>
            <w:tcMar>
              <w:top w:w="70" w:type="dxa"/>
              <w:start w:w="90" w:type="dxa"/>
              <w:bottom w:w="70" w:type="dxa"/>
              <w:end w:w="90" w:type="dxa"/>
            </w:tcMar>
            <w:vAlign w:val="top"/>
          </w:tcPr>
          <w:p>
            <w:pPr>
              <w:spacing w:after="80"/>
            </w:pPr>
            <w:r>
              <w:rPr>
                <w:color w:val="000000"/>
                <w:sz w:val="20"/>
              </w:rPr>
              <w:t>Adoption posture</w:t>
            </w:r>
          </w:p>
        </w:tc>
        <w:tc>
          <w:tcPr>
            <w:tcW w:type="dxa" w:w="7272"/>
            <w:tcMar>
              <w:top w:w="70" w:type="dxa"/>
              <w:start w:w="90" w:type="dxa"/>
              <w:bottom w:w="70" w:type="dxa"/>
              <w:end w:w="90" w:type="dxa"/>
            </w:tcMar>
            <w:vAlign w:val="top"/>
          </w:tcPr>
          <w:p>
            <w:pPr>
              <w:spacing w:after="80"/>
            </w:pPr>
            <w:r>
              <w:rPr>
                <w:color w:val="000000"/>
                <w:sz w:val="20"/>
              </w:rPr>
              <w:t>Moderate / fast follower</w:t>
            </w:r>
          </w:p>
        </w:tc>
      </w:tr>
      <w:tr>
        <w:trPr>
          <w:cantSplit/>
        </w:trPr>
        <w:tc>
          <w:tcPr>
            <w:tcW w:type="dxa" w:w="2952"/>
            <w:tcMar>
              <w:top w:w="70" w:type="dxa"/>
              <w:start w:w="90" w:type="dxa"/>
              <w:bottom w:w="70" w:type="dxa"/>
              <w:end w:w="90" w:type="dxa"/>
            </w:tcMar>
            <w:vAlign w:val="top"/>
          </w:tcPr>
          <w:p>
            <w:pPr>
              <w:spacing w:after="80"/>
            </w:pPr>
            <w:r>
              <w:rPr>
                <w:color w:val="000000"/>
                <w:sz w:val="20"/>
              </w:rPr>
              <w:t>Risk / consequence context</w:t>
            </w:r>
          </w:p>
        </w:tc>
        <w:tc>
          <w:tcPr>
            <w:tcW w:type="dxa" w:w="7272"/>
            <w:tcMar>
              <w:top w:w="70" w:type="dxa"/>
              <w:start w:w="90" w:type="dxa"/>
              <w:bottom w:w="70" w:type="dxa"/>
              <w:end w:w="90" w:type="dxa"/>
            </w:tcMar>
            <w:vAlign w:val="top"/>
          </w:tcPr>
          <w:p>
            <w:pPr>
              <w:spacing w:after="80"/>
            </w:pPr>
            <w:r>
              <w:rPr>
                <w:color w:val="000000"/>
                <w:sz w:val="20"/>
              </w:rPr>
              <w:t>Confidentiality, unsupported claims and client trust; human sign-off retained</w:t>
            </w:r>
          </w:p>
        </w:tc>
      </w:tr>
      <w:tr>
        <w:trPr>
          <w:cantSplit/>
        </w:trPr>
        <w:tc>
          <w:tcPr>
            <w:tcW w:type="dxa" w:w="2952"/>
            <w:tcMar>
              <w:top w:w="70" w:type="dxa"/>
              <w:start w:w="90" w:type="dxa"/>
              <w:bottom w:w="70" w:type="dxa"/>
              <w:end w:w="90" w:type="dxa"/>
            </w:tcMar>
            <w:vAlign w:val="top"/>
          </w:tcPr>
          <w:p>
            <w:pPr>
              <w:spacing w:after="80"/>
            </w:pPr>
            <w:r>
              <w:rPr>
                <w:color w:val="000000"/>
                <w:sz w:val="20"/>
              </w:rPr>
              <w:t>Management question / time horizon</w:t>
            </w:r>
          </w:p>
        </w:tc>
        <w:tc>
          <w:tcPr>
            <w:tcW w:type="dxa" w:w="7272"/>
            <w:tcMar>
              <w:top w:w="70" w:type="dxa"/>
              <w:start w:w="90" w:type="dxa"/>
              <w:bottom w:w="70" w:type="dxa"/>
              <w:end w:w="90" w:type="dxa"/>
            </w:tcMar>
            <w:vAlign w:val="top"/>
          </w:tcPr>
          <w:p>
            <w:pPr>
              <w:spacing w:after="80"/>
            </w:pPr>
            <w:r>
              <w:rPr>
                <w:color w:val="000000"/>
                <w:sz w:val="20"/>
              </w:rPr>
              <w:t>Classify a drafting pilot and its revenue exposure; six-month evaluation and 12–24-month strategic horizon</w:t>
            </w:r>
          </w:p>
        </w:tc>
      </w:tr>
    </w:tbl>
    <w:p>
      <w:pPr>
        <w:pStyle w:val="Heading1"/>
      </w:pPr>
      <w:r>
        <w:rPr>
          <w:color w:val="000000"/>
        </w:rPr>
        <w:t>C. Three-Level Finding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cantSplit/>
        </w:trPr>
        <w:tc>
          <w:tcPr>
            <w:tcW w:type="dxa" w:w="2952"/>
            <w:tcMar>
              <w:top w:w="70" w:type="dxa"/>
              <w:start w:w="90" w:type="dxa"/>
              <w:bottom w:w="70" w:type="dxa"/>
              <w:end w:w="90" w:type="dxa"/>
            </w:tcMar>
            <w:vAlign w:val="top"/>
            <w:shd w:fill="57068C"/>
            <w:shd w:fill="EAEAEA"/>
          </w:tcPr>
          <w:p>
            <w:pPr>
              <w:spacing w:after="80"/>
            </w:pPr>
            <w:r>
              <w:rPr>
                <w:b/>
                <w:color w:val="000000"/>
                <w:sz w:val="20"/>
              </w:rPr>
              <w:t>Field</w:t>
            </w:r>
          </w:p>
        </w:tc>
        <w:tc>
          <w:tcPr>
            <w:tcW w:type="dxa" w:w="7272"/>
            <w:tcMar>
              <w:top w:w="70" w:type="dxa"/>
              <w:start w:w="90" w:type="dxa"/>
              <w:bottom w:w="70" w:type="dxa"/>
              <w:end w:w="90" w:type="dxa"/>
            </w:tcMar>
            <w:vAlign w:val="top"/>
            <w:shd w:fill="57068C"/>
            <w:shd w:fill="EAEAEA"/>
          </w:tcPr>
          <w:p>
            <w:pPr>
              <w:spacing w:after="80"/>
            </w:pPr>
            <w:r>
              <w:rPr>
                <w:b/>
                <w:color w:val="000000"/>
                <w:sz w:val="20"/>
              </w:rPr>
              <w:t>Student record</w:t>
            </w:r>
          </w:p>
        </w:tc>
      </w:tr>
      <w:tr>
        <w:trPr>
          <w:cantSplit/>
        </w:trPr>
        <w:tc>
          <w:tcPr>
            <w:tcW w:type="dxa" w:w="2952"/>
            <w:tcMar>
              <w:top w:w="70" w:type="dxa"/>
              <w:start w:w="90" w:type="dxa"/>
              <w:bottom w:w="70" w:type="dxa"/>
              <w:end w:w="90" w:type="dxa"/>
            </w:tcMar>
            <w:vAlign w:val="top"/>
          </w:tcPr>
          <w:p>
            <w:pPr>
              <w:spacing w:after="80"/>
            </w:pPr>
            <w:r>
              <w:rPr>
                <w:color w:val="000000"/>
                <w:sz w:val="20"/>
              </w:rPr>
              <w:t>ET generally</w:t>
            </w:r>
          </w:p>
        </w:tc>
        <w:tc>
          <w:tcPr>
            <w:tcW w:type="dxa" w:w="7272"/>
            <w:tcMar>
              <w:top w:w="70" w:type="dxa"/>
              <w:start w:w="90" w:type="dxa"/>
              <w:bottom w:w="70" w:type="dxa"/>
              <w:end w:w="90" w:type="dxa"/>
            </w:tcMar>
            <w:vAlign w:val="top"/>
          </w:tcPr>
          <w:p>
            <w:pPr>
              <w:spacing w:after="80"/>
            </w:pPr>
            <w:r>
              <w:rPr>
                <w:color w:val="000000"/>
                <w:sz w:val="20"/>
              </w:rPr>
              <w:t>LLM text assistance has demonstrated practical use in consulting-like tasks (E2), supporting innovation beyond laboratory invention. This is a general technology finding, not evidence that any proposed firm deployment is implemented or commercially viable. No claim of a new technical invention, universal reliability or market diffusion rate is warranted.</w:t>
            </w:r>
          </w:p>
        </w:tc>
      </w:tr>
      <w:tr>
        <w:trPr>
          <w:cantSplit/>
        </w:trPr>
        <w:tc>
          <w:tcPr>
            <w:tcW w:type="dxa" w:w="2952"/>
            <w:tcMar>
              <w:top w:w="70" w:type="dxa"/>
              <w:start w:w="90" w:type="dxa"/>
              <w:bottom w:w="70" w:type="dxa"/>
              <w:end w:w="90" w:type="dxa"/>
            </w:tcMar>
            <w:vAlign w:val="top"/>
          </w:tcPr>
          <w:p>
            <w:pPr>
              <w:spacing w:after="80"/>
            </w:pPr>
            <w:r>
              <w:rPr>
                <w:color w:val="000000"/>
                <w:sz w:val="20"/>
              </w:rPr>
              <w:t>ET for this application</w:t>
            </w:r>
          </w:p>
        </w:tc>
        <w:tc>
          <w:tcPr>
            <w:tcW w:type="dxa" w:w="7272"/>
            <w:tcMar>
              <w:top w:w="70" w:type="dxa"/>
              <w:start w:w="90" w:type="dxa"/>
              <w:bottom w:w="70" w:type="dxa"/>
              <w:end w:w="90" w:type="dxa"/>
            </w:tcMar>
            <w:vAlign w:val="top"/>
          </w:tcPr>
          <w:p>
            <w:pPr>
              <w:spacing w:after="80"/>
            </w:pPr>
            <w:r>
              <w:rPr>
                <w:color w:val="000000"/>
                <w:sz w:val="20"/>
              </w:rPr>
              <w:t>Prospective incremental process innovation: drafting changes, but consultant judgment, partner accountability and client delivery remain. It becomes realized innovation only after useful implementation. If gains are negligible, ordinary improvement is the competing interpretation.</w:t>
            </w:r>
          </w:p>
        </w:tc>
      </w:tr>
      <w:tr>
        <w:trPr>
          <w:cantSplit/>
        </w:trPr>
        <w:tc>
          <w:tcPr>
            <w:tcW w:type="dxa" w:w="2952"/>
            <w:tcMar>
              <w:top w:w="70" w:type="dxa"/>
              <w:start w:w="90" w:type="dxa"/>
              <w:bottom w:w="70" w:type="dxa"/>
              <w:end w:w="90" w:type="dxa"/>
            </w:tcMar>
            <w:vAlign w:val="top"/>
          </w:tcPr>
          <w:p>
            <w:pPr>
              <w:spacing w:after="80"/>
            </w:pPr>
            <w:r>
              <w:rPr>
                <w:color w:val="000000"/>
                <w:sz w:val="20"/>
              </w:rPr>
              <w:t>ET for this application in this organization</w:t>
            </w:r>
          </w:p>
        </w:tc>
        <w:tc>
          <w:tcPr>
            <w:tcW w:type="dxa" w:w="7272"/>
            <w:tcMar>
              <w:top w:w="70" w:type="dxa"/>
              <w:start w:w="90" w:type="dxa"/>
              <w:bottom w:w="70" w:type="dxa"/>
              <w:end w:w="90" w:type="dxa"/>
            </w:tcMar>
            <w:vAlign w:val="top"/>
          </w:tcPr>
          <w:p>
            <w:pPr>
              <w:spacing w:after="80"/>
            </w:pPr>
            <w:r>
              <w:rPr>
                <w:color w:val="000000"/>
                <w:sz w:val="20"/>
              </w:rPr>
              <w:t>Business-Model Disruption Judgment: Moderate, conditional over 12–24 months. Faster production could reduce billable drafting hours and pressure pricing, while advisory judgment remains the core differentiated service. Low is plausible if savings are small or redeployed into higher-value work; High would need evidence that routine summaries dominate client willingness to pay.</w:t>
            </w:r>
          </w:p>
        </w:tc>
      </w:tr>
      <w:tr>
        <w:trPr>
          <w:cantSplit/>
        </w:trPr>
        <w:tc>
          <w:tcPr>
            <w:tcW w:type="dxa" w:w="2952"/>
            <w:tcMar>
              <w:top w:w="70" w:type="dxa"/>
              <w:start w:w="90" w:type="dxa"/>
              <w:bottom w:w="70" w:type="dxa"/>
              <w:end w:w="90" w:type="dxa"/>
            </w:tcMar>
            <w:vAlign w:val="top"/>
          </w:tcPr>
          <w:p>
            <w:pPr>
              <w:spacing w:after="80"/>
            </w:pPr>
            <w:r>
              <w:rPr>
                <w:color w:val="000000"/>
                <w:sz w:val="20"/>
              </w:rPr>
              <w:t>Bounded management implication</w:t>
            </w:r>
          </w:p>
        </w:tc>
        <w:tc>
          <w:tcPr>
            <w:tcW w:type="dxa" w:w="7272"/>
            <w:tcMar>
              <w:top w:w="70" w:type="dxa"/>
              <w:start w:w="90" w:type="dxa"/>
              <w:bottom w:w="70" w:type="dxa"/>
              <w:end w:w="90" w:type="dxa"/>
            </w:tcMar>
            <w:vAlign w:val="top"/>
          </w:tcPr>
          <w:p>
            <w:pPr>
              <w:spacing w:after="80"/>
            </w:pPr>
            <w:r>
              <w:rPr>
                <w:color w:val="000000"/>
                <w:sz w:val="20"/>
              </w:rPr>
              <w:t>Evaluate total reviewed effort, quality and revenue effects before scaling. Preserve human accountability; final adoption authority lies elsewhere.</w:t>
            </w:r>
          </w:p>
        </w:tc>
      </w:tr>
      <w:tr>
        <w:trPr>
          <w:cantSplit/>
        </w:trPr>
        <w:tc>
          <w:tcPr>
            <w:tcW w:type="dxa" w:w="2952"/>
            <w:tcMar>
              <w:top w:w="70" w:type="dxa"/>
              <w:start w:w="90" w:type="dxa"/>
              <w:bottom w:w="70" w:type="dxa"/>
              <w:end w:w="90" w:type="dxa"/>
            </w:tcMar>
            <w:vAlign w:val="top"/>
          </w:tcPr>
          <w:p>
            <w:pPr>
              <w:spacing w:after="80"/>
            </w:pPr>
            <w:r>
              <w:rPr>
                <w:color w:val="000000"/>
                <w:sz w:val="20"/>
              </w:rPr>
              <w:t>Confidence / uncertainty</w:t>
            </w:r>
          </w:p>
        </w:tc>
        <w:tc>
          <w:tcPr>
            <w:tcW w:type="dxa" w:w="7272"/>
            <w:tcMar>
              <w:top w:w="70" w:type="dxa"/>
              <w:start w:w="90" w:type="dxa"/>
              <w:bottom w:w="70" w:type="dxa"/>
              <w:end w:w="90" w:type="dxa"/>
            </w:tcMar>
            <w:vAlign w:val="top"/>
          </w:tcPr>
          <w:p>
            <w:pPr>
              <w:spacing w:after="80"/>
            </w:pPr>
            <w:r>
              <w:rPr>
                <w:color w:val="000000"/>
                <w:sz w:val="20"/>
              </w:rPr>
              <w:t>Moderate for the conditional classification; low for realized business-model effects. All firm details are constructed assumptions.</w:t>
            </w:r>
          </w:p>
        </w:tc>
      </w:tr>
      <w:tr>
        <w:trPr>
          <w:cantSplit/>
        </w:trPr>
        <w:tc>
          <w:tcPr>
            <w:tcW w:type="dxa" w:w="2952"/>
            <w:tcMar>
              <w:top w:w="70" w:type="dxa"/>
              <w:start w:w="90" w:type="dxa"/>
              <w:bottom w:w="70" w:type="dxa"/>
              <w:end w:w="90" w:type="dxa"/>
            </w:tcMar>
            <w:vAlign w:val="top"/>
          </w:tcPr>
          <w:p>
            <w:pPr>
              <w:spacing w:after="80"/>
            </w:pPr>
            <w:r>
              <w:rPr>
                <w:color w:val="000000"/>
                <w:sz w:val="20"/>
              </w:rPr>
              <w:t>What evidence or condition would change the conclusion</w:t>
            </w:r>
          </w:p>
        </w:tc>
        <w:tc>
          <w:tcPr>
            <w:tcW w:type="dxa" w:w="7272"/>
            <w:tcMar>
              <w:top w:w="70" w:type="dxa"/>
              <w:start w:w="90" w:type="dxa"/>
              <w:bottom w:w="70" w:type="dxa"/>
              <w:end w:w="90" w:type="dxa"/>
            </w:tcMar>
            <w:vAlign w:val="top"/>
          </w:tcPr>
          <w:p>
            <w:pPr>
              <w:spacing w:after="80"/>
            </w:pPr>
            <w:r>
              <w:rPr>
                <w:color w:val="000000"/>
                <w:sz w:val="20"/>
              </w:rPr>
              <w:t>Evidence of a deployed workflow redesign, new client channel or changed revenue logic could support breakthrough classification. Revenue mix and willingness to pay could raise or lower disruption exposure.</w:t>
            </w:r>
          </w:p>
        </w:tc>
      </w:tr>
    </w:tbl>
    <w:p>
      <w:pPr>
        <w:pStyle w:val="Heading1"/>
      </w:pPr>
      <w:r>
        <w:rPr>
          <w:color w:val="000000"/>
        </w:rPr>
        <w:t>D. Evidence and Testing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cantSplit/>
        </w:trPr>
        <w:tc>
          <w:tcPr>
            <w:tcW w:type="dxa" w:w="2952"/>
            <w:tcMar>
              <w:top w:w="70" w:type="dxa"/>
              <w:start w:w="90" w:type="dxa"/>
              <w:bottom w:w="70" w:type="dxa"/>
              <w:end w:w="90" w:type="dxa"/>
            </w:tcMar>
            <w:vAlign w:val="top"/>
            <w:shd w:fill="57068C"/>
            <w:shd w:fill="EAEAEA"/>
          </w:tcPr>
          <w:p>
            <w:pPr>
              <w:spacing w:after="80"/>
            </w:pPr>
            <w:r>
              <w:rPr>
                <w:b/>
                <w:color w:val="000000"/>
                <w:sz w:val="20"/>
              </w:rPr>
              <w:t>Field</w:t>
            </w:r>
          </w:p>
        </w:tc>
        <w:tc>
          <w:tcPr>
            <w:tcW w:type="dxa" w:w="7272"/>
            <w:tcMar>
              <w:top w:w="70" w:type="dxa"/>
              <w:start w:w="90" w:type="dxa"/>
              <w:bottom w:w="70" w:type="dxa"/>
              <w:end w:w="90" w:type="dxa"/>
            </w:tcMar>
            <w:vAlign w:val="top"/>
            <w:shd w:fill="57068C"/>
            <w:shd w:fill="EAEAEA"/>
          </w:tcPr>
          <w:p>
            <w:pPr>
              <w:spacing w:after="80"/>
            </w:pPr>
            <w:r>
              <w:rPr>
                <w:b/>
                <w:color w:val="000000"/>
                <w:sz w:val="20"/>
              </w:rPr>
              <w:t>Student record</w:t>
            </w:r>
          </w:p>
        </w:tc>
      </w:tr>
      <w:tr>
        <w:trPr>
          <w:cantSplit/>
        </w:trPr>
        <w:tc>
          <w:tcPr>
            <w:tcW w:type="dxa" w:w="2952"/>
            <w:tcMar>
              <w:top w:w="70" w:type="dxa"/>
              <w:start w:w="90" w:type="dxa"/>
              <w:bottom w:w="70" w:type="dxa"/>
              <w:end w:w="90" w:type="dxa"/>
            </w:tcMar>
            <w:vAlign w:val="top"/>
          </w:tcPr>
          <w:p>
            <w:pPr>
              <w:spacing w:after="80"/>
            </w:pPr>
            <w:r>
              <w:rPr>
                <w:color w:val="000000"/>
                <w:sz w:val="20"/>
              </w:rPr>
              <w:t>Most important evidence/source(s)</w:t>
            </w:r>
          </w:p>
        </w:tc>
        <w:tc>
          <w:tcPr>
            <w:tcW w:type="dxa" w:w="7272"/>
            <w:tcMar>
              <w:top w:w="70" w:type="dxa"/>
              <w:start w:w="90" w:type="dxa"/>
              <w:bottom w:w="70" w:type="dxa"/>
              <w:end w:w="90" w:type="dxa"/>
            </w:tcMar>
            <w:vAlign w:val="top"/>
          </w:tcPr>
          <w:p>
            <w:pPr>
              <w:spacing w:after="80"/>
            </w:pPr>
            <w:r>
              <w:rPr>
                <w:color w:val="000000"/>
                <w:sz w:val="20"/>
              </w:rPr>
              <w:t>E1: revised Assignment 3 memo; E2: Dell’Acqua et al., Organization Science (2026), DOI 10.1287/orsc.2025.21838; E3: explicitly hypothetical case inputs.</w:t>
            </w:r>
          </w:p>
        </w:tc>
      </w:tr>
      <w:tr>
        <w:trPr>
          <w:cantSplit/>
        </w:trPr>
        <w:tc>
          <w:tcPr>
            <w:tcW w:type="dxa" w:w="2952"/>
            <w:tcMar>
              <w:top w:w="70" w:type="dxa"/>
              <w:start w:w="90" w:type="dxa"/>
              <w:bottom w:w="70" w:type="dxa"/>
              <w:end w:w="90" w:type="dxa"/>
            </w:tcMar>
            <w:vAlign w:val="top"/>
          </w:tcPr>
          <w:p>
            <w:pPr>
              <w:spacing w:after="80"/>
            </w:pPr>
            <w:r>
              <w:rPr>
                <w:color w:val="000000"/>
                <w:sz w:val="20"/>
              </w:rPr>
              <w:t>Primary test - result</w:t>
            </w:r>
          </w:p>
        </w:tc>
        <w:tc>
          <w:tcPr>
            <w:tcW w:type="dxa" w:w="7272"/>
            <w:tcMar>
              <w:top w:w="70" w:type="dxa"/>
              <w:start w:w="90" w:type="dxa"/>
              <w:bottom w:w="70" w:type="dxa"/>
              <w:end w:w="90" w:type="dxa"/>
            </w:tcMar>
            <w:vAlign w:val="top"/>
          </w:tcPr>
          <w:p>
            <w:pPr>
              <w:spacing w:after="80"/>
            </w:pPr>
            <w:r>
              <w:t>Structured analytical evaluation: prospective incremental innovation; Moderate conditional business-model exposure. Official prompt building and response validation passed for all four cases.</w:t>
            </w:r>
          </w:p>
        </w:tc>
      </w:tr>
      <w:tr>
        <w:trPr>
          <w:cantSplit/>
        </w:trPr>
        <w:tc>
          <w:tcPr>
            <w:tcW w:type="dxa" w:w="2952"/>
            <w:tcMar>
              <w:top w:w="70" w:type="dxa"/>
              <w:start w:w="90" w:type="dxa"/>
              <w:bottom w:w="70" w:type="dxa"/>
              <w:end w:w="90" w:type="dxa"/>
            </w:tcMar>
            <w:vAlign w:val="top"/>
          </w:tcPr>
          <w:p>
            <w:pPr>
              <w:spacing w:after="80"/>
            </w:pPr>
            <w:r>
              <w:rPr>
                <w:color w:val="000000"/>
                <w:sz w:val="20"/>
              </w:rPr>
              <w:t>Contrast test - what appropriately stayed stable</w:t>
            </w:r>
          </w:p>
        </w:tc>
        <w:tc>
          <w:tcPr>
            <w:tcW w:type="dxa" w:w="7272"/>
            <w:tcMar>
              <w:top w:w="70" w:type="dxa"/>
              <w:start w:w="90" w:type="dxa"/>
              <w:bottom w:w="70" w:type="dxa"/>
              <w:end w:w="90" w:type="dxa"/>
            </w:tcMar>
            <w:vAlign w:val="top"/>
          </w:tcPr>
          <w:p>
            <w:pPr>
              <w:spacing w:after="80"/>
            </w:pPr>
            <w:r>
              <w:rPr>
                <w:color w:val="000000"/>
                <w:sz w:val="20"/>
              </w:rPr>
              <w:t>General LLM finding is identical in all three contextual outputs; organizational posture does not rewrite technology evidence.</w:t>
            </w:r>
          </w:p>
        </w:tc>
      </w:tr>
      <w:tr>
        <w:trPr>
          <w:cantSplit/>
        </w:trPr>
        <w:tc>
          <w:tcPr>
            <w:tcW w:type="dxa" w:w="2952"/>
            <w:tcMar>
              <w:top w:w="70" w:type="dxa"/>
              <w:start w:w="90" w:type="dxa"/>
              <w:bottom w:w="70" w:type="dxa"/>
              <w:end w:w="90" w:type="dxa"/>
            </w:tcMar>
            <w:vAlign w:val="top"/>
          </w:tcPr>
          <w:p>
            <w:pPr>
              <w:spacing w:after="80"/>
            </w:pPr>
            <w:r>
              <w:rPr>
                <w:color w:val="000000"/>
                <w:sz w:val="20"/>
              </w:rPr>
              <w:t>Contrast test - what appropriately changed</w:t>
            </w:r>
          </w:p>
        </w:tc>
        <w:tc>
          <w:tcPr>
            <w:tcW w:type="dxa" w:w="7272"/>
            <w:tcMar>
              <w:top w:w="70" w:type="dxa"/>
              <w:start w:w="90" w:type="dxa"/>
              <w:bottom w:w="70" w:type="dxa"/>
              <w:end w:w="90" w:type="dxa"/>
            </w:tcMar>
            <w:vAlign w:val="top"/>
          </w:tcPr>
          <w:p>
            <w:pPr>
              <w:spacing w:after="80"/>
            </w:pPr>
            <w:r>
              <w:rPr>
                <w:color w:val="000000"/>
                <w:sz w:val="20"/>
              </w:rPr>
              <w:t>Firm B: existing AI workflow and fixed fees → Low exposure. Firm C: proposed self-service subscriptions replacing core hourly reporting → prospective breakthrough and High conditional exposure.</w:t>
            </w:r>
          </w:p>
        </w:tc>
      </w:tr>
      <w:tr>
        <w:trPr>
          <w:cantSplit/>
        </w:trPr>
        <w:tc>
          <w:tcPr>
            <w:tcW w:type="dxa" w:w="2952"/>
            <w:tcMar>
              <w:top w:w="70" w:type="dxa"/>
              <w:start w:w="90" w:type="dxa"/>
              <w:bottom w:w="70" w:type="dxa"/>
              <w:end w:w="90" w:type="dxa"/>
            </w:tcMar>
            <w:vAlign w:val="top"/>
          </w:tcPr>
          <w:p>
            <w:pPr>
              <w:spacing w:after="80"/>
            </w:pPr>
            <w:r>
              <w:rPr>
                <w:color w:val="000000"/>
                <w:sz w:val="20"/>
              </w:rPr>
              <w:t>Weakness/failure found</w:t>
            </w:r>
          </w:p>
        </w:tc>
        <w:tc>
          <w:tcPr>
            <w:tcW w:type="dxa" w:w="7272"/>
            <w:tcMar>
              <w:top w:w="70" w:type="dxa"/>
              <w:start w:w="90" w:type="dxa"/>
              <w:bottom w:w="70" w:type="dxa"/>
              <w:end w:w="90" w:type="dxa"/>
            </w:tcMar>
            <w:vAlign w:val="top"/>
          </w:tcPr>
          <w:p>
            <w:r>
              <w:t>The saved v0.2 responses reused the same generic timing-risk paragraph across different business models. The primary output also described an unmeasured benefit as achieved. The ambiguous case correctly withheld a rating.</w:t>
            </w:r>
          </w:p>
        </w:tc>
      </w:tr>
      <w:tr>
        <w:trPr>
          <w:cantSplit/>
        </w:trPr>
        <w:tc>
          <w:tcPr>
            <w:tcW w:type="dxa" w:w="2952"/>
            <w:tcMar>
              <w:top w:w="70" w:type="dxa"/>
              <w:start w:w="90" w:type="dxa"/>
              <w:bottom w:w="70" w:type="dxa"/>
              <w:end w:w="90" w:type="dxa"/>
            </w:tcMar>
            <w:vAlign w:val="top"/>
          </w:tcPr>
          <w:p>
            <w:pPr>
              <w:spacing w:after="80"/>
            </w:pPr>
            <w:r>
              <w:rPr>
                <w:color w:val="000000"/>
                <w:sz w:val="20"/>
              </w:rPr>
              <w:t>Revision made and why</w:t>
            </w:r>
          </w:p>
        </w:tc>
        <w:tc>
          <w:tcPr>
            <w:tcW w:type="dxa" w:w="7272"/>
            <w:tcMar>
              <w:top w:w="70" w:type="dxa"/>
              <w:start w:w="90" w:type="dxa"/>
              <w:bottom w:w="70" w:type="dxa"/>
              <w:end w:w="90" w:type="dxa"/>
            </w:tcMar>
            <w:vAlign w:val="top"/>
          </w:tcPr>
          <w:p>
            <w:r>
              <w:t>v0.3 requires context-specific early-commitment versus non-response reasoning and conditional language for unmeasured benefits. Revised responses distinguish Firm B’s tool-switching risk from Firm C’s core-revenue exposure. Earlier outputs are preserved.</w:t>
            </w:r>
          </w:p>
        </w:tc>
      </w:tr>
      <w:tr>
        <w:trPr>
          <w:cantSplit/>
        </w:trPr>
        <w:tc>
          <w:tcPr>
            <w:tcW w:type="dxa" w:w="2952"/>
            <w:tcMar>
              <w:top w:w="70" w:type="dxa"/>
              <w:start w:w="90" w:type="dxa"/>
              <w:bottom w:w="70" w:type="dxa"/>
              <w:end w:w="90" w:type="dxa"/>
            </w:tcMar>
            <w:vAlign w:val="top"/>
          </w:tcPr>
          <w:p>
            <w:pPr>
              <w:spacing w:after="80"/>
            </w:pPr>
            <w:r>
              <w:rPr>
                <w:color w:val="000000"/>
                <w:sz w:val="20"/>
              </w:rPr>
              <w:t>Remaining limitation / abstention condition</w:t>
            </w:r>
          </w:p>
        </w:tc>
        <w:tc>
          <w:tcPr>
            <w:tcW w:type="dxa" w:w="7272"/>
            <w:tcMar>
              <w:top w:w="70" w:type="dxa"/>
              <w:start w:w="90" w:type="dxa"/>
              <w:bottom w:w="70" w:type="dxa"/>
              <w:end w:w="90" w:type="dxa"/>
            </w:tcMar>
            <w:vAlign w:val="top"/>
          </w:tcPr>
          <w:p>
            <w:pPr>
              <w:spacing w:after="80"/>
            </w:pPr>
            <w:r>
              <w:t>Constructed cases do not demonstrate real commercial outcomes. Frozen core and official scripts verified. Specialist upload was blocked by GitHub integration permissions. Abstain when baseline, deployment or economic dependence is unknown.</w:t>
            </w:r>
          </w:p>
        </w:tc>
      </w:tr>
    </w:tbl>
    <w:p>
      <w:pPr>
        <w:pStyle w:val="Heading1"/>
      </w:pPr>
      <w:r>
        <w:rPr>
          <w:color w:val="000000"/>
        </w:rPr>
        <w:t>E. Independent Judgment and Handoff</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cantSplit/>
        </w:trPr>
        <w:tc>
          <w:tcPr>
            <w:tcW w:type="dxa" w:w="2952"/>
            <w:tcMar>
              <w:top w:w="70" w:type="dxa"/>
              <w:start w:w="90" w:type="dxa"/>
              <w:bottom w:w="70" w:type="dxa"/>
              <w:end w:w="90" w:type="dxa"/>
            </w:tcMar>
            <w:vAlign w:val="top"/>
            <w:shd w:fill="57068C"/>
            <w:shd w:fill="EAEAEA"/>
          </w:tcPr>
          <w:p>
            <w:pPr>
              <w:spacing w:after="80"/>
            </w:pPr>
            <w:r>
              <w:rPr>
                <w:b/>
                <w:color w:val="000000"/>
                <w:sz w:val="20"/>
              </w:rPr>
              <w:t>Field</w:t>
            </w:r>
          </w:p>
        </w:tc>
        <w:tc>
          <w:tcPr>
            <w:tcW w:type="dxa" w:w="7272"/>
            <w:tcMar>
              <w:top w:w="70" w:type="dxa"/>
              <w:start w:w="90" w:type="dxa"/>
              <w:bottom w:w="70" w:type="dxa"/>
              <w:end w:w="90" w:type="dxa"/>
            </w:tcMar>
            <w:vAlign w:val="top"/>
            <w:shd w:fill="57068C"/>
            <w:shd w:fill="EAEAEA"/>
          </w:tcPr>
          <w:p>
            <w:pPr>
              <w:spacing w:after="80"/>
            </w:pPr>
            <w:r>
              <w:rPr>
                <w:b/>
                <w:color w:val="000000"/>
                <w:sz w:val="20"/>
              </w:rPr>
              <w:t>Student record</w:t>
            </w:r>
          </w:p>
        </w:tc>
      </w:tr>
      <w:tr>
        <w:trPr>
          <w:cantSplit/>
        </w:trPr>
        <w:tc>
          <w:tcPr>
            <w:tcW w:type="dxa" w:w="2952"/>
            <w:tcMar>
              <w:top w:w="70" w:type="dxa"/>
              <w:start w:w="90" w:type="dxa"/>
              <w:bottom w:w="70" w:type="dxa"/>
              <w:end w:w="90" w:type="dxa"/>
            </w:tcMar>
            <w:vAlign w:val="top"/>
          </w:tcPr>
          <w:p>
            <w:pPr>
              <w:spacing w:after="80"/>
            </w:pPr>
            <w:r>
              <w:rPr>
                <w:color w:val="000000"/>
                <w:sz w:val="20"/>
              </w:rPr>
              <w:t>Is the agent credible enough for team consideration? Why?</w:t>
            </w:r>
          </w:p>
        </w:tc>
        <w:tc>
          <w:tcPr>
            <w:tcW w:type="dxa" w:w="7272"/>
            <w:tcMar>
              <w:top w:w="70" w:type="dxa"/>
              <w:start w:w="90" w:type="dxa"/>
              <w:bottom w:w="70" w:type="dxa"/>
              <w:end w:w="90" w:type="dxa"/>
            </w:tcMar>
            <w:vAlign w:val="top"/>
          </w:tcPr>
          <w:p>
            <w:pPr>
              <w:spacing w:after="80"/>
            </w:pPr>
            <w:r>
              <w:t>Suitable for provisional team discussion because criteria, assumptions, contrasts and limitations are explicit. Technical checks passed; specialist publication and student review remain.</w:t>
            </w:r>
          </w:p>
        </w:tc>
      </w:tr>
      <w:tr>
        <w:trPr>
          <w:cantSplit/>
        </w:trPr>
        <w:tc>
          <w:tcPr>
            <w:tcW w:type="dxa" w:w="2952"/>
            <w:tcMar>
              <w:top w:w="70" w:type="dxa"/>
              <w:start w:w="90" w:type="dxa"/>
              <w:bottom w:w="70" w:type="dxa"/>
              <w:end w:w="90" w:type="dxa"/>
            </w:tcMar>
            <w:vAlign w:val="top"/>
          </w:tcPr>
          <w:p>
            <w:pPr>
              <w:spacing w:after="80"/>
            </w:pPr>
            <w:r>
              <w:rPr>
                <w:color w:val="000000"/>
                <w:sz w:val="20"/>
              </w:rPr>
              <w:t>Most important recommendation to the team</w:t>
            </w:r>
          </w:p>
        </w:tc>
        <w:tc>
          <w:tcPr>
            <w:tcW w:type="dxa" w:w="7272"/>
            <w:tcMar>
              <w:top w:w="70" w:type="dxa"/>
              <w:start w:w="90" w:type="dxa"/>
              <w:bottom w:w="70" w:type="dxa"/>
              <w:end w:w="90" w:type="dxa"/>
            </w:tcMar>
            <w:vAlign w:val="top"/>
          </w:tcPr>
          <w:p>
            <w:pPr>
              <w:spacing w:after="80"/>
            </w:pPr>
            <w:r>
              <w:rPr>
                <w:color w:val="000000"/>
                <w:sz w:val="20"/>
              </w:rPr>
              <w:t>Preserve the distinction between novelty and value capture. Review pricing exposure even when the application is only incremental. Do not infer existential disruption from privacy risk or efficiency alone.</w:t>
            </w:r>
          </w:p>
        </w:tc>
      </w:tr>
      <w:tr>
        <w:trPr>
          <w:cantSplit/>
        </w:trPr>
        <w:tc>
          <w:tcPr>
            <w:tcW w:type="dxa" w:w="2952"/>
            <w:tcMar>
              <w:top w:w="70" w:type="dxa"/>
              <w:start w:w="90" w:type="dxa"/>
              <w:bottom w:w="70" w:type="dxa"/>
              <w:end w:w="90" w:type="dxa"/>
            </w:tcMar>
            <w:vAlign w:val="top"/>
          </w:tcPr>
          <w:p>
            <w:pPr>
              <w:spacing w:after="80"/>
            </w:pPr>
            <w:r>
              <w:rPr>
                <w:color w:val="000000"/>
                <w:sz w:val="20"/>
              </w:rPr>
              <w:t>AI / verification note</w:t>
            </w:r>
          </w:p>
        </w:tc>
        <w:tc>
          <w:tcPr>
            <w:tcW w:type="dxa" w:w="7272"/>
            <w:tcMar>
              <w:top w:w="70" w:type="dxa"/>
              <w:start w:w="90" w:type="dxa"/>
              <w:bottom w:w="70" w:type="dxa"/>
              <w:end w:w="90" w:type="dxa"/>
            </w:tcMar>
            <w:vAlign w:val="top"/>
          </w:tcPr>
          <w:p>
            <w:pPr>
              <w:spacing w:after="80"/>
            </w:pPr>
            <w:r>
              <w:t>ChatGPT/Codex drafted instructions, cases, structured analyses and this record. Original assignment requirements and the published research abstract were inspected; All four outputs passed the official course validator. No field results or student sign-off are claimed. Repository baseline verified; specialist upload blocked with HTTP 403.</w:t>
            </w:r>
          </w:p>
        </w:tc>
      </w:tr>
    </w:tbl>
    <w:p>
      <w:r>
        <w:rPr>
          <w:color w:val="000000"/>
        </w:rPr>
        <w:br w:type="page"/>
      </w:r>
    </w:p>
    <w:p>
      <w:pPr>
        <w:pStyle w:val="Heading1"/>
      </w:pPr>
      <w:r>
        <w:rPr>
          <w:color w:val="000000"/>
        </w:rPr>
        <w:t>Independent Judgment and Team Handoff</w:t>
      </w:r>
    </w:p>
    <w:p>
      <w:r>
        <w:rPr>
          <w:color w:val="000000"/>
        </w:rPr>
        <w:t>The most defensible classification for the primary case is prospective incremental process innovation with Moderate conditional business-model exposure. The tool changes drafting, while the firm still sells accountable interpretation. Yet faster drafting can reduce the hours it can bill. This makes the revenue model as important as the novelty of the application.</w:t>
      </w:r>
    </w:p>
    <w:p>
      <w:r>
        <w:rPr>
          <w:color w:val="000000"/>
        </w:rPr>
        <w:t>Firm B is a counter-case: an existing reviewed AI workflow and fixed-fee model make another summarization tool a limited operational change. Firm C presents a larger discontinuity because the proposed subscription changes how clients obtain and pay for the core service. That supports a prospective organizational breakthrough classification, but not a claim of commercial success or inevitable displacement.</w:t>
      </w:r>
    </w:p>
    <w:p>
      <w:pPr>
        <w:pStyle w:val="Heading2"/>
      </w:pPr>
      <w:r>
        <w:rPr>
          <w:color w:val="000000"/>
        </w:rPr>
        <w:t>Criteria to Preserve</w:t>
      </w:r>
    </w:p>
    <w:p>
      <w:r>
        <w:rPr>
          <w:color w:val="000000"/>
        </w:rPr>
        <w:t>1. Invention: a technically demonstrated capability. A lab demonstration alone does not establish practical implementation, customer demand, or viability.</w:t>
      </w:r>
    </w:p>
    <w:p>
      <w:r>
        <w:rPr>
          <w:color w:val="000000"/>
        </w:rPr>
        <w:t>2. Innovation: implementation of a new or improved capability in practical use. A proposal is prospective innovation, not realized innovation. Integration of existing technologies can qualify without global invention.</w:t>
      </w:r>
    </w:p>
    <w:p>
      <w:r>
        <w:rPr>
          <w:color w:val="000000"/>
        </w:rPr>
        <w:t>3. Entrepreneurship/commercialization: organizing a viable offering, delivery, customers and revenue. Distinguish planned commercialization from paid use and from sustainable economics. These categories can coexist rather than forming exclusive labels.</w:t>
      </w:r>
    </w:p>
    <w:p>
      <w:r>
        <w:rPr>
          <w:color w:val="000000"/>
        </w:rPr>
        <w:t>4. Incremental innovation: meaningful improvement within substantially unchanged activities, accountability, value proposition and economics. Routine editing or a negligible convenience may be ordinary improvement instead.</w:t>
      </w:r>
    </w:p>
    <w:p>
      <w:r>
        <w:rPr>
          <w:color w:val="000000"/>
        </w:rPr>
        <w:t>5. Breakthrough organizational innovation: material redesign of core workflow, roles, value delivery or revenue logic relative to a stated organizational baseline. First use alone is insufficient. Do not label a new model invention without technical evidence.</w:t>
      </w:r>
    </w:p>
    <w:p>
      <w:r>
        <w:rPr>
          <w:color w:val="000000"/>
        </w:rPr>
        <w:t>6. Business-Model Disruption Judgment: Low = task gains without material change to value capture; Moderate = meaningful pressure on one economic mechanism with core differentiation intact; High = credible replacement or commoditization of core paid activities or revenue logic; Potentially Existential = credible threat to continued viability with no demonstrated replacement. State assumptions and time horizon. These are qualitative screening criteria, not probabilities or course-mandated numerical thresholds.</w:t>
      </w:r>
    </w:p>
    <w:p>
      <w:pPr>
        <w:pStyle w:val="Heading2"/>
      </w:pPr>
      <w:r>
        <w:rPr>
          <w:color w:val="000000"/>
        </w:rPr>
        <w:t>Verification and Integration</w:t>
      </w:r>
    </w:p>
    <w:p>
      <w:r>
        <w:t>Preserve source and assumption labels when integrating this specialist. Pass broad technological significance to the Promethean expert, spread and timing to diffusion, final adoption decisions to adoption, execution capacity to organizational readiness, and current competitors or vendors to landscape. Frozen-core and official response checks passed. Publish the specialist files, record their commit, and obtain student review before submission.</w:t>
      </w:r>
    </w:p>
    <w:p>
      <w:r>
        <w:rPr>
          <w:color w:val="000000"/>
        </w:rPr>
        <w:t>Source: Dell’Acqua et al. (2026), Navigating the Jagged Technological Frontier: Field Experimental Evidence of the Effects of Artificial Intelligence on Knowledge Worker Productivity and Quality. Organization Science. https://doi.org/10.1287/orsc.2025.21838. Publisher abstract accessed October 12, 2026. It supports task-dependent practical capability; it does not verify the constructed firms or their business outcomes.</w:t>
      </w:r>
    </w:p>
    <w:sectPr w:rsidR="00630F3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000000"/>
      </w:rPr>
      <w:t>Specialist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000000"/>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