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47c15648f7d33876a73aaf4a959b74403a78a0"/>
    <w:p>
      <w:pPr>
        <w:pStyle w:val="Heading1"/>
      </w:pPr>
      <w:r>
        <w:t xml:space="preserve">סקירת ספרות להעשרת Section 1 — רקע היסטורי ותיאורטי</w:t>
      </w:r>
    </w:p>
    <w:p>
      <w:pPr>
        <w:pStyle w:val="BlockText"/>
      </w:pPr>
      <w:r>
        <w:rPr>
          <w:bCs/>
          <w:b/>
        </w:rPr>
        <w:t xml:space="preserve">מה זה המסמך הזה.</w:t>
      </w:r>
      <w:r>
        <w:t xml:space="preserve"> </w:t>
      </w:r>
      <w:r>
        <w:t xml:space="preserve">סקירת ספרות שהכנתי כחומר מקור ל-</w:t>
      </w:r>
      <w:r>
        <w:rPr>
          <w:rStyle w:val="VerbatimChar"/>
        </w:rPr>
        <w:t xml:space="preserve">intro/</w:t>
      </w:r>
      <w:r>
        <w:t xml:space="preserve"> </w:t>
      </w:r>
      <w:r>
        <w:t xml:space="preserve">— לא טקסט מוגמר ל-HTML, אלא תשתית מסונתזת עם ציטוטים שאפשר לחלוב ממנה פסקאות, callouts ונקודות לטיימליין. כתוב בקונבנציות הפרויקט: עברית RTL, מונחים טכניים באנגלית, סיטציות בגוף הטקסט (מחבר, שנה), זהירות אפיסטמית.</w:t>
      </w:r>
    </w:p>
    <w:p>
      <w:pPr>
        <w:pStyle w:val="BlockText"/>
      </w:pPr>
      <w:r>
        <w:rPr>
          <w:bCs/>
          <w:b/>
        </w:rPr>
        <w:t xml:space="preserve">הסתייגות.</w:t>
      </w:r>
      <w:r>
        <w:t xml:space="preserve"> </w:t>
      </w:r>
      <w:r>
        <w:t xml:space="preserve">לא ראיתי את התוכן הנוכחי של</w:t>
      </w:r>
      <w:r>
        <w:t xml:space="preserve"> </w:t>
      </w:r>
      <w:r>
        <w:rPr>
          <w:rStyle w:val="VerbatimChar"/>
        </w:rPr>
        <w:t xml:space="preserve">intro/index.html</w:t>
      </w:r>
      <w:r>
        <w:t xml:space="preserve">, אז ייתכנו חפיפות. בכל חלק סימנתי</w:t>
      </w:r>
      <w:r>
        <w:t xml:space="preserve"> </w:t>
      </w:r>
      <w:r>
        <w:rPr>
          <w:rStyle w:val="VerbatimChar"/>
        </w:rPr>
        <w:t xml:space="preserve">[חדש?]</w:t>
      </w:r>
      <w:r>
        <w:t xml:space="preserve"> </w:t>
      </w:r>
      <w:r>
        <w:t xml:space="preserve">היכן שלהערכתי זו תוספת, מול</w:t>
      </w:r>
      <w:r>
        <w:t xml:space="preserve"> </w:t>
      </w:r>
      <w:r>
        <w:rPr>
          <w:rStyle w:val="VerbatimChar"/>
        </w:rPr>
        <w:t xml:space="preserve">[כנראה קיים]</w:t>
      </w:r>
      <w:r>
        <w:t xml:space="preserve"> </w:t>
      </w:r>
      <w:r>
        <w:t xml:space="preserve">היכן שכנראה כבר יש משהו. כדאי שתעבור ותסנן מול מה שבנוי.</w:t>
      </w:r>
    </w:p>
    <w:p>
      <w:pPr>
        <w:pStyle w:val="BlockText"/>
      </w:pPr>
      <w:r>
        <w:t xml:space="preserve">כל המקורות אומתו מול מאגרים אקדמיים (Semantic Scholar / PubMed / Scopus) ואתר ה-Society for Psychophysiological Research.</w:t>
      </w:r>
    </w:p>
    <w:p>
      <w:r>
        <w:pict>
          <v:rect style="width:0;height:1.5pt" o:hralign="center" o:hrstd="t" o:hr="t"/>
        </w:pict>
      </w:r>
    </w:p>
    <w:bookmarkStart w:id="20" w:name="חלק-א-מהי-פסיכופיזיולוגיה-התשתית-המושגית"/>
    <w:p>
      <w:pPr>
        <w:pStyle w:val="Heading2"/>
      </w:pPr>
      <w:r>
        <w:t xml:space="preserve">חלק א׳ — מהי פסיכופיזיולוגיה (התשתית המושגית)</w:t>
      </w:r>
    </w:p>
    <w:p>
      <w:pPr>
        <w:pStyle w:val="FirstParagraph"/>
      </w:pPr>
      <w:r>
        <w:t xml:space="preserve">פסיכופיזיולוגיה היא הדיסציפלינה שמנסה לגשר על שני תיאורים של אותו אדם — התיאור הפסיכולוגי (חוויה, רגש, קוגניציה) והתיאור הפיזיולוגי (פעילות מערכת העצבים, הלב, בלוטות הזיעה). הניסוח הקלאסי, מתוך ספר היסוד של התחום (Cacioppo, Tassinary &amp; Berntson,</w:t>
      </w:r>
      <w:r>
        <w:t xml:space="preserve"> </w:t>
      </w:r>
      <w:r>
        <w:rPr>
          <w:iCs/>
          <w:i/>
        </w:rPr>
        <w:t xml:space="preserve">Handbook of Psychophysiology</w:t>
      </w:r>
      <w:r>
        <w:t xml:space="preserve">), הוא ש”פסיכופיזיולוגיה היא רעיון עתיק אבל מדע חדש”: האינטואיציה שמצב הגוף קשור למצב הנפש מלווה את האדם מאז ומתמיד, אבל ההפיכה שלה למדע שיטתי היא בת כמה עשורים בלבד.</w:t>
      </w:r>
    </w:p>
    <w:p>
      <w:pPr>
        <w:pStyle w:val="BodyText"/>
      </w:pPr>
      <w:r>
        <w:t xml:space="preserve">נקודת מפתח מושגית שכדאי להבליט כבר בפתיחה: פסיכופיזיולוגיה אינה</w:t>
      </w:r>
      <w:r>
        <w:t xml:space="preserve"> </w:t>
      </w:r>
      <w:r>
        <w:t xml:space="preserve">“</w:t>
      </w:r>
      <w:r>
        <w:t xml:space="preserve">פסיכולוגיה פיזיולוגית</w:t>
      </w:r>
      <w:r>
        <w:t xml:space="preserve">”</w:t>
      </w:r>
      <w:r>
        <w:t xml:space="preserve">. ההבחנה הקלאסית היא בכיוון ההיסק — בפסיכולוגיה פיזיולוגית מתערבים פיזיולוגית (נגע, גירוי מוחי) ומודדים שינוי התנהגותי; בפסיכופיזיולוגיה מתערבים פסיכולוגית (מציגים גירוי רגשי, משימה קוגניטיבית) ומודדים שינוי פיזיולוגי לא-פולשני. ה-SPR מנסחת זאת כך: פסיכופיזיולוגיה היא הרחבה טבעית של אנטומיה ופיזיולוגיה אל תוך החקירה של חוויה והתנהגות אנושית.</w:t>
      </w:r>
    </w:p>
    <w:p>
      <w:pPr>
        <w:pStyle w:val="BodyText"/>
      </w:pPr>
      <w:r>
        <w:rPr>
          <w:bCs/>
          <w:b/>
        </w:rPr>
        <w:t xml:space="preserve">מתי התחום נולד כדיסציפלינה?</w:t>
      </w:r>
      <w:r>
        <w:t xml:space="preserve"> </w:t>
      </w:r>
      <w:r>
        <w:t xml:space="preserve">[חדש?] זה סיפור יפה לטיימליין, וההפרדה בין</w:t>
      </w:r>
      <w:r>
        <w:t xml:space="preserve"> </w:t>
      </w:r>
      <w:r>
        <w:t xml:space="preserve">“</w:t>
      </w:r>
      <w:r>
        <w:t xml:space="preserve">התופעות התגלו</w:t>
      </w:r>
      <w:r>
        <w:t xml:space="preserve">”</w:t>
      </w:r>
      <w:r>
        <w:t xml:space="preserve"> </w:t>
      </w:r>
      <w:r>
        <w:t xml:space="preserve">ל”השדה התמסד” חשובה:</w:t>
      </w:r>
    </w:p>
    <w:p>
      <w:pPr>
        <w:numPr>
          <w:ilvl w:val="0"/>
          <w:numId w:val="1001"/>
        </w:numPr>
        <w:pStyle w:val="Compact"/>
      </w:pPr>
      <w:r>
        <w:t xml:space="preserve">בשנות ה-50 חוקר בשם</w:t>
      </w:r>
      <w:r>
        <w:t xml:space="preserve"> </w:t>
      </w:r>
      <w:r>
        <w:rPr>
          <w:bCs/>
          <w:b/>
        </w:rPr>
        <w:t xml:space="preserve">Albert F. Ax</w:t>
      </w:r>
      <w:r>
        <w:t xml:space="preserve"> </w:t>
      </w:r>
      <w:r>
        <w:t xml:space="preserve">התחיל להפיץ את ה-</w:t>
      </w:r>
      <w:r>
        <w:rPr>
          <w:iCs/>
          <w:i/>
        </w:rPr>
        <w:t xml:space="preserve">Psychophysiology Newsletter</w:t>
      </w:r>
      <w:r>
        <w:t xml:space="preserve"> </w:t>
      </w:r>
      <w:r>
        <w:t xml:space="preserve">(1955) — אוסף דל של הערות מתודולוגיות וביבליוגרפיות, כי באותה תקופה מי שעסק במדידה פיזיולוגית של תהליכים נפשיים היה צריך לחפש מאמרים בפזורה של עשרות כתבי עת.</w:t>
      </w:r>
    </w:p>
    <w:p>
      <w:pPr>
        <w:numPr>
          <w:ilvl w:val="0"/>
          <w:numId w:val="1001"/>
        </w:numPr>
        <w:pStyle w:val="Compact"/>
      </w:pPr>
      <w:r>
        <w:t xml:space="preserve">מתוך</w:t>
      </w:r>
      <w:r>
        <w:t xml:space="preserve"> </w:t>
      </w:r>
      <w:r>
        <w:t xml:space="preserve">“</w:t>
      </w:r>
      <w:r>
        <w:t xml:space="preserve">קבוצת הפסיכופיזיולוגיה</w:t>
      </w:r>
      <w:r>
        <w:t xml:space="preserve">”</w:t>
      </w:r>
      <w:r>
        <w:t xml:space="preserve"> </w:t>
      </w:r>
      <w:r>
        <w:t xml:space="preserve">שנפגשה בכנסי ה-APA, הוחלט בכנס 1959 בסינסינטי להקים אגודה.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ה-Society for Psychophysiological Research (SPR) הוקמה ב-1960</w:t>
      </w:r>
      <w:r>
        <w:t xml:space="preserve">, וכתב העת</w:t>
      </w:r>
      <w:r>
        <w:t xml:space="preserve"> </w:t>
      </w:r>
      <w:r>
        <w:rPr>
          <w:bCs/>
          <w:b/>
        </w:rPr>
        <w:t xml:space="preserve">Psychophysiology יצא לראשונה ב-1964</w:t>
      </w:r>
      <w:r>
        <w:t xml:space="preserve">. הפתיח של הגיליון הראשון (Ax, 1964) מתאר שלפני כן חוקרים נאלצו</w:t>
      </w:r>
      <w:r>
        <w:t xml:space="preserve"> </w:t>
      </w:r>
      <w:r>
        <w:t xml:space="preserve">“</w:t>
      </w:r>
      <w:r>
        <w:t xml:space="preserve">לסרוק יותר מ-80 כתבי עת</w:t>
      </w:r>
      <w:r>
        <w:t xml:space="preserve">”</w:t>
      </w:r>
      <w:r>
        <w:t xml:space="preserve"> </w:t>
      </w:r>
      <w:r>
        <w:t xml:space="preserve">כדי למצוא מחקר פסיכופיזיולוגי — וזו בדיוק הבעיה שהאגודה והכתב באו לפתור.</w:t>
      </w:r>
    </w:p>
    <w:p>
      <w:pPr>
        <w:pStyle w:val="FirstParagraph"/>
      </w:pPr>
      <w:r>
        <w:t xml:space="preserve">המסר לסטודנט: התופעות (תגובת העור, שונות הדופק) נצפו במאה ה-19, אבל ההפיכה למדע עם סטנדרטים, נומנקלטורה וקהילה — זה אמצע המאה ה-20.</w:t>
      </w:r>
    </w:p>
    <w:p>
      <w:r>
        <w:pict>
          <v:rect style="width:0;height:1.5pt" o:hralign="center" o:hrstd="t" o:hr="t"/>
        </w:pict>
      </w:r>
    </w:p>
    <w:bookmarkEnd w:id="20"/>
    <w:bookmarkStart w:id="24" w:name="חלק-ב-למה-למדוד-את-הגוף-הרציונל"/>
    <w:p>
      <w:pPr>
        <w:pStyle w:val="Heading2"/>
      </w:pPr>
      <w:r>
        <w:t xml:space="preserve">חלק ב׳ — למה למדוד את הגוף (הרציונל)</w:t>
      </w:r>
    </w:p>
    <w:p>
      <w:pPr>
        <w:pStyle w:val="FirstParagraph"/>
      </w:pPr>
      <w:r>
        <w:t xml:space="preserve">זה לדעתי החלק הכי חשוב פדגוגית, כי הוא עונה על השאלה ששואל כל סטודנט חדש:</w:t>
      </w:r>
      <w:r>
        <w:t xml:space="preserve"> </w:t>
      </w:r>
      <w:r>
        <w:t xml:space="preserve">“</w:t>
      </w:r>
      <w:r>
        <w:t xml:space="preserve">אם אפשר פשוט לשאול את הנבדק איך הוא מרגיש, למה צריך אלקטרודות?</w:t>
      </w:r>
      <w:r>
        <w:t xml:space="preserve">”</w:t>
      </w:r>
    </w:p>
    <w:bookmarkStart w:id="21" w:name="המגבלות-של-דיווח-עצמי"/>
    <w:p>
      <w:pPr>
        <w:pStyle w:val="Heading3"/>
      </w:pPr>
      <w:r>
        <w:t xml:space="preserve">1. המגבלות של דיווח עצמי</w:t>
      </w:r>
    </w:p>
    <w:p>
      <w:pPr>
        <w:pStyle w:val="FirstParagraph"/>
      </w:pPr>
      <w:r>
        <w:t xml:space="preserve">דיווח עצמי הוא ערוץ יקר ערך אבל מוטה באופן שיטתי. הספרות המתודולוגית מצביעה על כמה מקורות הטיה חוזרים (סקירה נוחה: Korpal et al., 2023; וגם Li et al., 2015 בהקשר מדידת רגש):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רצייה חברתית</w:t>
      </w:r>
      <w:r>
        <w:t xml:space="preserve"> </w:t>
      </w:r>
      <w:r>
        <w:t xml:space="preserve">(social desirability) — נבדקים מדווחים מה שמקובל/רצוי, במיוחד בנושאים רגישים.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מודעות רגשית מוגבלת / אלקסיתימיה</w:t>
      </w:r>
      <w:r>
        <w:t xml:space="preserve"> </w:t>
      </w:r>
      <w:r>
        <w:t xml:space="preserve">— לא תמיד אנשים יודעים או מסוגלים לתאר מה הם מרגישים. זה רלוונטי במיוחד למעבדה קלינית.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הטיה רטרוספקטיבית</w:t>
      </w:r>
      <w:r>
        <w:t xml:space="preserve"> </w:t>
      </w:r>
      <w:r>
        <w:t xml:space="preserve">ו</w:t>
      </w:r>
      <w:r>
        <w:rPr>
          <w:bCs/>
          <w:b/>
        </w:rPr>
        <w:t xml:space="preserve">מאפייני ביקוש</w:t>
      </w:r>
      <w:r>
        <w:t xml:space="preserve"> </w:t>
      </w:r>
      <w:r>
        <w:t xml:space="preserve">(demand characteristics) — הנבדק משחזר או</w:t>
      </w:r>
      <w:r>
        <w:t xml:space="preserve"> </w:t>
      </w:r>
      <w:r>
        <w:t xml:space="preserve">“</w:t>
      </w:r>
      <w:r>
        <w:t xml:space="preserve">מנחש</w:t>
      </w:r>
      <w:r>
        <w:t xml:space="preserve">”</w:t>
      </w:r>
      <w:r>
        <w:t xml:space="preserve"> </w:t>
      </w:r>
      <w:r>
        <w:t xml:space="preserve">את התשובה הצפויה.</w:t>
      </w:r>
    </w:p>
    <w:p>
      <w:pPr>
        <w:numPr>
          <w:ilvl w:val="0"/>
          <w:numId w:val="1002"/>
        </w:numPr>
        <w:pStyle w:val="Compact"/>
      </w:pPr>
      <w:r>
        <w:t xml:space="preserve">אוכלוסיות שבהן דיווח עצמי בעייתי מלכתחילה (ילדים, חלק מהמטופלים) — שם הערך של מדד פיזיולוגי אובייקטיבי גדל (Neumann &amp; Westbury בהקשר אמפתיה, 2011).</w:t>
      </w:r>
    </w:p>
    <w:bookmarkEnd w:id="21"/>
    <w:bookmarkStart w:id="22" w:name="X716ea31ced7a7a9a989a3b172d95531b855f601"/>
    <w:p>
      <w:pPr>
        <w:pStyle w:val="Heading3"/>
      </w:pPr>
      <w:r>
        <w:t xml:space="preserve">2. שלושת ערוצי התגובה והדיסוציאציה ביניהם [חדש?]</w:t>
      </w:r>
    </w:p>
    <w:p>
      <w:pPr>
        <w:pStyle w:val="FirstParagraph"/>
      </w:pPr>
      <w:r>
        <w:t xml:space="preserve">נקודה מושגית חזקה: רגש אינו דבר אחד שנמדד בכמה דרכים, אלא מערכת של מרכיבים שלא תמיד נעים יחד. הטקסונומיה הקלאסית מבחינה בין שלושה ערוצי תגובה —</w:t>
      </w:r>
      <w:r>
        <w:t xml:space="preserve"> </w:t>
      </w:r>
      <w:r>
        <w:rPr>
          <w:bCs/>
          <w:b/>
        </w:rPr>
        <w:t xml:space="preserve">מילולי/חווייתי</w:t>
      </w:r>
      <w:r>
        <w:t xml:space="preserve">,</w:t>
      </w:r>
      <w:r>
        <w:t xml:space="preserve"> </w:t>
      </w:r>
      <w:r>
        <w:rPr>
          <w:bCs/>
          <w:b/>
        </w:rPr>
        <w:t xml:space="preserve">התנהגותי</w:t>
      </w:r>
      <w:r>
        <w:t xml:space="preserve">, ו</w:t>
      </w:r>
      <w:r>
        <w:rPr>
          <w:bCs/>
          <w:b/>
        </w:rPr>
        <w:t xml:space="preserve">פיזיולוגי</w:t>
      </w:r>
      <w:r>
        <w:t xml:space="preserve"> </w:t>
      </w:r>
      <w:r>
        <w:t xml:space="preserve">— ובין-אישית הם עשויים להיות מתואמים חלקית בלבד (</w:t>
      </w:r>
      <w:r>
        <w:t xml:space="preserve">“</w:t>
      </w:r>
      <w:r>
        <w:t xml:space="preserve">response system concordance/discordance</w:t>
      </w:r>
      <w:r>
        <w:t xml:space="preserve">”</w:t>
      </w:r>
      <w:r>
        <w:t xml:space="preserve">). מחקרים שמשלבים את שני הערוצים מוצאים לא פעם שהם מתפצלים: למשל מחקר עיבוד נרטיבים רגשיים שבו ההבדל בין שפת אם לשפה זרה התבטא ב-</w:t>
      </w:r>
      <w:r>
        <w:rPr>
          <w:bCs/>
          <w:b/>
        </w:rPr>
        <w:t xml:space="preserve">GSR</w:t>
      </w:r>
      <w:r>
        <w:t xml:space="preserve"> </w:t>
      </w:r>
      <w:r>
        <w:t xml:space="preserve">אבל לא בדיווח העצמי (Korpal et al., 2023). מאגרי נתונים גדולים נבנו בדיוק כדי ללמוד את הקשר הזה (למשל מסד POPANE עם 1157 מקרים ושמונה ביו-סיגנלים — Behnke et al., 2022).</w:t>
      </w:r>
    </w:p>
    <w:p>
      <w:pPr>
        <w:pStyle w:val="BodyText"/>
      </w:pPr>
      <w:r>
        <w:t xml:space="preserve">המסקנה אינה</w:t>
      </w:r>
      <w:r>
        <w:t xml:space="preserve"> </w:t>
      </w:r>
      <w:r>
        <w:t xml:space="preserve">“</w:t>
      </w:r>
      <w:r>
        <w:t xml:space="preserve">הגוף אומר את האמת והמילים משקרות</w:t>
      </w:r>
      <w:r>
        <w:t xml:space="preserve">”</w:t>
      </w:r>
      <w:r>
        <w:t xml:space="preserve">, אלא:</w:t>
      </w:r>
      <w:r>
        <w:t xml:space="preserve"> </w:t>
      </w:r>
      <w:r>
        <w:rPr>
          <w:bCs/>
          <w:b/>
        </w:rPr>
        <w:t xml:space="preserve">כל ערוץ לוכד פיסה אחרת</w:t>
      </w:r>
      <w:r>
        <w:t xml:space="preserve">, והדיסוציאציה עצמה היא מידע. זה הצידוק העמוק למדידה פיזיולוגית — לא כדי</w:t>
      </w:r>
      <w:r>
        <w:t xml:space="preserve"> </w:t>
      </w:r>
      <w:r>
        <w:t xml:space="preserve">“</w:t>
      </w:r>
      <w:r>
        <w:t xml:space="preserve">לתפוס שקרנים</w:t>
      </w:r>
      <w:r>
        <w:t xml:space="preserve">”</w:t>
      </w:r>
      <w:r>
        <w:t xml:space="preserve">, אלא כדי לראות תהליך שהדיווח לבדו מחמיץ.</w:t>
      </w:r>
    </w:p>
    <w:bookmarkEnd w:id="22"/>
    <w:bookmarkStart w:id="23" w:name="אבל-גם-הגוף-אינו-אמת-קרקע-חדש"/>
    <w:p>
      <w:pPr>
        <w:pStyle w:val="Heading3"/>
      </w:pPr>
      <w:r>
        <w:t xml:space="preserve">3. אבל — גם הגוף אינו</w:t>
      </w:r>
      <w:r>
        <w:t xml:space="preserve"> </w:t>
      </w:r>
      <w:r>
        <w:t xml:space="preserve">“</w:t>
      </w:r>
      <w:r>
        <w:t xml:space="preserve">אמת קרקע</w:t>
      </w:r>
      <w:r>
        <w:t xml:space="preserve">”</w:t>
      </w:r>
      <w:r>
        <w:t xml:space="preserve"> </w:t>
      </w:r>
      <w:r>
        <w:t xml:space="preserve">[חדש?]</w:t>
      </w:r>
    </w:p>
    <w:p>
      <w:pPr>
        <w:pStyle w:val="FirstParagraph"/>
      </w:pPr>
      <w:r>
        <w:t xml:space="preserve">חשוב לאזן: אות פיזיולוגי אינו קריאה ישירה של מצב נפשי. אין מיפוי חד-חד-ערכי בין SCR לבין</w:t>
      </w:r>
      <w:r>
        <w:t xml:space="preserve"> </w:t>
      </w:r>
      <w:r>
        <w:t xml:space="preserve">“</w:t>
      </w:r>
      <w:r>
        <w:t xml:space="preserve">פחד</w:t>
      </w:r>
      <w:r>
        <w:t xml:space="preserve">”</w:t>
      </w:r>
      <w:r>
        <w:t xml:space="preserve"> </w:t>
      </w:r>
      <w:r>
        <w:t xml:space="preserve">או בין דופק לבין</w:t>
      </w:r>
      <w:r>
        <w:t xml:space="preserve"> </w:t>
      </w:r>
      <w:r>
        <w:t xml:space="preserve">“</w:t>
      </w:r>
      <w:r>
        <w:t xml:space="preserve">מאמץ</w:t>
      </w:r>
      <w:r>
        <w:t xml:space="preserve">”</w:t>
      </w:r>
      <w:r>
        <w:t xml:space="preserve">. ויותר מזה — תחום הפסיכופיזיולוגיה עצמו נדרש בשנים האחרונות ל”שדרוג פסיכומטרי”: מהימנות ותוקף של מדדים פיזיולוגיים נדונים פחות מדי, אף שאלו אותם עקרונות מדידה שחלים על שאלונים (Clayson, 2024). זו הקדמה טבעית לחלק על אתגרים בהמשך הסקשן.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6c333fd1fd937aea0acbbdcd4cb4b6cd1b45dcf"/>
    <w:p>
      <w:pPr>
        <w:pStyle w:val="Heading2"/>
      </w:pPr>
      <w:r>
        <w:t xml:space="preserve">חלק ג׳ — היסטוריה קצרה להעשרת הטיימליין (1847/1849–2026)</w:t>
      </w:r>
    </w:p>
    <w:p>
      <w:pPr>
        <w:pStyle w:val="FirstParagraph"/>
      </w:pPr>
      <w:r>
        <w:t xml:space="preserve">הטיימליין הקיים מתחיל ב-1849. שווה לדעת שיש כמה</w:t>
      </w:r>
      <w:r>
        <w:t xml:space="preserve"> </w:t>
      </w:r>
      <w:r>
        <w:t xml:space="preserve">“</w:t>
      </w:r>
      <w:r>
        <w:t xml:space="preserve">תאריכי לידה</w:t>
      </w:r>
      <w:r>
        <w:t xml:space="preserve">”</w:t>
      </w:r>
      <w:r>
        <w:t xml:space="preserve"> </w:t>
      </w:r>
      <w:r>
        <w:t xml:space="preserve">אפשריים, וזה עצמו נקודה מעניינת — התחום נולד בכמה מסלולים מקבילים. הנה שני המסלולים המרכזיים שרלוונטיים למעבדה (EDA ו-ECG/RSA).</w:t>
      </w:r>
    </w:p>
    <w:bookmarkStart w:id="25" w:name="המסלול-האלקטרודרמלי-eda-gsr"/>
    <w:p>
      <w:pPr>
        <w:pStyle w:val="Heading3"/>
      </w:pPr>
      <w:r>
        <w:t xml:space="preserve">המסלול האלקטרודרמלי (EDA / GSR)</w:t>
      </w:r>
    </w:p>
    <w:p>
      <w:pPr>
        <w:pStyle w:val="FirstParagraph"/>
      </w:pPr>
      <w:r>
        <w:t xml:space="preserve">ההיסטוריה האמינה ביותר של התחום היא הסקירה של</w:t>
      </w:r>
      <w:r>
        <w:t xml:space="preserve"> </w:t>
      </w:r>
      <w:r>
        <w:rPr>
          <w:bCs/>
          <w:b/>
        </w:rPr>
        <w:t xml:space="preserve">Neumann &amp; Blanton (1970)</w:t>
      </w:r>
      <w:r>
        <w:t xml:space="preserve"> </w:t>
      </w:r>
      <w:r>
        <w:t xml:space="preserve">ב-</w:t>
      </w:r>
      <w:r>
        <w:rPr>
          <w:iCs/>
          <w:i/>
        </w:rPr>
        <w:t xml:space="preserve">Psychophysiology</w:t>
      </w:r>
      <w:r>
        <w:t xml:space="preserve">, שגם מתקנת כמה מיתוסים. בקצרה: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1879 — Vigouroux</w:t>
      </w:r>
      <w:r>
        <w:t xml:space="preserve">: התצפיות הראשונות על קשר בין גורמים פסיכולוגיים לתנגודת עורית בסיסית (basal skin resistance).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1888 — Féré</w:t>
      </w:r>
      <w:r>
        <w:t xml:space="preserve">: הראה שכאשר מעבירים זרם חיצוני חלש דרך העור, גירויים חושיים ורגשיים מגבירים את ההולכה — זהו הבסיס לשיטה ה-</w:t>
      </w:r>
      <w:r>
        <w:rPr>
          <w:bCs/>
          <w:b/>
        </w:rPr>
        <w:t xml:space="preserve">exosomatic</w:t>
      </w:r>
      <w:r>
        <w:t xml:space="preserve"> </w:t>
      </w:r>
      <w:r>
        <w:t xml:space="preserve">(מדידה עם זרם חיצוני), השיטה הנפוצה עד היום.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1890 — Tarchanoff</w:t>
      </w:r>
      <w:r>
        <w:t xml:space="preserve">: קיבל הסטות גלוונומטר</w:t>
      </w:r>
      <w:r>
        <w:t xml:space="preserve"> </w:t>
      </w:r>
      <w:r>
        <w:rPr>
          <w:iCs/>
          <w:i/>
        </w:rPr>
        <w:t xml:space="preserve">ללא</w:t>
      </w:r>
      <w:r>
        <w:t xml:space="preserve"> </w:t>
      </w:r>
      <w:r>
        <w:t xml:space="preserve">זרם חיצוני — הבסיס לשיטה ה-</w:t>
      </w:r>
      <w:r>
        <w:rPr>
          <w:bCs/>
          <w:b/>
        </w:rPr>
        <w:t xml:space="preserve">endosomatic</w:t>
      </w:r>
      <w:r>
        <w:t xml:space="preserve"> </w:t>
      </w:r>
      <w:r>
        <w:t xml:space="preserve">(פוטנציאל עור). הערה שמתקנת מיתוס נפוץ: לפי Neumann &amp; Blanton, סביר ש-Tarchanoff הכיר את עבודת Féré וזו לא הייתה תגלית עצמאית לגמרי.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תחילת המאה ה-20 — Veraguth ו-Jung</w:t>
      </w:r>
      <w:r>
        <w:t xml:space="preserve">: הניסויים הראשונים שקשרו את התופעה ל”אירועים נפשיים” דרך מבחני אסוציאציות מילוליות (Peterson &amp; Jung פרסמו ב-</w:t>
      </w:r>
      <w:r>
        <w:rPr>
          <w:iCs/>
          <w:i/>
        </w:rPr>
        <w:t xml:space="preserve">Brain</w:t>
      </w:r>
      <w:r>
        <w:t xml:space="preserve">, 1907). כאן נכנס יונג ל”סיפור” של פסיכיאטריה ביולוגית, עוד לפני הפסיכואנליזה.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תקופת הסטנדרטיזציה (שנות ה-70–80)</w:t>
      </w:r>
      <w:r>
        <w:t xml:space="preserve">: כאן התחום מתבגר מתודולוגית.</w:t>
      </w:r>
      <w:r>
        <w:t xml:space="preserve"> </w:t>
      </w:r>
      <w:r>
        <w:rPr>
          <w:bCs/>
          <w:b/>
        </w:rPr>
        <w:t xml:space="preserve">Lykken &amp; Venables (1971)</w:t>
      </w:r>
      <w:r>
        <w:t xml:space="preserve"> </w:t>
      </w:r>
      <w:r>
        <w:t xml:space="preserve">הציעו שיטת מדידה סטנדרטית במתח קבוע; ועדות ה-SPR פרסמו המלצות פרסום מחייבות —</w:t>
      </w:r>
      <w:r>
        <w:t xml:space="preserve"> </w:t>
      </w:r>
      <w:r>
        <w:rPr>
          <w:bCs/>
          <w:b/>
        </w:rPr>
        <w:t xml:space="preserve">Fowles et al. (1981)</w:t>
      </w:r>
      <w:r>
        <w:t xml:space="preserve"> </w:t>
      </w:r>
      <w:r>
        <w:t xml:space="preserve">ואחר כך הדו”ח המקיף של</w:t>
      </w:r>
      <w:r>
        <w:t xml:space="preserve"> </w:t>
      </w:r>
      <w:r>
        <w:rPr>
          <w:bCs/>
          <w:b/>
        </w:rPr>
        <w:t xml:space="preserve">Boucsein et al.</w:t>
      </w:r>
      <w:r>
        <w:t xml:space="preserve"> </w:t>
      </w:r>
      <w:r>
        <w:t xml:space="preserve">(</w:t>
      </w:r>
      <w:r>
        <w:t xml:space="preserve">“</w:t>
      </w:r>
      <w:r>
        <w:t xml:space="preserve">Publication recommendations for electrodermal measurements</w:t>
      </w:r>
      <w:r>
        <w:t xml:space="preserve">”</w:t>
      </w:r>
      <w:r>
        <w:t xml:space="preserve">), שהוא עד היום מקור הסף ל-EDA. עיבוד מודרני: שיטות פירוק טוני/פאזי כמו</w:t>
      </w:r>
      <w:r>
        <w:t xml:space="preserve"> </w:t>
      </w:r>
      <w:r>
        <w:rPr>
          <w:bCs/>
          <w:b/>
        </w:rPr>
        <w:t xml:space="preserve">cvxEDA</w:t>
      </w:r>
      <w:r>
        <w:t xml:space="preserve"> </w:t>
      </w:r>
      <w:r>
        <w:t xml:space="preserve">(Greco et al., 2016).</w:t>
      </w:r>
    </w:p>
    <w:bookmarkEnd w:id="25"/>
    <w:bookmarkStart w:id="26" w:name="המסלול-הקרדיווסקולרי-ecg-hrv-rsa"/>
    <w:p>
      <w:pPr>
        <w:pStyle w:val="Heading3"/>
      </w:pPr>
      <w:r>
        <w:t xml:space="preserve">המסלול הקרדיווסקולרי (ECG / HRV / RSA)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1847 — Carl Ludwig</w:t>
      </w:r>
      <w:r>
        <w:t xml:space="preserve">: לרוב מצוין כמי שתיעד לראשונה את התנודה של קצב הלב בקצב הנשימה (ההיסטוריה של HRV אצל Ernst, 2017). זו למעשה הצפייה המוקדמת ב-</w:t>
      </w:r>
      <w:r>
        <w:rPr>
          <w:bCs/>
          <w:b/>
        </w:rPr>
        <w:t xml:space="preserve">RSA</w:t>
      </w:r>
      <w:r>
        <w:t xml:space="preserve"> </w:t>
      </w:r>
      <w:r>
        <w:t xml:space="preserve">— שונות הדופק בסנכרון עם שאיפה/נשיפה.</w:t>
      </w:r>
    </w:p>
    <w:p>
      <w:pPr>
        <w:numPr>
          <w:ilvl w:val="0"/>
          <w:numId w:val="1004"/>
        </w:numPr>
        <w:pStyle w:val="Compact"/>
      </w:pPr>
      <w:r>
        <w:t xml:space="preserve">המסורת של</w:t>
      </w:r>
      <w:r>
        <w:t xml:space="preserve"> </w:t>
      </w:r>
      <w:r>
        <w:rPr>
          <w:bCs/>
          <w:b/>
        </w:rPr>
        <w:t xml:space="preserve">Claude Bernard</w:t>
      </w:r>
      <w:r>
        <w:t xml:space="preserve"> </w:t>
      </w:r>
      <w:r>
        <w:t xml:space="preserve">על קשר לב–מוח (לפני ~150 שנה) היא העוגן ההיסטורי שעליו בונה המודל הנוירו-ויסצרלי המודרני (Thayer &amp; Lane נשענים עליו במפורש).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1981 — Akselrod et al.</w:t>
      </w:r>
      <w:r>
        <w:t xml:space="preserve"> </w:t>
      </w:r>
      <w:r>
        <w:t xml:space="preserve">ב-</w:t>
      </w:r>
      <w:r>
        <w:rPr>
          <w:iCs/>
          <w:i/>
        </w:rPr>
        <w:t xml:space="preserve">Science</w:t>
      </w:r>
      <w:r>
        <w:t xml:space="preserve">: ניתוח ספקטרלי (power spectrum) של תנודות הדופק כ”בדיקה כמותית” של בקרה אוטונומית beat-to-beat — הרגע שבו HRV הופך לכלי כמותי.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1996 — Task Force</w:t>
      </w:r>
      <w:r>
        <w:t xml:space="preserve"> </w:t>
      </w:r>
      <w:r>
        <w:t xml:space="preserve">של ה-European Society of Cardiology וה-North American Society of Pacing and Electrophysiology: המסמך המכונן שמסדיר נומנקלטורה, שיטות מדידה (time-domain, frequency-domain), ובאנדים תדריים (HF: 0.15–0.4 Hz וכו׳). זה המקור הקנוני שכל ניתוח HRV מתייחס אליו עד היום (Malik et al., 1996).</w:t>
      </w:r>
    </w:p>
    <w:p>
      <w:pPr>
        <w:pStyle w:val="FirstParagraph"/>
      </w:pPr>
      <w:r>
        <w:rPr>
          <w:bCs/>
          <w:b/>
        </w:rPr>
        <w:t xml:space="preserve">הצעה לטיימליין:</w:t>
      </w:r>
      <w:r>
        <w:t xml:space="preserve"> </w:t>
      </w:r>
      <w:r>
        <w:t xml:space="preserve">אפשר להציג את 1847/1849 ואת 1879 כ”שתי לידות מקבילות” (לב מול עור), להתכנס ב-1960–64 (התמסדות הדיסציפלינה), ולסיים בשני עוגני הסטנדרטיזציה — Task Force 1996 ל-HRV ו-Boucsein ל-EDA — שמובילים אל ההווה.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חלק-ד-הקשר-לסכמה-תרפיה-המסגרת-של-המעבדה"/>
    <w:p>
      <w:pPr>
        <w:pStyle w:val="Heading2"/>
      </w:pPr>
      <w:r>
        <w:t xml:space="preserve">חלק ד׳ — הקשר לסכמה תרפיה (המסגרת של המעבדה)</w:t>
      </w:r>
    </w:p>
    <w:p>
      <w:pPr>
        <w:pStyle w:val="FirstParagraph"/>
      </w:pPr>
      <w:r>
        <w:t xml:space="preserve">כאן צריך זהירות מיוחדת: הגשר בין סכמה תרפיה לבין EDA/RSA הוא</w:t>
      </w:r>
      <w:r>
        <w:t xml:space="preserve"> </w:t>
      </w:r>
      <w:r>
        <w:rPr>
          <w:bCs/>
          <w:b/>
        </w:rPr>
        <w:t xml:space="preserve">מבוסס תיאורטית אבל צעיר אמפירית</w:t>
      </w:r>
      <w:r>
        <w:t xml:space="preserve">. שווה לכתוב את זה בכנות — זה דווקא מחזק את הרציונל של המעבדה (יש פה שדה פתוח), ולא להפך.</w:t>
      </w:r>
    </w:p>
    <w:bookmarkStart w:id="28" w:name="הבסיס-בסכמה-תרפיה"/>
    <w:p>
      <w:pPr>
        <w:pStyle w:val="Heading3"/>
      </w:pPr>
      <w:r>
        <w:t xml:space="preserve">הבסיס בסכמה תרפיה</w:t>
      </w:r>
    </w:p>
    <w:p>
      <w:pPr>
        <w:pStyle w:val="FirstParagraph"/>
      </w:pPr>
      <w:r>
        <w:t xml:space="preserve">סכמה תרפיה (Young) מושתתת על</w:t>
      </w:r>
      <w:r>
        <w:t xml:space="preserve"> </w:t>
      </w:r>
      <w:r>
        <w:rPr>
          <w:bCs/>
          <w:b/>
        </w:rPr>
        <w:t xml:space="preserve">סכמות לא-מסתגלות מוקדמות</w:t>
      </w:r>
      <w:r>
        <w:t xml:space="preserve"> </w:t>
      </w:r>
      <w:r>
        <w:t xml:space="preserve">(early maladaptive schemas, EMS) ועל</w:t>
      </w:r>
      <w:r>
        <w:t xml:space="preserve"> </w:t>
      </w:r>
      <w:r>
        <w:rPr>
          <w:bCs/>
          <w:b/>
        </w:rPr>
        <w:t xml:space="preserve">מצבי סכמה</w:t>
      </w:r>
      <w:r>
        <w:t xml:space="preserve"> </w:t>
      </w:r>
      <w:r>
        <w:t xml:space="preserve">(schema modes) — מצב רגשי-קוגניטיבי-התנהגותי נוכחי. ניסוח תיאורטי מחודש ועדכני:</w:t>
      </w:r>
      <w:r>
        <w:t xml:space="preserve"> </w:t>
      </w:r>
      <w:r>
        <w:rPr>
          <w:bCs/>
          <w:b/>
        </w:rPr>
        <w:t xml:space="preserve">Arntz et al. (2021)</w:t>
      </w:r>
      <w:r>
        <w:t xml:space="preserve">, שמגדיר מצב כשילוב של סכמה מופעלת + סגנון התמודדות, ומוסיף צרכים רגשיים מעבר לחמשת המקוריים. הגדרת ה-EMS עצמה כוללת במפורש לא רק זיכרונות ורגשות אלא גם</w:t>
      </w:r>
      <w:r>
        <w:t xml:space="preserve"> </w:t>
      </w:r>
      <w:r>
        <w:rPr>
          <w:bCs/>
          <w:b/>
        </w:rPr>
        <w:t xml:space="preserve">תחושות גופניות</w:t>
      </w:r>
      <w:r>
        <w:t xml:space="preserve"> </w:t>
      </w:r>
      <w:r>
        <w:t xml:space="preserve">— מה שהופך את הפיזיולוגיה לערוץ מדידה טבעי.</w:t>
      </w:r>
    </w:p>
    <w:bookmarkEnd w:id="28"/>
    <w:bookmarkStart w:id="29" w:name="הגשר-התיאורטי-ויסות-רגשי"/>
    <w:p>
      <w:pPr>
        <w:pStyle w:val="Heading3"/>
      </w:pPr>
      <w:r>
        <w:t xml:space="preserve">הגשר התיאורטי: ויסות רגשי</w:t>
      </w:r>
    </w:p>
    <w:p>
      <w:pPr>
        <w:pStyle w:val="FirstParagraph"/>
      </w:pPr>
      <w:r>
        <w:t xml:space="preserve">ויסות רגשי הוא ציר מרכזי במודל הסכמה. מטא-אנליזה (</w:t>
      </w:r>
      <w:r>
        <w:rPr>
          <w:bCs/>
          <w:b/>
        </w:rPr>
        <w:t xml:space="preserve">Pilkington et al., 2023</w:t>
      </w:r>
      <w:r>
        <w:t xml:space="preserve">) מצאה שכל 18 ה-EMS מתואמים עם קשיי ויסות רגשי, ורובם גם עם</w:t>
      </w:r>
      <w:r>
        <w:t xml:space="preserve"> </w:t>
      </w:r>
      <w:r>
        <w:rPr>
          <w:bCs/>
          <w:b/>
        </w:rPr>
        <w:t xml:space="preserve">אלקסיתימיה</w:t>
      </w:r>
      <w:r>
        <w:t xml:space="preserve"> </w:t>
      </w:r>
      <w:r>
        <w:t xml:space="preserve">— בולטים אלו שקשורים לצרכים לא-מסופקים של היקשרות ואוטונומיה. וכאן הקשר ישיר לפיזיולוגיה: אם הסכמות קשורות לקושי בוויסות וגם לקושי</w:t>
      </w:r>
      <w:r>
        <w:t xml:space="preserve"> </w:t>
      </w:r>
      <w:r>
        <w:rPr>
          <w:iCs/>
          <w:i/>
        </w:rPr>
        <w:t xml:space="preserve">לדווח</w:t>
      </w:r>
      <w:r>
        <w:t xml:space="preserve"> </w:t>
      </w:r>
      <w:r>
        <w:t xml:space="preserve">על רגש (אלקסיתימיה), אז דיווח עצמי לבדו בעייתי במיוחד באוכלוסייה הזו — והערוץ הפיזיולוגי הופך לחיוני, לא למותרות.</w:t>
      </w:r>
    </w:p>
    <w:bookmarkEnd w:id="29"/>
    <w:bookmarkStart w:id="30" w:name="הגשר-האמפירי-צעיר-אבל-בתנועה-חדש"/>
    <w:p>
      <w:pPr>
        <w:pStyle w:val="Heading3"/>
      </w:pPr>
      <w:r>
        <w:t xml:space="preserve">הגשר האמפירי — צעיר אבל בתנועה [חדש?]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Thomas et al. (2025)</w:t>
      </w:r>
      <w:r>
        <w:t xml:space="preserve">: בדקו ישירות את הקשר הדינמי בין הפעלת סכמה (נטישה) לבין עוררות פיזיולוגית. מצאו שמדד</w:t>
      </w:r>
      <w:r>
        <w:t xml:space="preserve"> </w:t>
      </w:r>
      <w:r>
        <w:rPr>
          <w:iCs/>
          <w:i/>
        </w:rPr>
        <w:t xml:space="preserve">מרומז</w:t>
      </w:r>
      <w:r>
        <w:t xml:space="preserve"> </w:t>
      </w:r>
      <w:r>
        <w:t xml:space="preserve">(implicit) של הסכמה — ולא מדד מפורש — ניבא עוררות, ודווקא בהקשר עמום ולא בדחייה גלויה. דוגמה יפה לכך שפיזיולוגיה לוכדת תהליך שדיווח מפורש מחמיץ.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Krans et al. (2026)</w:t>
      </w:r>
      <w:r>
        <w:t xml:space="preserve">: סקירה והנחיות מתודולוגיות לחקר ניסויי של מצבי סכמה. נקודה חשובה לציטוט: הם מצאו רק</w:t>
      </w:r>
      <w:r>
        <w:t xml:space="preserve"> </w:t>
      </w:r>
      <w:r>
        <w:rPr>
          <w:bCs/>
          <w:b/>
        </w:rPr>
        <w:t xml:space="preserve">חמישה</w:t>
      </w:r>
      <w:r>
        <w:t xml:space="preserve"> </w:t>
      </w:r>
      <w:r>
        <w:t xml:space="preserve">מחקרים שהשרו ניסויית מצבי סכמה, ושהאפקטים תלויים מאוד במדגם ובפרוצדורה, עם</w:t>
      </w:r>
      <w:r>
        <w:t xml:space="preserve"> </w:t>
      </w:r>
      <w:r>
        <w:rPr>
          <w:bCs/>
          <w:b/>
        </w:rPr>
        <w:t xml:space="preserve">פערים בין דירוג המטפל לדירוג המטופל</w:t>
      </w:r>
      <w:r>
        <w:t xml:space="preserve"> </w:t>
      </w:r>
      <w:r>
        <w:t xml:space="preserve">של הפעלת המצב. כלומר: שיטות הדירוג הסובייקטיביות לא מספיקות — וזה בדיוק מה שמדד פיזיולוגי אובייקטיבי יכול לתרום.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Bolinski et al. (2021)</w:t>
      </w:r>
      <w:r>
        <w:t xml:space="preserve">: הראו שהפעלה רגשית ורסטרוקטורציה קוגניטיבית ב-VR מייצרות יותר</w:t>
      </w:r>
      <w:r>
        <w:t xml:space="preserve"> </w:t>
      </w:r>
      <w:r>
        <w:rPr>
          <w:bCs/>
          <w:b/>
        </w:rPr>
        <w:t xml:space="preserve">SC</w:t>
      </w:r>
      <w:r>
        <w:t xml:space="preserve"> </w:t>
      </w:r>
      <w:r>
        <w:t xml:space="preserve">ו-</w:t>
      </w:r>
      <w:r>
        <w:rPr>
          <w:bCs/>
          <w:b/>
        </w:rPr>
        <w:t xml:space="preserve">HR</w:t>
      </w:r>
      <w:r>
        <w:t xml:space="preserve"> </w:t>
      </w:r>
      <w:r>
        <w:t xml:space="preserve">מאשר גישה דמיונית — אף שהדיווח העצמי לא נבדל. שוב: דיסוציאציה בין הערוצים.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Karaosmanoğlu et al. (2022)</w:t>
      </w:r>
      <w:r>
        <w:t xml:space="preserve">: ניסו למפות מצבי סכמה על מצבים אוטונומיים דרך עדשת Polyvagal Theory (מצבים פאראסימפתטיים מול fight/flight). מעניין כמסגרת — אבל ראו את האזהרה בחלק ה׳ על PVT.</w:t>
      </w:r>
    </w:p>
    <w:bookmarkEnd w:id="30"/>
    <w:bookmarkStart w:id="31" w:name="איך-למסגר-את-זה-לסטודנט"/>
    <w:p>
      <w:pPr>
        <w:pStyle w:val="Heading3"/>
      </w:pPr>
      <w:r>
        <w:t xml:space="preserve">איך למסגר את זה לסטודנט</w:t>
      </w:r>
    </w:p>
    <w:p>
      <w:pPr>
        <w:pStyle w:val="FirstParagraph"/>
      </w:pPr>
      <w:r>
        <w:t xml:space="preserve">המסר: הפיזיולוגיה מציעה</w:t>
      </w:r>
      <w:r>
        <w:t xml:space="preserve"> </w:t>
      </w:r>
      <w:r>
        <w:rPr>
          <w:bCs/>
          <w:b/>
        </w:rPr>
        <w:t xml:space="preserve">חלון אובייקטיבי על הפעלת סכמה/מצב</w:t>
      </w:r>
      <w:r>
        <w:t xml:space="preserve"> </w:t>
      </w:r>
      <w:r>
        <w:t xml:space="preserve">שהדיווח העצמי ודירוג המטפל (שמתפצלים זה מזה) לא מספקים לבדם. אבל הפרדיגמות עדיין לא מתוקפות — וזו הזדמנות מחקרית, לא עובדה גמורה.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a269bee2f1d46d1f7a00c0c876853bbfd60952f"/>
    <w:p>
      <w:pPr>
        <w:pStyle w:val="Heading2"/>
      </w:pPr>
      <w:r>
        <w:t xml:space="preserve">חלק ה׳ — זהירות אפיסטמית: מה שמדד פיזיולוגי</w:t>
      </w:r>
      <w:r>
        <w:t xml:space="preserve"> </w:t>
      </w:r>
      <w:r>
        <w:rPr>
          <w:iCs/>
          <w:i/>
        </w:rPr>
        <w:t xml:space="preserve">לא</w:t>
      </w:r>
      <w:r>
        <w:t xml:space="preserve"> </w:t>
      </w:r>
      <w:r>
        <w:t xml:space="preserve">אומר</w:t>
      </w:r>
    </w:p>
    <w:p>
      <w:pPr>
        <w:pStyle w:val="FirstParagraph"/>
      </w:pPr>
      <w:r>
        <w:t xml:space="preserve">זה ה-callout שלדעתי הכי מייחד את הסקשן ומיישר קו עם עקרונות הכתיבה של הפרויקט. שלוש נקודות.</w:t>
      </w:r>
    </w:p>
    <w:bookmarkStart w:id="33" w:name="rsa-אינו-מדד-ישיר-לטונוס-ואגלי"/>
    <w:p>
      <w:pPr>
        <w:pStyle w:val="Heading3"/>
      </w:pPr>
      <w:r>
        <w:t xml:space="preserve">1. RSA אינו מדד ישיר ל”טונוס ואגלי”</w:t>
      </w:r>
    </w:p>
    <w:p>
      <w:pPr>
        <w:pStyle w:val="FirstParagraph"/>
      </w:pPr>
      <w:r>
        <w:t xml:space="preserve">זו אולי האזהרה החשובה ביותר למעבדה שמשתמשת ב-RSA. הביקורת המבוססת: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Grossman &amp; Taylor (2007)</w:t>
      </w:r>
      <w:r>
        <w:t xml:space="preserve"> </w:t>
      </w:r>
      <w:r>
        <w:t xml:space="preserve">— מאמר היסוד: RSA מושפע ממשתני נשימה (קצב, נפח גאות), מפעילות גופנית רגעית, ומטונוס בטא-אדרנרגי; הקשרים התוך-אישיים בין RSA לבקרה ואגלית חזקים, אבל הבין-אישיים צנועים יותר; ו-RSA וטונוס ואגלי יכולים להתפצל בתנאים מסוימים.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Grossman (2023)</w:t>
      </w:r>
      <w:r>
        <w:t xml:space="preserve"> </w:t>
      </w:r>
      <w:r>
        <w:t xml:space="preserve">מנסח זאת חד: לראות ב-RSA</w:t>
      </w:r>
      <w:r>
        <w:t xml:space="preserve"> </w:t>
      </w:r>
      <w:r>
        <w:t xml:space="preserve">“</w:t>
      </w:r>
      <w:r>
        <w:t xml:space="preserve">טונוס ואגלי</w:t>
      </w:r>
      <w:r>
        <w:t xml:space="preserve">”</w:t>
      </w:r>
      <w:r>
        <w:t xml:space="preserve"> </w:t>
      </w:r>
      <w:r>
        <w:t xml:space="preserve">הוא</w:t>
      </w:r>
      <w:r>
        <w:t xml:space="preserve"> </w:t>
      </w:r>
      <w:r>
        <w:rPr>
          <w:iCs/>
          <w:i/>
        </w:rPr>
        <w:t xml:space="preserve">category mistake</w:t>
      </w:r>
      <w:r>
        <w:t xml:space="preserve"> </w:t>
      </w:r>
      <w:r>
        <w:t xml:space="preserve">— בלבול בין אינדקס מקורב לבין התופעה עצמה.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Ritz (2023; 2024)</w:t>
      </w:r>
      <w:r>
        <w:t xml:space="preserve">: סטנדרטים לפרסום — אסור לפרש שינוי תוך-אישי ב-RSA בלי להתייחס לדפוס הנשימה.</w:t>
      </w:r>
    </w:p>
    <w:p>
      <w:pPr>
        <w:numPr>
          <w:ilvl w:val="0"/>
          <w:numId w:val="1006"/>
        </w:numPr>
        <w:pStyle w:val="Compact"/>
      </w:pPr>
      <w:r>
        <w:t xml:space="preserve">והכי עדכני:</w:t>
      </w:r>
      <w:r>
        <w:t xml:space="preserve"> </w:t>
      </w:r>
      <w:r>
        <w:rPr>
          <w:bCs/>
          <w:b/>
        </w:rPr>
        <w:t xml:space="preserve">המלצת מומחים בינלאומית (Menuet et al., 2025)</w:t>
      </w:r>
      <w:r>
        <w:t xml:space="preserve"> </w:t>
      </w:r>
      <w:r>
        <w:t xml:space="preserve">ב-</w:t>
      </w:r>
      <w:r>
        <w:rPr>
          <w:iCs/>
          <w:i/>
        </w:rPr>
        <w:t xml:space="preserve">Nature Reviews Cardiology</w:t>
      </w:r>
      <w:r>
        <w:t xml:space="preserve"> </w:t>
      </w:r>
      <w:r>
        <w:t xml:space="preserve">מציעה להחליף את המונח RSA במונח</w:t>
      </w:r>
      <w:r>
        <w:t xml:space="preserve"> </w:t>
      </w:r>
      <w:r>
        <w:rPr>
          <w:bCs/>
          <w:b/>
        </w:rPr>
        <w:t xml:space="preserve">respiratory heart rate variability (RespHRV)</w:t>
      </w:r>
      <w:r>
        <w:t xml:space="preserve">, ומדגישה במפורש ש</w:t>
      </w:r>
      <w:r>
        <w:rPr>
          <w:bCs/>
          <w:b/>
        </w:rPr>
        <w:t xml:space="preserve">אין לפרש את משרעת התופעה כמדד לטונוס ואגלי</w:t>
      </w:r>
      <w:r>
        <w:t xml:space="preserve">. שווה להזכיר את שינוי הטרמינולוגיה הזה — הוא טרי וישפיע על איך כותבים את Section 4.</w:t>
      </w:r>
    </w:p>
    <w:p>
      <w:pPr>
        <w:pStyle w:val="FirstParagraph"/>
      </w:pPr>
      <w:r>
        <w:t xml:space="preserve">המעשי למעבדה: לדווח RSA תמיד לצד פרמטרי נשימה; להעדיף השוואות תוך-אישיות; ולנסח את ה-RSA כ”אינדקס מקורב לבקרה ואגלית בתנאים מבוקרים”, לא כמדד ישיר.</w:t>
      </w:r>
    </w:p>
    <w:bookmarkEnd w:id="33"/>
    <w:bookmarkStart w:id="34" w:name="X262dc9da75d15cb7b3793984bc12ce53ffe571f"/>
    <w:p>
      <w:pPr>
        <w:pStyle w:val="Heading3"/>
      </w:pPr>
      <w:r>
        <w:t xml:space="preserve">2. Polyvagal Theory — שמישה קלינית, שנויה במחלוקת מדעית</w:t>
      </w:r>
    </w:p>
    <w:p>
      <w:pPr>
        <w:pStyle w:val="FirstParagraph"/>
      </w:pPr>
      <w:r>
        <w:t xml:space="preserve">בדיוק כפי שמופיע בעקרונות הפרויקט. צריך להציג</w:t>
      </w:r>
      <w:r>
        <w:t xml:space="preserve"> </w:t>
      </w:r>
      <w:r>
        <w:rPr>
          <w:bCs/>
          <w:b/>
        </w:rPr>
        <w:t xml:space="preserve">את שני הצדדים בהגינות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הצד של Porges</w:t>
      </w:r>
      <w:r>
        <w:t xml:space="preserve">: PVT מציעה מודל היררכי של המערכת האוטונומית, עם תפקיד ייחודי ל”קומפלקס הוואגלי הוונטרלי” במעורבות חברתית, ומושג ה-</w:t>
      </w:r>
      <w:r>
        <w:rPr>
          <w:bCs/>
          <w:b/>
        </w:rPr>
        <w:t xml:space="preserve">neuroception</w:t>
      </w:r>
      <w:r>
        <w:t xml:space="preserve"> </w:t>
      </w:r>
      <w:r>
        <w:t xml:space="preserve">(זיהוי בטחון/איום ללא מודעות). Porges פרסם עדכון מקיף ב-2025 (Frontiers in Behavioral Neuroscience; וגם Clinical Neuropsychiatry, 2025). היא רבת השפעה בקליניקה, בעיקר בטיפול בטראומה.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הביקורת</w:t>
      </w:r>
      <w:r>
        <w:t xml:space="preserve">: סדרת מאמרים של Grossman ועמיתים — תחילה</w:t>
      </w:r>
      <w:r>
        <w:t xml:space="preserve"> </w:t>
      </w:r>
      <w:r>
        <w:t xml:space="preserve">“</w:t>
      </w:r>
      <w:r>
        <w:t xml:space="preserve">חמשת ההנחות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Grossman, 2023</w:t>
      </w:r>
      <w:r>
        <w:t xml:space="preserve">), ולאחרונה מאמר חתום על ידי 39 מומחים בשם</w:t>
      </w:r>
      <w:r>
        <w:t xml:space="preserve"> </w:t>
      </w:r>
      <w:r>
        <w:t xml:space="preserve">“</w:t>
      </w:r>
      <w:r>
        <w:t xml:space="preserve">Why The Polyvagal Theory Is Untenable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Grossman et al., 2026</w:t>
      </w:r>
      <w:r>
        <w:t xml:space="preserve">, Clinical Neuropsychiatry). הטענות המרכזיות: RSA נמצא גם מחוץ ליונקים (סותר את הרצף הפילוגנטי שהתיאוריה מניחה); גירוי הגרעין המוטורי הדורסלי אינו מייצר את הברדיקרדיה שהתיאוריה חוזה; וההסתמכות על RSA כמדד לטונוס ואגלי כללי שגויה.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תגובת Porges (2026)</w:t>
      </w:r>
      <w:r>
        <w:t xml:space="preserve"> </w:t>
      </w:r>
      <w:r>
        <w:t xml:space="preserve">באותו גיליון טוענת שהביקורת תוקפת</w:t>
      </w:r>
      <w:r>
        <w:t xml:space="preserve"> </w:t>
      </w:r>
      <w:r>
        <w:t xml:space="preserve">“</w:t>
      </w:r>
      <w:r>
        <w:t xml:space="preserve">פרוקסי משוחזר</w:t>
      </w:r>
      <w:r>
        <w:t xml:space="preserve">”</w:t>
      </w:r>
      <w:r>
        <w:t xml:space="preserve"> </w:t>
      </w:r>
      <w:r>
        <w:t xml:space="preserve">של התיאוריה ולא את התיאוריה כפי שנוסחה.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האלטרנטיבה המדעית</w:t>
      </w:r>
      <w:r>
        <w:t xml:space="preserve"> </w:t>
      </w:r>
      <w:r>
        <w:t xml:space="preserve">שצפה ושוב מהדיון:</w:t>
      </w:r>
      <w:r>
        <w:t xml:space="preserve"> </w:t>
      </w:r>
      <w:r>
        <w:rPr>
          <w:bCs/>
          <w:b/>
        </w:rPr>
        <w:t xml:space="preserve">המודל הנוירו-ויסצרלי (Neurovisceral Integration)</w:t>
      </w:r>
      <w:r>
        <w:t xml:space="preserve"> </w:t>
      </w:r>
      <w:r>
        <w:t xml:space="preserve">של</w:t>
      </w:r>
      <w:r>
        <w:t xml:space="preserve"> </w:t>
      </w:r>
      <w:r>
        <w:rPr>
          <w:bCs/>
          <w:b/>
        </w:rPr>
        <w:t xml:space="preserve">Thayer &amp; Lane (2009; Thayer et al., 2012)</w:t>
      </w:r>
      <w:r>
        <w:t xml:space="preserve"> </w:t>
      </w:r>
      <w:r>
        <w:t xml:space="preserve">— רשתות עצביות משותפות (קליפת מצח קדמית–אמיגדלה–central autonomic network) תומכות גם בוויסות רגשי וגם בבקרת הלב, ו-HRV הוא אינדקס היקפי לבקרה עכבתית מצחית. זה מודל שמתחבר ישירות למיקוד של המעבדה ברגש וויסות, ויש לו תמיכה נוירו-הדמייתית (מטא-אנליזה: Thayer et al., 2012).</w:t>
      </w:r>
    </w:p>
    <w:p>
      <w:pPr>
        <w:pStyle w:val="FirstParagraph"/>
      </w:pPr>
      <w:r>
        <w:t xml:space="preserve">ההצעה: להציג PVT כ”שפה קלינית שימושית עם בסיס מדעי שנוי במחלוקת”, ולהציב לצידה את המודל הנוירו-ויסצרלי כמסגרת המבוססת יותר אמפירית. לתת לסטודנט להחזיק את שתיהן בלי להכריע.</w:t>
      </w:r>
    </w:p>
    <w:bookmarkEnd w:id="34"/>
    <w:bookmarkStart w:id="35" w:name="קל-למדוד-קשה-לפרש-ובכלל-אין-מדד-בודד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קל למדוד, קשה לפרש</w:t>
      </w:r>
      <w:r>
        <w:t xml:space="preserve">”</w:t>
      </w:r>
      <w:r>
        <w:t xml:space="preserve"> </w:t>
      </w:r>
      <w:r>
        <w:t xml:space="preserve">— ובכלל, אין מדד בודד</w:t>
      </w:r>
    </w:p>
    <w:p>
      <w:pPr>
        <w:numPr>
          <w:ilvl w:val="0"/>
          <w:numId w:val="1008"/>
        </w:numPr>
        <w:pStyle w:val="Compact"/>
      </w:pPr>
      <w:r>
        <w:t xml:space="preserve">ה-Task Force עצמו (1996) הזהיר מפני</w:t>
      </w:r>
      <w:r>
        <w:t xml:space="preserve"> </w:t>
      </w:r>
      <w:r>
        <w:t xml:space="preserve">“</w:t>
      </w:r>
      <w:r>
        <w:t xml:space="preserve">מסקנות שגויות ואקסטרפולציות מופרזות</w:t>
      </w:r>
      <w:r>
        <w:t xml:space="preserve">”</w:t>
      </w:r>
      <w:r>
        <w:t xml:space="preserve"> </w:t>
      </w:r>
      <w:r>
        <w:t xml:space="preserve">כי קלות החישוב מסתירה מורכבות פרשנית. הסקירות העדכניות חוזרות על כך:</w:t>
      </w:r>
      <w:r>
        <w:t xml:space="preserve"> </w:t>
      </w:r>
      <w:r>
        <w:t xml:space="preserve">“</w:t>
      </w:r>
      <w:r>
        <w:t xml:space="preserve">easy to measure, difficult to interpret</w:t>
      </w:r>
      <w:r>
        <w:t xml:space="preserve">”</w:t>
      </w:r>
      <w:r>
        <w:t xml:space="preserve"> </w:t>
      </w:r>
      <w:r>
        <w:t xml:space="preserve">(Lombardi et al., 2018).</w:t>
      </w:r>
    </w:p>
    <w:p>
      <w:pPr>
        <w:numPr>
          <w:ilvl w:val="0"/>
          <w:numId w:val="1008"/>
        </w:numPr>
        <w:pStyle w:val="Compact"/>
      </w:pPr>
      <w:r>
        <w:t xml:space="preserve">היזהרו במיוחד מ-</w:t>
      </w:r>
      <w:r>
        <w:rPr>
          <w:bCs/>
          <w:b/>
        </w:rPr>
        <w:t xml:space="preserve">LF/HF</w:t>
      </w:r>
      <w:r>
        <w:t xml:space="preserve"> </w:t>
      </w:r>
      <w:r>
        <w:t xml:space="preserve">ומיחידות מנורמלות: היחס LF/HF כ”מאזן סימפתטי-פאראסימפתטי” הוא פישוט-יתר; LF(nu) ו-HF(nu) תלויים אלגברית זה בזה (סכומם 1), ואותו שינוי בפרופורציה יכול לנבוע מדפוסים פיזיולוגיים שונים לגמרי (Heathers, 2014; Billman, 2013; וראו Amekran et al., 2024).</w:t>
      </w:r>
    </w:p>
    <w:p>
      <w:pPr>
        <w:numPr>
          <w:ilvl w:val="0"/>
          <w:numId w:val="1008"/>
        </w:numPr>
        <w:pStyle w:val="Compact"/>
      </w:pPr>
      <w:r>
        <w:t xml:space="preserve">העיקרון העל:</w:t>
      </w:r>
      <w:r>
        <w:t xml:space="preserve"> </w:t>
      </w:r>
      <w:r>
        <w:rPr>
          <w:bCs/>
          <w:b/>
        </w:rPr>
        <w:t xml:space="preserve">אין לפרש מדד בודד ללא הקשר</w:t>
      </w:r>
      <w:r>
        <w:t xml:space="preserve">. עיצוב משכנע הוא רב-ערוצי (פיזיולוגיה + דיווח + התנהגות) ומבוקר תנאים. זה גם מה שמצדיק את כל ארכיטקטורת המדדים של האתר.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3e7c766a784ee73e5f6edf355da007c88c110a"/>
    <w:p>
      <w:pPr>
        <w:pStyle w:val="Heading2"/>
      </w:pPr>
      <w:r>
        <w:t xml:space="preserve">חלק ו׳ — איך לקפל את זה ל-Section 1 (כובע מנהל)</w:t>
      </w:r>
    </w:p>
    <w:p>
      <w:pPr>
        <w:pStyle w:val="FirstParagraph"/>
      </w:pPr>
      <w:r>
        <w:t xml:space="preserve">הצעת מיפוי לתת-סקשנים (בהנחה שהמבנה הקיים דומה לתקציר):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תת-סקשן ב-intro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מה להוסיף מהסקירה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סטטוס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מה זה פסיכופיזיולוגיה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ההבחנה פסיכופיזיולוגיה≠פסיכולוגיה פיזיולוגית;</w:t>
            </w:r>
            <w:r>
              <w:t xml:space="preserve"> </w:t>
            </w:r>
            <w:r>
              <w:t xml:space="preserve">“</w:t>
            </w:r>
            <w:r>
              <w:t xml:space="preserve">רעיון עתיק, מדע חדש</w:t>
            </w:r>
            <w:r>
              <w:t xml:space="preserve">”</w:t>
            </w:r>
            <w:r>
              <w:t xml:space="preserve">; התמסדות 1960/64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[חדש?]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היסטוריה (טיימליין)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שתי לידות מקבילות (Ludwig 1847 / Vigouroux 1879); נקודות Féré 1888, Tarchanoff 1890, Jung 1907, Akselrod 1981, Task Force 1996, Boucsein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להעשיר קיים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למה למדוד את הגוף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מגבלות דיווח עצמי; שלושת הערוצים והדיסוציאציה; הגוף גם הוא לא אמת-קרקע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[חדש?]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הקשר לסכמה תרפיה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הגשר התיאורטי (ויסות רגשי, Pilkington 2023) + האמפירי הצעיר (Thomas 2025, Krans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[חדש?]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אתגרים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RSA≠טונוס ואגלי; מחלוקת PVT;</w:t>
            </w:r>
            <w:r>
              <w:t xml:space="preserve"> </w:t>
            </w:r>
            <w:r>
              <w:t xml:space="preserve">“</w:t>
            </w:r>
            <w:r>
              <w:t xml:space="preserve">קל למדוד קשה לפרש</w:t>
            </w:r>
            <w:r>
              <w:t xml:space="preserve">”</w:t>
            </w:r>
            <w:r>
              <w:t xml:space="preserve">; אין מדד בודד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חיזוק קיים</w:t>
            </w:r>
          </w:p>
        </w:tc>
      </w:tr>
    </w:tbl>
    <w:p>
      <w:pPr>
        <w:pStyle w:val="BodyText"/>
      </w:pPr>
      <w:r>
        <w:rPr>
          <w:bCs/>
          <w:b/>
        </w:rPr>
        <w:t xml:space="preserve">שתי המלצות אינטגרציה: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Callout ייעודי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ענווה אפיסטמית</w:t>
      </w:r>
      <w:r>
        <w:rPr>
          <w:bCs/>
          <w:b/>
        </w:rPr>
        <w:t xml:space="preserve">”</w:t>
      </w:r>
      <w:r>
        <w:t xml:space="preserve"> </w:t>
      </w:r>
      <w:r>
        <w:t xml:space="preserve">— קופסה אחת קצרה שמרכזת את שלוש האזהרות מחלק ה׳. היא תשרת גם כעוגן שאליו אפשר לקשר מ-Section 4 (ECG/RSA) ומ-Section 2 (בחירת מדד).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עדכון טרמינולוגי</w:t>
      </w:r>
      <w:r>
        <w:t xml:space="preserve">: שינוי RSA→RespHRV (Menuet et al., 2025) טרי מספיק שכדאי להחליט מדיניות אחידה לכל האתר — להישאר עם RSA (המוכר) אבל להזכיר את ההמלצה, או לאמץ RespHRV. זו החלטה שמשפיעה על Section 2 ו-4, אז שווה להכריע אותה כאן ברמת המנהל.</w:t>
      </w:r>
    </w:p>
    <w:p>
      <w:pPr>
        <w:pStyle w:val="BodyText"/>
      </w:pPr>
      <w:r>
        <w:rPr>
          <w:bCs/>
          <w:b/>
        </w:rPr>
        <w:t xml:space="preserve">תלות בין-סקשנית לשים לב אליה:</w:t>
      </w:r>
      <w:r>
        <w:t xml:space="preserve"> </w:t>
      </w:r>
      <w:r>
        <w:t xml:space="preserve">החומר על PVT והמודל הנוירו-ויסצרלי ב-Section 1 צריך להיות עקבי עם מה שייכתב ב-Section 4. אם Section 4 כבר נכתב על ידי צ’אט בן — צריך ליישר את הניסוח של</w:t>
      </w:r>
      <w:r>
        <w:t xml:space="preserve"> </w:t>
      </w:r>
      <w:r>
        <w:t xml:space="preserve">“</w:t>
      </w:r>
      <w:r>
        <w:t xml:space="preserve">RSA כאינדקס מקורב</w:t>
      </w:r>
      <w:r>
        <w:t xml:space="preserve">”</w:t>
      </w:r>
      <w:r>
        <w:t xml:space="preserve"> </w:t>
      </w:r>
      <w:r>
        <w:t xml:space="preserve">בין שני הדפים.</w:t>
      </w:r>
    </w:p>
    <w:p>
      <w:r>
        <w:pict>
          <v:rect style="width:0;height:1.5pt" o:hralign="center" o:hrstd="t" o:hr="t"/>
        </w:pict>
      </w:r>
    </w:p>
    <w:bookmarkEnd w:id="37"/>
    <w:bookmarkStart w:id="38" w:name="מקורות-מרכזיים-מחבר-שנה-לציטוט-וקישור"/>
    <w:p>
      <w:pPr>
        <w:pStyle w:val="Heading2"/>
      </w:pPr>
      <w:r>
        <w:t xml:space="preserve">מקורות מרכזיים (מחבר, שנה — לציטוט וקישור)</w:t>
      </w:r>
    </w:p>
    <w:p>
      <w:pPr>
        <w:pStyle w:val="FirstParagraph"/>
      </w:pPr>
      <w:r>
        <w:rPr>
          <w:bCs/>
          <w:b/>
        </w:rPr>
        <w:t xml:space="preserve">מושג והיסטוריה של התחום</w:t>
      </w:r>
    </w:p>
    <w:p>
      <w:pPr>
        <w:numPr>
          <w:ilvl w:val="0"/>
          <w:numId w:val="1009"/>
        </w:numPr>
        <w:pStyle w:val="Compact"/>
      </w:pPr>
      <w:r>
        <w:t xml:space="preserve">Cacioppo, Tassinary &amp; Berntson —</w:t>
      </w:r>
      <w:r>
        <w:t xml:space="preserve"> </w:t>
      </w:r>
      <w:r>
        <w:rPr>
          <w:iCs/>
          <w:i/>
        </w:rPr>
        <w:t xml:space="preserve">Handbook of Psychophysiology</w:t>
      </w:r>
      <w:r>
        <w:t xml:space="preserve"> </w:t>
      </w:r>
      <w:r>
        <w:t xml:space="preserve">(מהדורות שונות) — ספר היסוד.</w:t>
      </w:r>
    </w:p>
    <w:p>
      <w:pPr>
        <w:numPr>
          <w:ilvl w:val="0"/>
          <w:numId w:val="1009"/>
        </w:numPr>
        <w:pStyle w:val="Compact"/>
      </w:pPr>
      <w:r>
        <w:t xml:space="preserve">Ax (1964) — הגיליון הראשון של</w:t>
      </w:r>
      <w:r>
        <w:t xml:space="preserve"> </w:t>
      </w:r>
      <w:r>
        <w:rPr>
          <w:iCs/>
          <w:i/>
        </w:rPr>
        <w:t xml:space="preserve">Psychophysiology</w:t>
      </w:r>
      <w:r>
        <w:t xml:space="preserve">; SPR — חומר היסטורי רשמי (sprweb.org).</w:t>
      </w:r>
    </w:p>
    <w:p>
      <w:pPr>
        <w:numPr>
          <w:ilvl w:val="0"/>
          <w:numId w:val="1009"/>
        </w:numPr>
        <w:pStyle w:val="Compact"/>
      </w:pPr>
      <w:r>
        <w:t xml:space="preserve">Neumann &amp; Blanton (1970),</w:t>
      </w:r>
      <w:r>
        <w:t xml:space="preserve"> </w:t>
      </w:r>
      <w:r>
        <w:rPr>
          <w:iCs/>
          <w:i/>
        </w:rPr>
        <w:t xml:space="preserve">Psychophysiology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early history of electrodermal research</w:t>
      </w:r>
      <w:r>
        <w:t xml:space="preserve">”</w:t>
      </w:r>
      <w:r>
        <w:t xml:space="preserve">; וגם Sequeira et al. (2021),</w:t>
      </w:r>
      <w:r>
        <w:t xml:space="preserve"> </w:t>
      </w:r>
      <w:r>
        <w:t xml:space="preserve">“</w:t>
      </w:r>
      <w:r>
        <w:t xml:space="preserve">The early days of electrodermal activity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Ernst (2017),</w:t>
      </w:r>
      <w:r>
        <w:t xml:space="preserve"> </w:t>
      </w:r>
      <w:r>
        <w:rPr>
          <w:iCs/>
          <w:i/>
        </w:rPr>
        <w:t xml:space="preserve">Frontiers in Public Health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Hidden Signals: The History and Methods of HRV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רציונל ומגבלות מדידה</w:t>
      </w:r>
    </w:p>
    <w:p>
      <w:pPr>
        <w:numPr>
          <w:ilvl w:val="0"/>
          <w:numId w:val="1010"/>
        </w:numPr>
        <w:pStyle w:val="Compact"/>
      </w:pPr>
      <w:r>
        <w:t xml:space="preserve">Korpal et al. (2023) — שיקולים מתודולוגיים, דיווח עצמי מול פיזיולוגיה.</w:t>
      </w:r>
    </w:p>
    <w:p>
      <w:pPr>
        <w:numPr>
          <w:ilvl w:val="0"/>
          <w:numId w:val="1010"/>
        </w:numPr>
        <w:pStyle w:val="Compact"/>
      </w:pPr>
      <w:r>
        <w:t xml:space="preserve">Behnke et al. (2022),</w:t>
      </w:r>
      <w:r>
        <w:t xml:space="preserve"> </w:t>
      </w:r>
      <w:r>
        <w:rPr>
          <w:iCs/>
          <w:i/>
        </w:rPr>
        <w:t xml:space="preserve">Scientific Data</w:t>
      </w:r>
      <w:r>
        <w:t xml:space="preserve"> </w:t>
      </w:r>
      <w:r>
        <w:t xml:space="preserve">— מסד POPANE.</w:t>
      </w:r>
    </w:p>
    <w:p>
      <w:pPr>
        <w:numPr>
          <w:ilvl w:val="0"/>
          <w:numId w:val="1010"/>
        </w:numPr>
        <w:pStyle w:val="Compact"/>
      </w:pPr>
      <w:r>
        <w:t xml:space="preserve">Grimshaw et al. (2020) —</w:t>
      </w:r>
      <w:r>
        <w:t xml:space="preserve"> </w:t>
      </w:r>
      <w:r>
        <w:t xml:space="preserve">“</w:t>
      </w:r>
      <w:r>
        <w:t xml:space="preserve">Bodies in mind</w:t>
      </w:r>
      <w:r>
        <w:t xml:space="preserve">”</w:t>
      </w:r>
      <w:r>
        <w:t xml:space="preserve"> </w:t>
      </w:r>
      <w:r>
        <w:t xml:space="preserve">(סקירת tutorial נגישה).</w:t>
      </w:r>
    </w:p>
    <w:p>
      <w:pPr>
        <w:numPr>
          <w:ilvl w:val="0"/>
          <w:numId w:val="1010"/>
        </w:numPr>
        <w:pStyle w:val="Compact"/>
      </w:pPr>
      <w:r>
        <w:t xml:space="preserve">Clayson (2024),</w:t>
      </w:r>
      <w:r>
        <w:t xml:space="preserve"> </w:t>
      </w:r>
      <w:r>
        <w:rPr>
          <w:iCs/>
          <w:i/>
        </w:rPr>
        <w:t xml:space="preserve">Psychophysiology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Psychometric Upgrade Psychophysiology Needs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EDA — מתודולוגיה קנונית</w:t>
      </w:r>
    </w:p>
    <w:p>
      <w:pPr>
        <w:numPr>
          <w:ilvl w:val="0"/>
          <w:numId w:val="1011"/>
        </w:numPr>
        <w:pStyle w:val="Compact"/>
      </w:pPr>
      <w:r>
        <w:t xml:space="preserve">Lykken &amp; Venables (1971) — סטנדרטיזציה של מדידת SC.</w:t>
      </w:r>
    </w:p>
    <w:p>
      <w:pPr>
        <w:numPr>
          <w:ilvl w:val="0"/>
          <w:numId w:val="1011"/>
        </w:numPr>
        <w:pStyle w:val="Compact"/>
      </w:pPr>
      <w:r>
        <w:t xml:space="preserve">Fowles et al. (1981) ו-Boucsein et al. — המלצות הפרסום של SPR ל-EDA.</w:t>
      </w:r>
    </w:p>
    <w:p>
      <w:pPr>
        <w:numPr>
          <w:ilvl w:val="0"/>
          <w:numId w:val="1011"/>
        </w:numPr>
        <w:pStyle w:val="Compact"/>
      </w:pPr>
      <w:r>
        <w:t xml:space="preserve">Dawson, Schell &amp; Filion —</w:t>
      </w:r>
      <w:r>
        <w:t xml:space="preserve"> </w:t>
      </w:r>
      <w:r>
        <w:t xml:space="preserve">“</w:t>
      </w:r>
      <w:r>
        <w:t xml:space="preserve">The electrodermal system</w:t>
      </w:r>
      <w:r>
        <w:t xml:space="preserve">”</w:t>
      </w:r>
      <w:r>
        <w:t xml:space="preserve"> </w:t>
      </w:r>
      <w:r>
        <w:t xml:space="preserve">(פרק tutorial נפוץ).</w:t>
      </w:r>
    </w:p>
    <w:p>
      <w:pPr>
        <w:numPr>
          <w:ilvl w:val="0"/>
          <w:numId w:val="1011"/>
        </w:numPr>
        <w:pStyle w:val="Compact"/>
      </w:pPr>
      <w:r>
        <w:t xml:space="preserve">Greco et al. (2016) — cvxEDA (עיבוד טוני/פאזי).</w:t>
      </w:r>
    </w:p>
    <w:p>
      <w:pPr>
        <w:pStyle w:val="FirstParagraph"/>
      </w:pPr>
      <w:r>
        <w:rPr>
          <w:bCs/>
          <w:b/>
        </w:rPr>
        <w:t xml:space="preserve">ECG / HRV / RSA</w:t>
      </w:r>
    </w:p>
    <w:p>
      <w:pPr>
        <w:numPr>
          <w:ilvl w:val="0"/>
          <w:numId w:val="1012"/>
        </w:numPr>
        <w:pStyle w:val="Compact"/>
      </w:pPr>
      <w:r>
        <w:t xml:space="preserve">Akselrod et al. (1981),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— ניתוח ספקטרלי של HRV.</w:t>
      </w:r>
    </w:p>
    <w:p>
      <w:pPr>
        <w:numPr>
          <w:ilvl w:val="0"/>
          <w:numId w:val="1012"/>
        </w:numPr>
        <w:pStyle w:val="Compact"/>
      </w:pPr>
      <w:r>
        <w:t xml:space="preserve">Malik et al. / Task Force (1996),</w:t>
      </w:r>
      <w:r>
        <w:t xml:space="preserve"> </w:t>
      </w:r>
      <w:r>
        <w:rPr>
          <w:iCs/>
          <w:i/>
        </w:rPr>
        <w:t xml:space="preserve">European Heart Journal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Circulation</w:t>
      </w:r>
      <w:r>
        <w:t xml:space="preserve"> </w:t>
      </w:r>
      <w:r>
        <w:t xml:space="preserve">— תקן ה-HRV.</w:t>
      </w:r>
    </w:p>
    <w:p>
      <w:pPr>
        <w:numPr>
          <w:ilvl w:val="0"/>
          <w:numId w:val="1012"/>
        </w:numPr>
        <w:pStyle w:val="Compact"/>
      </w:pPr>
      <w:r>
        <w:t xml:space="preserve">Grossman et al. (1990) — שיטות כימות RSA (peak-valley מול ספקטרלי).</w:t>
      </w:r>
    </w:p>
    <w:p>
      <w:pPr>
        <w:numPr>
          <w:ilvl w:val="0"/>
          <w:numId w:val="1012"/>
        </w:numPr>
        <w:pStyle w:val="Compact"/>
      </w:pPr>
      <w:r>
        <w:t xml:space="preserve">Heathers (2014); Billman (2013); Amekran et al. (2024) — אזהרות LF/HF ויחידות מנורמלות.</w:t>
      </w:r>
    </w:p>
    <w:p>
      <w:pPr>
        <w:numPr>
          <w:ilvl w:val="0"/>
          <w:numId w:val="1012"/>
        </w:numPr>
        <w:pStyle w:val="Compact"/>
      </w:pPr>
      <w:r>
        <w:t xml:space="preserve">Menuet et al. (2025),</w:t>
      </w:r>
      <w:r>
        <w:t xml:space="preserve"> </w:t>
      </w:r>
      <w:r>
        <w:rPr>
          <w:iCs/>
          <w:i/>
        </w:rPr>
        <w:t xml:space="preserve">Nature Reviews Cardiology</w:t>
      </w:r>
      <w:r>
        <w:t xml:space="preserve"> </w:t>
      </w:r>
      <w:r>
        <w:t xml:space="preserve">— RSA→RespHRV.</w:t>
      </w:r>
    </w:p>
    <w:p>
      <w:pPr>
        <w:pStyle w:val="FirstParagraph"/>
      </w:pPr>
      <w:r>
        <w:rPr>
          <w:bCs/>
          <w:b/>
        </w:rPr>
        <w:t xml:space="preserve">ויכוח Polyvagal / נוירו-ויסצרלי</w:t>
      </w:r>
    </w:p>
    <w:p>
      <w:pPr>
        <w:numPr>
          <w:ilvl w:val="0"/>
          <w:numId w:val="1013"/>
        </w:numPr>
        <w:pStyle w:val="Compact"/>
      </w:pPr>
      <w:r>
        <w:t xml:space="preserve">Porges (2025), Frontiers in Behavioral Neuroscience; Porges (2025; 2026), Clinical Neuropsychiatry.</w:t>
      </w:r>
    </w:p>
    <w:p>
      <w:pPr>
        <w:numPr>
          <w:ilvl w:val="0"/>
          <w:numId w:val="1013"/>
        </w:numPr>
        <w:pStyle w:val="Compact"/>
      </w:pPr>
      <w:r>
        <w:t xml:space="preserve">Grossman (2023),</w:t>
      </w:r>
      <w:r>
        <w:t xml:space="preserve"> </w:t>
      </w:r>
      <w:r>
        <w:rPr>
          <w:iCs/>
          <w:i/>
        </w:rPr>
        <w:t xml:space="preserve">Biological Psychology</w:t>
      </w:r>
      <w:r>
        <w:t xml:space="preserve"> </w:t>
      </w:r>
      <w:r>
        <w:t xml:space="preserve">— חמש ההנחות; Grossman et al. (2026) —</w:t>
      </w:r>
      <w:r>
        <w:t xml:space="preserve"> </w:t>
      </w:r>
      <w:r>
        <w:t xml:space="preserve">“</w:t>
      </w:r>
      <w:r>
        <w:t xml:space="preserve">Why PVT Is Untenable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Grossman &amp; Taylor (2007),</w:t>
      </w:r>
      <w:r>
        <w:t xml:space="preserve"> </w:t>
      </w:r>
      <w:r>
        <w:rPr>
          <w:iCs/>
          <w:i/>
        </w:rPr>
        <w:t xml:space="preserve">Biological Psychology</w:t>
      </w:r>
      <w:r>
        <w:t xml:space="preserve"> </w:t>
      </w:r>
      <w:r>
        <w:t xml:space="preserve">— RSA וטונוס ואגלי.</w:t>
      </w:r>
    </w:p>
    <w:p>
      <w:pPr>
        <w:numPr>
          <w:ilvl w:val="0"/>
          <w:numId w:val="1013"/>
        </w:numPr>
        <w:pStyle w:val="Compact"/>
      </w:pPr>
      <w:r>
        <w:t xml:space="preserve">Thayer &amp; Lane (2009); Thayer et al. (2012),</w:t>
      </w:r>
      <w:r>
        <w:t xml:space="preserve"> </w:t>
      </w:r>
      <w:r>
        <w:rPr>
          <w:iCs/>
          <w:i/>
        </w:rPr>
        <w:t xml:space="preserve">Neuroscience &amp; Biobehavioral Reviews</w:t>
      </w:r>
      <w:r>
        <w:t xml:space="preserve"> </w:t>
      </w:r>
      <w:r>
        <w:t xml:space="preserve">— המודל הנוירו-ויסצרלי.</w:t>
      </w:r>
    </w:p>
    <w:p>
      <w:pPr>
        <w:pStyle w:val="FirstParagraph"/>
      </w:pPr>
      <w:r>
        <w:rPr>
          <w:bCs/>
          <w:b/>
        </w:rPr>
        <w:t xml:space="preserve">סכמה תרפיה ופיזיולוגיה</w:t>
      </w:r>
    </w:p>
    <w:p>
      <w:pPr>
        <w:numPr>
          <w:ilvl w:val="0"/>
          <w:numId w:val="1014"/>
        </w:numPr>
        <w:pStyle w:val="Compact"/>
      </w:pPr>
      <w:r>
        <w:t xml:space="preserve">Arntz et al. (2021) — ניסוח מחודש של תיאוריית הסכמה.</w:t>
      </w:r>
    </w:p>
    <w:p>
      <w:pPr>
        <w:numPr>
          <w:ilvl w:val="0"/>
          <w:numId w:val="1014"/>
        </w:numPr>
        <w:pStyle w:val="Compact"/>
      </w:pPr>
      <w:r>
        <w:t xml:space="preserve">Pilkington et al. (2023) — מטא-אנליזה: EMS, ויסות רגשי, אלקסיתימיה.</w:t>
      </w:r>
    </w:p>
    <w:p>
      <w:pPr>
        <w:numPr>
          <w:ilvl w:val="0"/>
          <w:numId w:val="1014"/>
        </w:numPr>
        <w:pStyle w:val="Compact"/>
      </w:pPr>
      <w:r>
        <w:t xml:space="preserve">Thomas et al. (2025) — הפעלת סכמת נטישה ועוררות פיזיולוגית.</w:t>
      </w:r>
    </w:p>
    <w:p>
      <w:pPr>
        <w:numPr>
          <w:ilvl w:val="0"/>
          <w:numId w:val="1014"/>
        </w:numPr>
        <w:pStyle w:val="Compact"/>
      </w:pPr>
      <w:r>
        <w:t xml:space="preserve">Krans et al. (2026) — הנחיות לחקר ניסויי של מצבי סכמה.</w:t>
      </w:r>
    </w:p>
    <w:p>
      <w:pPr>
        <w:numPr>
          <w:ilvl w:val="0"/>
          <w:numId w:val="1014"/>
        </w:numPr>
        <w:pStyle w:val="Compact"/>
      </w:pPr>
      <w:r>
        <w:t xml:space="preserve">Bolinski et al. (2021) — VR, רסטרוקטורציה קוגניטיבית, SC/HR.</w:t>
      </w:r>
    </w:p>
    <w:p>
      <w:pPr>
        <w:numPr>
          <w:ilvl w:val="0"/>
          <w:numId w:val="1014"/>
        </w:numPr>
        <w:pStyle w:val="Compact"/>
      </w:pPr>
      <w:r>
        <w:t xml:space="preserve">Karaosmanoğlu et al. (2022) — מצבי סכמה דרך Polyvagal Theory.</w:t>
      </w:r>
    </w:p>
    <w:bookmarkEnd w:id="38"/>
    <w:bookmarkEnd w:id="39"/>
    <w:sectPr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right"/>
      <w:pPr>
        <w:bidi/>
        <w:ind w:hanging="360" w:righ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>
      <w:pPr>
        <w:bidi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next w:val="Normal"/>
    <w:qFormat/>
    <w:pPr>
      <w:bidi/>
      <w:spacing w:after="240"/>
      <w:jc w:val="right"/>
    </w:pPr>
    <w:rPr>
      <w:rFonts w:ascii="David" w:cs="David" w:eastAsia="David" w:hAnsi="David"/>
      <w:b/>
      <w:bCs/>
      <w:sz w:val="48"/>
      <w:szCs w:val="48"/>
    </w:rPr>
  </w:style>
  <w:style w:styleId="Heading1" w:type="paragraph">
    <w:name w:val="Heading 1"/>
    <w:basedOn w:val="Normal"/>
    <w:next w:val="Normal"/>
    <w:qFormat/>
    <w:pPr>
      <w:bidi/>
      <w:spacing w:after="160" w:before="300"/>
      <w:jc w:val="right"/>
      <w:outlineLvl w:val="0"/>
    </w:pPr>
    <w:rPr>
      <w:rFonts w:ascii="David" w:cs="David" w:eastAsia="David" w:hAnsi="David"/>
      <w:b/>
      <w:bCs/>
      <w:color w:val="2A4B7C"/>
      <w:sz w:val="36"/>
      <w:szCs w:val="36"/>
    </w:rPr>
  </w:style>
  <w:style w:styleId="Heading2" w:type="paragraph">
    <w:name w:val="Heading 2"/>
    <w:basedOn w:val="Normal"/>
    <w:next w:val="Normal"/>
    <w:qFormat/>
    <w:pPr>
      <w:bidi/>
      <w:spacing w:after="120" w:before="240"/>
      <w:jc w:val="right"/>
      <w:outlineLvl w:val="1"/>
    </w:pPr>
    <w:rPr>
      <w:rFonts w:ascii="David" w:cs="David" w:eastAsia="David" w:hAnsi="David"/>
      <w:b/>
      <w:bCs/>
      <w:color w:val="1C1B18"/>
      <w:sz w:val="30"/>
      <w:szCs w:val="30"/>
    </w:rPr>
  </w:style>
  <w:style w:styleId="Heading3" w:type="paragraph">
    <w:name w:val="Heading 3"/>
    <w:basedOn w:val="Normal"/>
    <w:next w:val="Normal"/>
    <w:qFormat/>
    <w:pPr>
      <w:bidi/>
      <w:spacing w:after="100" w:before="200"/>
      <w:jc w:val="right"/>
      <w:outlineLvl w:val="2"/>
    </w:pPr>
    <w:rPr>
      <w:rFonts w:ascii="David" w:cs="David" w:eastAsia="David" w:hAnsi="David"/>
      <w:b/>
      <w:bCs/>
      <w:color w:val="4A4840"/>
      <w:sz w:val="26"/>
      <w:szCs w:val="26"/>
    </w:rPr>
  </w:style>
  <w:style w:styleId="Normal" w:type="paragraph">
    <w:name w:val="Normal"/>
    <w:qFormat/>
    <w:pPr>
      <w:bidi/>
      <w:spacing w:after="140" w:line="340"/>
      <w:jc w:val="right"/>
    </w:pPr>
    <w:rPr>
      <w:rFonts w:ascii="David" w:cs="David" w:eastAsia="David" w:hAnsi="David"/>
      <w:sz w:val="24"/>
      <w:szCs w:val="24"/>
    </w:rPr>
  </w:style>
  <w:style w:styleId="BlockText" w:type="paragraph">
    <w:name w:val="Block Text"/>
    <w:basedOn w:val="Normal"/>
    <w:next w:val="Normal"/>
    <w:pPr>
      <w:bidi/>
      <w:spacing w:after="140"/>
      <w:ind w:right="360"/>
      <w:jc w:val="right"/>
    </w:pPr>
    <w:rPr>
      <w:rFonts w:ascii="David" w:cs="David" w:eastAsia="David" w:hAnsi="David"/>
      <w:i/>
      <w:iCs/>
      <w:color w:val="4A4840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2026-06-27T14:34:14Z</dcterms:created>
  <dcterms:modified xsi:type="dcterms:W3CDTF">2026-06-27T14:34:14Z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