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42.png" ContentType="image/png"/>
  <Override PartName="/word/media/rId20.png" ContentType="image/png"/>
  <Override PartName="/word/media/rId45.png" ContentType="image/png"/>
  <Override PartName="/word/media/rId29.png" ContentType="image/png"/>
  <Override PartName="/word/media/rId23.png" ContentType="image/png"/>
  <Override PartName="/word/media/rId26.png" ContentType="image/png"/>
  <Override PartName="/word/media/rId73.png" ContentType="image/png"/>
  <Override PartName="/word/media/rId55.png" ContentType="image/png"/>
  <Override PartName="/word/media/rId61.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X70291c56bb354e827212c37f655eca7d130be5e"/>
    <w:p>
      <w:pPr>
        <w:pStyle w:val="Heading1"/>
      </w:pPr>
      <w:r>
        <w:t xml:space="preserve">Foundations of Clinical Psychophysiology: Historical, Conceptual, and Translational Frontiers in Emotion Regulation and Schema Therapy</w:t>
      </w:r>
    </w:p>
    <w:bookmarkStart w:id="52" w:name="part-1-what-is-psychophysiology"/>
    <w:p>
      <w:pPr>
        <w:pStyle w:val="Heading2"/>
      </w:pPr>
      <w:r>
        <w:t xml:space="preserve">Part 1 — What is Psychophysiology?</w:t>
      </w:r>
    </w:p>
    <w:p>
      <w:pPr>
        <w:pStyle w:val="FirstParagraph"/>
      </w:pPr>
      <w:r>
        <w:t xml:space="preserve">Psychophysiology is formally defined as the scientific discipline that investigates the reciprocal relations between psychological phenomena and physiological responses recorded from the human body</w:t>
      </w:r>
      <w:r>
        <w:rPr>
          <w:vertAlign w:val="superscript"/>
        </w:rPr>
        <w:t xml:space="preserve">1</w:t>
      </w:r>
      <w:r>
        <w:t xml:space="preserve">. As codified by the Society for Psychophysiological Research and established in standard textbooks, the primary objective of this interdisciplinary science is to elucidate how cognitive, affective, motivational, and relational processes are represented in and modulated by somatic and autonomic systems</w:t>
      </w:r>
      <w:r>
        <w:rPr>
          <w:vertAlign w:val="superscript"/>
        </w:rPr>
        <w:t xml:space="preserve">1</w:t>
      </w:r>
      <w:r>
        <w:t xml:space="preserve">. Rather than viewing physiological changes as mere metabolic endpoints, psychophysiology treats peripheral bodily states as active, continuous, and dynamic representations of the mind in action</w:t>
      </w:r>
      <w:r>
        <w:rPr>
          <w:vertAlign w:val="superscript"/>
        </w:rPr>
        <w:t xml:space="preserve">1</w:t>
      </w:r>
      <w:r>
        <w:t xml:space="preserve">.</w:t>
      </w:r>
    </w:p>
    <w:p>
      <w:pPr>
        <w:pStyle w:val="BodyText"/>
      </w:pPr>
      <w:r>
        <w:t xml:space="preserve">Within the broader landscape of psychology and neuroscience, psychophysiology occupies a unique position. It must be clearly distinguished from clinical neurophysiology and neurology, which focus primarily on organic pathology, structural damage, and diagnostic evaluations of the central and peripheral nervous systems (such as identifying focal lesions, neuropathies, or epileptiform activity). Psychophysiology, by contrast, studies intact, functional physiological variations in awake, behaving human participants as they respond to psychological and social stimuli</w:t>
      </w:r>
      <w:r>
        <w:rPr>
          <w:vertAlign w:val="superscript"/>
        </w:rPr>
        <w:t xml:space="preserve">1</w:t>
      </w:r>
      <w:r>
        <w:t xml:space="preserve">.</w:t>
      </w:r>
    </w:p>
    <w:p>
      <w:pPr>
        <w:pStyle w:val="BodyText"/>
      </w:pPr>
      <w:r>
        <w:t xml:space="preserve">It is also distinct from biopsychology and behavioural neuroscience, which focus on brain structures and circuits, often employing invasive methodologies (such as optogenetics, microdialysis, or focal lesions in animal models) to establish direct causal pathways</w:t>
      </w:r>
      <w:r>
        <w:rPr>
          <w:vertAlign w:val="superscript"/>
        </w:rPr>
        <w:t xml:space="preserve">2</w:t>
      </w:r>
      <w:r>
        <w:t xml:space="preserve">. Psychophysiology is predominantly non-invasive and human-centric, focusing on how systemic, peripheral effector systems respond to psychological demands</w:t>
      </w:r>
      <w:r>
        <w:rPr>
          <w:vertAlign w:val="superscript"/>
        </w:rPr>
        <w:t xml:space="preserve">1</w:t>
      </w:r>
      <w:r>
        <w:t xml:space="preserve">.</w:t>
      </w:r>
    </w:p>
    <w:p>
      <w:pPr>
        <w:pStyle w:val="BodyText"/>
      </w:pPr>
      <w:r>
        <w:t xml:space="preserve">Furthermore, psychophysiology is conceptually and methodologically distinct from central neuroimaging modalities such as functional Magnetic Resonance Imaging (fMRI) and Positron Emission Tomography (PET)</w:t>
      </w:r>
      <w:r>
        <w:rPr>
          <w:vertAlign w:val="superscript"/>
        </w:rPr>
        <w:t xml:space="preserve">3</w:t>
      </w:r>
      <w:r>
        <w:t xml:space="preserve">. While neuroimaging offers spatial resolution to map structural activation within specific cortical and subcortical regions, it presents severe constraints</w:t>
      </w:r>
      <w:r>
        <w:rPr>
          <w:vertAlign w:val="superscript"/>
        </w:rPr>
        <w:t xml:space="preserve">3</w:t>
      </w:r>
      <w:r>
        <w:t xml:space="preserve">. Participants must remain highly motionless within a noisy, unnatural scanner environment, which severely limits ecological validity</w:t>
      </w:r>
      <w:r>
        <w:rPr>
          <w:vertAlign w:val="superscript"/>
        </w:rPr>
        <w:t xml:space="preserve">6</w:t>
      </w:r>
      <w:r>
        <w:t xml:space="preserve">.</w:t>
      </w:r>
    </w:p>
    <w:p>
      <w:pPr>
        <w:pStyle w:val="BodyText"/>
      </w:pPr>
      <w:r>
        <w:t xml:space="preserve">Peripheral psychophysiology bypasses these constraints by measuring the downstream autonomic effectors, which provide a continuous, high-temporal-resolution readout of systemic states during live interpersonal interactions</w:t>
      </w:r>
      <w:r>
        <w:rPr>
          <w:vertAlign w:val="superscript"/>
        </w:rPr>
        <w:t xml:space="preserve">6</w:t>
      </w:r>
      <w:r>
        <w:t xml:space="preserve">.</w:t>
      </w:r>
    </w:p>
    <w:p>
      <w:pPr>
        <w:pStyle w:val="BodyText"/>
      </w:pPr>
      <w:r>
        <w:t xml:space="preserve">Finally, it differs from health psychology, which focuses on long-term disease outcomes, epidemiological patterns, and macro-level lifestyle interventions</w:t>
      </w:r>
      <w:r>
        <w:rPr>
          <w:vertAlign w:val="superscript"/>
        </w:rPr>
        <w:t xml:space="preserve">1</w:t>
      </w:r>
      <w:r>
        <w:t xml:space="preserve">. Psychophysiology operates at a much finer temporal resolution, focusing on the immediate, real-time physiological mechanisms that eventually accumulate into those long-term health outcomes</w:t>
      </w:r>
      <w:r>
        <w:rPr>
          <w:vertAlign w:val="superscript"/>
        </w:rPr>
        <w:t xml:space="preserve">1</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Discipline</w:t>
            </w:r>
          </w:p>
        </w:tc>
        <w:tc>
          <w:tcPr/>
          <w:p>
            <w:pPr>
              <w:pStyle w:val="Compact"/>
              <w:jc w:val="left"/>
            </w:pPr>
            <w:r>
              <w:rPr>
                <w:bCs/>
                <w:b/>
              </w:rPr>
              <w:t xml:space="preserve">Primary Level of Analysis</w:t>
            </w:r>
          </w:p>
        </w:tc>
        <w:tc>
          <w:tcPr/>
          <w:p>
            <w:pPr>
              <w:pStyle w:val="Compact"/>
              <w:jc w:val="left"/>
            </w:pPr>
            <w:r>
              <w:rPr>
                <w:bCs/>
                <w:b/>
              </w:rPr>
              <w:t xml:space="preserve">Core Conceptual Focus</w:t>
            </w:r>
          </w:p>
        </w:tc>
        <w:tc>
          <w:tcPr/>
          <w:p>
            <w:pPr>
              <w:pStyle w:val="Compact"/>
              <w:jc w:val="left"/>
            </w:pPr>
            <w:r>
              <w:rPr>
                <w:bCs/>
                <w:b/>
              </w:rPr>
              <w:t xml:space="preserve">Primary Physiological/Neural Indicators</w:t>
            </w:r>
          </w:p>
        </w:tc>
        <w:tc>
          <w:tcPr/>
          <w:p>
            <w:pPr>
              <w:pStyle w:val="Compact"/>
              <w:jc w:val="left"/>
            </w:pPr>
            <w:r>
              <w:rPr>
                <w:bCs/>
                <w:b/>
              </w:rPr>
              <w:t xml:space="preserve">Unique Conceptual Advantage</w:t>
            </w:r>
          </w:p>
        </w:tc>
      </w:tr>
      <w:tr>
        <w:trPr>
          <w:tblHeader w:val="true"/>
        </w:trPr>
        <w:tc>
          <w:tcPr/>
          <w:p>
            <w:pPr>
              <w:pStyle w:val="Compact"/>
              <w:jc w:val="left"/>
            </w:pPr>
            <w:r>
              <w:rPr>
                <w:bCs/>
                <w:b/>
              </w:rPr>
              <w:t xml:space="preserve">Psychophysiology</w:t>
            </w:r>
          </w:p>
        </w:tc>
        <w:tc>
          <w:tcPr/>
          <w:p>
            <w:pPr>
              <w:pStyle w:val="Compact"/>
              <w:jc w:val="left"/>
            </w:pPr>
            <w:r>
              <w:t xml:space="preserve">Systemic, peripheral, and central effector systems in awake, behaving humans</w:t>
            </w:r>
            <w:r>
              <w:rPr>
                <w:vertAlign w:val="superscript"/>
              </w:rPr>
              <w:t xml:space="preserve">1</w:t>
            </w:r>
            <w:r>
              <w:t xml:space="preserve">.</w:t>
            </w:r>
          </w:p>
        </w:tc>
        <w:tc>
          <w:tcPr/>
          <w:p>
            <w:pPr>
              <w:pStyle w:val="Compact"/>
              <w:jc w:val="left"/>
            </w:pPr>
            <w:r>
              <w:t xml:space="preserve">Reciprocal relations between psychological states and somatic responses</w:t>
            </w:r>
            <w:r>
              <w:rPr>
                <w:vertAlign w:val="superscript"/>
              </w:rPr>
              <w:t xml:space="preserve">1</w:t>
            </w:r>
            <w:r>
              <w:t xml:space="preserve">.</w:t>
            </w:r>
          </w:p>
        </w:tc>
        <w:tc>
          <w:tcPr/>
          <w:p>
            <w:pPr>
              <w:pStyle w:val="Compact"/>
              <w:jc w:val="left"/>
            </w:pPr>
            <w:r>
              <w:t xml:space="preserve">Electrodermal activity (EDA), heart rate variability (HRV), respiratory sinus arrhythmia (RSA), electromyography (EMG)</w:t>
            </w:r>
            <w:r>
              <w:rPr>
                <w:vertAlign w:val="superscript"/>
              </w:rPr>
              <w:t xml:space="preserve">7</w:t>
            </w:r>
            <w:r>
              <w:t xml:space="preserve">.</w:t>
            </w:r>
          </w:p>
        </w:tc>
        <w:tc>
          <w:tcPr/>
          <w:p>
            <w:pPr>
              <w:pStyle w:val="Compact"/>
              <w:jc w:val="left"/>
            </w:pPr>
            <w:r>
              <w:t xml:space="preserve">High temporal resolution; high ecological validity; ideal for studying dyadic and clinical interactions in real time</w:t>
            </w:r>
            <w:r>
              <w:rPr>
                <w:vertAlign w:val="superscript"/>
              </w:rPr>
              <w:t xml:space="preserve">6</w:t>
            </w:r>
            <w:r>
              <w:t xml:space="preserve">.</w:t>
            </w:r>
          </w:p>
        </w:tc>
      </w:tr>
      <w:tr>
        <w:trPr>
          <w:tblHeader w:val="true"/>
        </w:trPr>
        <w:tc>
          <w:tcPr/>
          <w:p>
            <w:pPr>
              <w:pStyle w:val="Compact"/>
              <w:jc w:val="left"/>
            </w:pPr>
            <w:r>
              <w:rPr>
                <w:bCs/>
                <w:b/>
              </w:rPr>
              <w:t xml:space="preserve">Clinical Neurophysiology / Neurology</w:t>
            </w:r>
          </w:p>
        </w:tc>
        <w:tc>
          <w:tcPr/>
          <w:p>
            <w:pPr>
              <w:pStyle w:val="Compact"/>
              <w:jc w:val="left"/>
            </w:pPr>
            <w:r>
              <w:t xml:space="preserve">Pathology of the central and peripheral nervous systems.</w:t>
            </w:r>
          </w:p>
        </w:tc>
        <w:tc>
          <w:tcPr/>
          <w:p>
            <w:pPr>
              <w:pStyle w:val="Compact"/>
              <w:jc w:val="left"/>
            </w:pPr>
            <w:r>
              <w:t xml:space="preserve">Diagnostic evaluation of structural, degenerative, or traumatic neural dysfunction.</w:t>
            </w:r>
          </w:p>
        </w:tc>
        <w:tc>
          <w:tcPr/>
          <w:p>
            <w:pPr>
              <w:pStyle w:val="Compact"/>
              <w:jc w:val="left"/>
            </w:pPr>
            <w:r>
              <w:t xml:space="preserve">Electroencephalography (EEG), electromyography (EMG), nerve conduction studies.</w:t>
            </w:r>
          </w:p>
        </w:tc>
        <w:tc>
          <w:tcPr/>
          <w:p>
            <w:pPr>
              <w:pStyle w:val="Compact"/>
              <w:jc w:val="left"/>
            </w:pPr>
            <w:r>
              <w:t xml:space="preserve">Critical for identifying organic lesions, demyelination, and epileptiform activity.</w:t>
            </w:r>
          </w:p>
        </w:tc>
      </w:tr>
      <w:tr>
        <w:trPr>
          <w:tblHeader w:val="true"/>
        </w:trPr>
        <w:tc>
          <w:tcPr/>
          <w:p>
            <w:pPr>
              <w:pStyle w:val="Compact"/>
              <w:jc w:val="left"/>
            </w:pPr>
            <w:r>
              <w:rPr>
                <w:bCs/>
                <w:b/>
              </w:rPr>
              <w:t xml:space="preserve">Behavioural Neuroscience</w:t>
            </w:r>
          </w:p>
        </w:tc>
        <w:tc>
          <w:tcPr/>
          <w:p>
            <w:pPr>
              <w:pStyle w:val="Compact"/>
              <w:jc w:val="left"/>
            </w:pPr>
            <w:r>
              <w:t xml:space="preserve">Cellular, molecular, and circuit-level mechanisms, often in animal models.</w:t>
            </w:r>
          </w:p>
        </w:tc>
        <w:tc>
          <w:tcPr/>
          <w:p>
            <w:pPr>
              <w:pStyle w:val="Compact"/>
              <w:jc w:val="left"/>
            </w:pPr>
            <w:r>
              <w:t xml:space="preserve">Causal neural pathways underlying survival behaviours, learning, and basic drives.</w:t>
            </w:r>
          </w:p>
        </w:tc>
        <w:tc>
          <w:tcPr/>
          <w:p>
            <w:pPr>
              <w:pStyle w:val="Compact"/>
              <w:jc w:val="left"/>
            </w:pPr>
            <w:r>
              <w:t xml:space="preserve">Local field potentials, optogenetic markers, cellular imaging, microdialysis.</w:t>
            </w:r>
          </w:p>
        </w:tc>
        <w:tc>
          <w:tcPr/>
          <w:p>
            <w:pPr>
              <w:pStyle w:val="Compact"/>
              <w:jc w:val="left"/>
            </w:pPr>
            <w:r>
              <w:t xml:space="preserve">Enables direct, causal manipulations (e.g., genetic knockouts, focal brain lesions).</w:t>
            </w:r>
          </w:p>
        </w:tc>
      </w:tr>
      <w:tr>
        <w:trPr>
          <w:tblHeader w:val="true"/>
        </w:trPr>
        <w:tc>
          <w:tcPr/>
          <w:p>
            <w:pPr>
              <w:pStyle w:val="Compact"/>
              <w:jc w:val="left"/>
            </w:pPr>
            <w:r>
              <w:rPr>
                <w:bCs/>
                <w:b/>
              </w:rPr>
              <w:t xml:space="preserve">Neuroimaging (fMRI, PET)</w:t>
            </w:r>
          </w:p>
        </w:tc>
        <w:tc>
          <w:tcPr/>
          <w:p>
            <w:pPr>
              <w:pStyle w:val="Compact"/>
              <w:jc w:val="left"/>
            </w:pPr>
            <w:r>
              <w:t xml:space="preserve">Central, macroscopic neuroanatomy and regional cerebral blood flow</w:t>
            </w:r>
            <w:r>
              <w:rPr>
                <w:vertAlign w:val="superscript"/>
              </w:rPr>
              <w:t xml:space="preserve">3</w:t>
            </w:r>
            <w:r>
              <w:t xml:space="preserve">.</w:t>
            </w:r>
          </w:p>
        </w:tc>
        <w:tc>
          <w:tcPr/>
          <w:p>
            <w:pPr>
              <w:pStyle w:val="Compact"/>
              <w:jc w:val="left"/>
            </w:pPr>
            <w:r>
              <w:t xml:space="preserve">Spatial and structural localization of cognitive, affective, and sensory processes</w:t>
            </w:r>
            <w:r>
              <w:rPr>
                <w:vertAlign w:val="superscript"/>
              </w:rPr>
              <w:t xml:space="preserve">3</w:t>
            </w:r>
            <w:r>
              <w:t xml:space="preserve">.</w:t>
            </w:r>
          </w:p>
        </w:tc>
        <w:tc>
          <w:tcPr/>
          <w:p>
            <w:pPr>
              <w:pStyle w:val="Compact"/>
              <w:jc w:val="left"/>
            </w:pPr>
            <w:r>
              <w:t xml:space="preserve">Blood-oxygen-level-dependent (BOLD) signals, radiotracer binding potentials</w:t>
            </w:r>
            <w:r>
              <w:rPr>
                <w:vertAlign w:val="superscript"/>
              </w:rPr>
              <w:t xml:space="preserve">3</w:t>
            </w:r>
            <w:r>
              <w:t xml:space="preserve">.</w:t>
            </w:r>
          </w:p>
        </w:tc>
        <w:tc>
          <w:tcPr/>
          <w:p>
            <w:pPr>
              <w:pStyle w:val="Compact"/>
              <w:jc w:val="left"/>
            </w:pPr>
            <w:r>
              <w:t xml:space="preserve">Exceptional spatial resolution; maps specific subcortical and cortical structures involved in emotion</w:t>
            </w:r>
            <w:r>
              <w:rPr>
                <w:vertAlign w:val="superscript"/>
              </w:rPr>
              <w:t xml:space="preserve">11</w:t>
            </w:r>
            <w:r>
              <w:t xml:space="preserve">.</w:t>
            </w:r>
          </w:p>
        </w:tc>
      </w:tr>
      <w:tr>
        <w:trPr>
          <w:tblHeader w:val="true"/>
        </w:trPr>
        <w:tc>
          <w:tcPr/>
          <w:p>
            <w:pPr>
              <w:pStyle w:val="Compact"/>
              <w:jc w:val="left"/>
            </w:pPr>
            <w:r>
              <w:rPr>
                <w:bCs/>
                <w:b/>
              </w:rPr>
              <w:t xml:space="preserve">Health Psychology</w:t>
            </w:r>
          </w:p>
        </w:tc>
        <w:tc>
          <w:tcPr/>
          <w:p>
            <w:pPr>
              <w:pStyle w:val="Compact"/>
              <w:jc w:val="left"/>
            </w:pPr>
            <w:r>
              <w:t xml:space="preserve">Biopsychosocial factors in health, illness prevention, and healthcare systems.</w:t>
            </w:r>
          </w:p>
        </w:tc>
        <w:tc>
          <w:tcPr/>
          <w:p>
            <w:pPr>
              <w:pStyle w:val="Compact"/>
              <w:jc w:val="left"/>
            </w:pPr>
            <w:r>
              <w:t xml:space="preserve">Epistemology of long-term lifestyle, stress, and systemic disease outcomes.</w:t>
            </w:r>
          </w:p>
        </w:tc>
        <w:tc>
          <w:tcPr/>
          <w:p>
            <w:pPr>
              <w:pStyle w:val="Compact"/>
              <w:jc w:val="left"/>
            </w:pPr>
            <w:r>
              <w:t xml:space="preserve">Immune markers, endocrine assays (cortisol), clinical cardiovascular endpoints (blood pressure).</w:t>
            </w:r>
          </w:p>
        </w:tc>
        <w:tc>
          <w:tcPr/>
          <w:p>
            <w:pPr>
              <w:pStyle w:val="Compact"/>
              <w:jc w:val="left"/>
            </w:pPr>
            <w:r>
              <w:t xml:space="preserve">Focuses on population-level epidemiological outcomes and macro-behavioural change.</w:t>
            </w:r>
          </w:p>
        </w:tc>
      </w:tr>
    </w:tbl>
    <w:p>
      <w:pPr>
        <w:pStyle w:val="BodyText"/>
      </w:pPr>
      <w:r>
        <w:t xml:space="preserve">The unique advantage of studying peripheral physiological responses lies in their role as the "effector surface" of the autonomic nervous system (ANS)</w:t>
      </w:r>
      <w:r>
        <w:rPr>
          <w:vertAlign w:val="superscript"/>
        </w:rPr>
        <w:t xml:space="preserve">1</w:t>
      </w:r>
      <w:r>
        <w:t xml:space="preserve">. The ANS innervates every major organ system, translating central appraisals of threat, safety, and relational connection into immediate somatic adaptations</w:t>
      </w:r>
      <w:r>
        <w:rPr>
          <w:vertAlign w:val="superscript"/>
        </w:rPr>
        <w:t xml:space="preserve">7</w:t>
      </w:r>
      <w:r>
        <w:t xml:space="preserve">. By measuring peripheral signals such as electrodermal activity (EDA) or cardiac vagal tone (RSA), clinical researchers can capture the embodied mind in action</w:t>
      </w:r>
      <w:r>
        <w:rPr>
          <w:vertAlign w:val="superscript"/>
        </w:rPr>
        <w:t xml:space="preserve">7</w:t>
      </w:r>
      <w:r>
        <w:t xml:space="preserve">. These peripheral systems are highly sensitive to the subtle, implicit shifts in emotional processing and interpersonal dynamics that occur during therapeutic interventions, offering a direct window into the biological reality of clinical phenomena</w:t>
      </w:r>
      <w:r>
        <w:rPr>
          <w:vertAlign w:val="superscript"/>
        </w:rPr>
        <w:t xml:space="preserve">6</w:t>
      </w:r>
      <w:r>
        <w:t xml:space="preserve">.</w:t>
      </w:r>
    </w:p>
    <w:p>
      <w:pPr>
        <w:pStyle w:val="BodyText"/>
      </w:pPr>
      <w:r>
        <w:t xml:space="preserve">The core epistemological assumption of psychophysiology is that psychological states leave systematic, objective, and measurable physiological traces in the body's periphery</w:t>
      </w:r>
      <w:r>
        <w:rPr>
          <w:vertAlign w:val="superscript"/>
        </w:rPr>
        <w:t xml:space="preserve">1</w:t>
      </w:r>
      <w:r>
        <w:t xml:space="preserve">. This assumption is biologically warranted by the evolutionary co-adaptation of the brain and body: psychological states are not disembodied computations; they are biological adaptations designed to prepare the organism for action, survival, or social connection</w:t>
      </w:r>
      <w:r>
        <w:rPr>
          <w:vertAlign w:val="superscript"/>
        </w:rPr>
        <w:t xml:space="preserve">12</w:t>
      </w:r>
      <w:r>
        <w:t xml:space="preserve">. Consequently, central nervous system computations must coordinate with peripheral bodily states to optimize metabolic resources</w:t>
      </w:r>
      <w:r>
        <w:rPr>
          <w:vertAlign w:val="superscript"/>
        </w:rPr>
        <w:t xml:space="preserve">11</w:t>
      </w:r>
      <w:r>
        <w:t xml:space="preserve">.</w:t>
      </w:r>
    </w:p>
    <w:p>
      <w:pPr>
        <w:pStyle w:val="BodyText"/>
      </w:pPr>
      <w:r>
        <w:t xml:space="preserve">However, this epistemological assumption carries inherent logical limits. As systematically deconstructed by Cacioppo, Tassinary, and Berntson, navigating the relationship between the psychological domain (</w:t>
        <w:drawing>
          <wp:inline>
            <wp:extent cx="152499" cy="235103"/>
            <wp:effectExtent b="0" l="0" r="0" t="0"/>
            <wp:docPr descr="" title="" id="21" name="Picture"/>
            <a:graphic>
              <a:graphicData uri="http://schemas.openxmlformats.org/drawingml/2006/picture">
                <pic:pic>
                  <pic:nvPicPr>
                    <pic:cNvPr descr="media/image2.png" id="22" name="Picture"/>
                    <pic:cNvPicPr>
                      <a:picLocks noChangeArrowheads="1" noChangeAspect="1"/>
                    </pic:cNvPicPr>
                  </pic:nvPicPr>
                  <pic:blipFill>
                    <a:blip r:embed="rId20"/>
                    <a:stretch>
                      <a:fillRect/>
                    </a:stretch>
                  </pic:blipFill>
                  <pic:spPr bwMode="auto">
                    <a:xfrm>
                      <a:off x="0" y="0"/>
                      <a:ext cx="152499" cy="235103"/>
                    </a:xfrm>
                    <a:prstGeom prst="rect">
                      <a:avLst/>
                    </a:prstGeom>
                    <a:noFill/>
                    <a:ln w="9525">
                      <a:noFill/>
                      <a:headEnd/>
                      <a:tailEnd/>
                    </a:ln>
                  </pic:spPr>
                </pic:pic>
              </a:graphicData>
            </a:graphic>
          </wp:inline>
        </w:drawing>
        <w:t xml:space="preserve">) and the physiological domain (</w:t>
        <w:drawing>
          <wp:inline>
            <wp:extent cx="141486" cy="237954"/>
            <wp:effectExtent b="0" l="0" r="0" t="0"/>
            <wp:docPr descr="" title="" id="24" name="Picture"/>
            <a:graphic>
              <a:graphicData uri="http://schemas.openxmlformats.org/drawingml/2006/picture">
                <pic:pic>
                  <pic:nvPicPr>
                    <pic:cNvPr descr="media/image5.png" id="25" name="Picture"/>
                    <pic:cNvPicPr>
                      <a:picLocks noChangeArrowheads="1" noChangeAspect="1"/>
                    </pic:cNvPicPr>
                  </pic:nvPicPr>
                  <pic:blipFill>
                    <a:blip r:embed="rId23"/>
                    <a:stretch>
                      <a:fillRect/>
                    </a:stretch>
                  </pic:blipFill>
                  <pic:spPr bwMode="auto">
                    <a:xfrm>
                      <a:off x="0" y="0"/>
                      <a:ext cx="141486" cy="237954"/>
                    </a:xfrm>
                    <a:prstGeom prst="rect">
                      <a:avLst/>
                    </a:prstGeom>
                    <a:noFill/>
                    <a:ln w="9525">
                      <a:noFill/>
                      <a:headEnd/>
                      <a:tailEnd/>
                    </a:ln>
                  </pic:spPr>
                </pic:pic>
              </a:graphicData>
            </a:graphic>
          </wp:inline>
        </w:drawing>
        <w:t xml:space="preserve">) requires a rigorous understanding of psychophysiological inference</w:t>
      </w:r>
      <w:r>
        <w:rPr>
          <w:vertAlign w:val="superscript"/>
        </w:rPr>
        <w:t xml:space="preserve">1</w:t>
      </w:r>
      <w:r>
        <w:t xml:space="preserve">. A common logical error in clinical research is affirming the consequent—assuming that because a psychological state (</w:t>
        <w:drawing>
          <wp:inline>
            <wp:extent cx="230783" cy="237193"/>
            <wp:effectExtent b="0" l="0" r="0" t="0"/>
            <wp:docPr descr="" title="" id="27" name="Picture"/>
            <a:graphic>
              <a:graphicData uri="http://schemas.openxmlformats.org/drawingml/2006/picture">
                <pic:pic>
                  <pic:nvPicPr>
                    <pic:cNvPr descr="media/image6.png" id="28" name="Picture"/>
                    <pic:cNvPicPr>
                      <a:picLocks noChangeArrowheads="1" noChangeAspect="1"/>
                    </pic:cNvPicPr>
                  </pic:nvPicPr>
                  <pic:blipFill>
                    <a:blip r:embed="rId26"/>
                    <a:stretch>
                      <a:fillRect/>
                    </a:stretch>
                  </pic:blipFill>
                  <pic:spPr bwMode="auto">
                    <a:xfrm>
                      <a:off x="0" y="0"/>
                      <a:ext cx="230783" cy="237193"/>
                    </a:xfrm>
                    <a:prstGeom prst="rect">
                      <a:avLst/>
                    </a:prstGeom>
                    <a:noFill/>
                    <a:ln w="9525">
                      <a:noFill/>
                      <a:headEnd/>
                      <a:tailEnd/>
                    </a:ln>
                  </pic:spPr>
                </pic:pic>
              </a:graphicData>
            </a:graphic>
          </wp:inline>
        </w:drawing>
        <w:t xml:space="preserve">) produces a physiological response (</w:t>
        <w:drawing>
          <wp:inline>
            <wp:extent cx="219769" cy="239161"/>
            <wp:effectExtent b="0" l="0" r="0" t="0"/>
            <wp:docPr descr="" title="" id="30" name="Picture"/>
            <a:graphic>
              <a:graphicData uri="http://schemas.openxmlformats.org/drawingml/2006/picture">
                <pic:pic>
                  <pic:nvPicPr>
                    <pic:cNvPr descr="media/image4.png" id="31" name="Picture"/>
                    <pic:cNvPicPr>
                      <a:picLocks noChangeArrowheads="1" noChangeAspect="1"/>
                    </pic:cNvPicPr>
                  </pic:nvPicPr>
                  <pic:blipFill>
                    <a:blip r:embed="rId29"/>
                    <a:stretch>
                      <a:fillRect/>
                    </a:stretch>
                  </pic:blipFill>
                  <pic:spPr bwMode="auto">
                    <a:xfrm>
                      <a:off x="0" y="0"/>
                      <a:ext cx="219769" cy="239161"/>
                    </a:xfrm>
                    <a:prstGeom prst="rect">
                      <a:avLst/>
                    </a:prstGeom>
                    <a:noFill/>
                    <a:ln w="9525">
                      <a:noFill/>
                      <a:headEnd/>
                      <a:tailEnd/>
                    </a:ln>
                  </pic:spPr>
                </pic:pic>
              </a:graphicData>
            </a:graphic>
          </wp:inline>
        </w:drawing>
        <w:t xml:space="preserve">), the presence of the physiological response (</w:t>
        <w:drawing>
          <wp:inline>
            <wp:extent cx="219769" cy="239161"/>
            <wp:effectExtent b="0" l="0" r="0" t="0"/>
            <wp:docPr descr="" title="" id="32" name="Picture"/>
            <a:graphic>
              <a:graphicData uri="http://schemas.openxmlformats.org/drawingml/2006/picture">
                <pic:pic>
                  <pic:nvPicPr>
                    <pic:cNvPr descr="media/image4.png" id="33" name="Picture"/>
                    <pic:cNvPicPr>
                      <a:picLocks noChangeArrowheads="1" noChangeAspect="1"/>
                    </pic:cNvPicPr>
                  </pic:nvPicPr>
                  <pic:blipFill>
                    <a:blip r:embed="rId29"/>
                    <a:stretch>
                      <a:fillRect/>
                    </a:stretch>
                  </pic:blipFill>
                  <pic:spPr bwMode="auto">
                    <a:xfrm>
                      <a:off x="0" y="0"/>
                      <a:ext cx="219769" cy="239161"/>
                    </a:xfrm>
                    <a:prstGeom prst="rect">
                      <a:avLst/>
                    </a:prstGeom>
                    <a:noFill/>
                    <a:ln w="9525">
                      <a:noFill/>
                      <a:headEnd/>
                      <a:tailEnd/>
                    </a:ln>
                  </pic:spPr>
                </pic:pic>
              </a:graphicData>
            </a:graphic>
          </wp:inline>
        </w:drawing>
        <w:t xml:space="preserve">) invariably indicates the psychological state (</w:t>
        <w:drawing>
          <wp:inline>
            <wp:extent cx="230783" cy="237193"/>
            <wp:effectExtent b="0" l="0" r="0" t="0"/>
            <wp:docPr descr="" title="" id="34" name="Picture"/>
            <a:graphic>
              <a:graphicData uri="http://schemas.openxmlformats.org/drawingml/2006/picture">
                <pic:pic>
                  <pic:nvPicPr>
                    <pic:cNvPr descr="media/image6.png" id="35" name="Picture"/>
                    <pic:cNvPicPr>
                      <a:picLocks noChangeArrowheads="1" noChangeAspect="1"/>
                    </pic:cNvPicPr>
                  </pic:nvPicPr>
                  <pic:blipFill>
                    <a:blip r:embed="rId26"/>
                    <a:stretch>
                      <a:fillRect/>
                    </a:stretch>
                  </pic:blipFill>
                  <pic:spPr bwMode="auto">
                    <a:xfrm>
                      <a:off x="0" y="0"/>
                      <a:ext cx="230783" cy="237193"/>
                    </a:xfrm>
                    <a:prstGeom prst="rect">
                      <a:avLst/>
                    </a:prstGeom>
                    <a:noFill/>
                    <a:ln w="9525">
                      <a:noFill/>
                      <a:headEnd/>
                      <a:tailEnd/>
                    </a:ln>
                  </pic:spPr>
                </pic:pic>
              </a:graphicData>
            </a:graphic>
          </wp:inline>
        </w:drawing>
        <w:t xml:space="preserve">)</w:t>
      </w:r>
      <w:r>
        <w:rPr>
          <w:vertAlign w:val="superscript"/>
        </w:rPr>
        <w:t xml:space="preserve">1</w:t>
      </w:r>
      <w:r>
        <w:t xml:space="preserve">.</w:t>
      </w:r>
    </w:p>
    <w:p>
      <w:pPr>
        <w:pStyle w:val="BodyText"/>
      </w:pPr>
      <w:r>
        <w:t xml:space="preserve">Cacioppo and colleagues mapped these relationships into four distinct logical taxonomies:</w:t>
      </w:r>
    </w:p>
    <w:p>
      <w:pPr>
        <w:numPr>
          <w:ilvl w:val="0"/>
          <w:numId w:val="1001"/>
        </w:numPr>
        <w:pStyle w:val="BlockText"/>
      </w:pPr>
      <w:r>
        <w:rPr>
          <w:bCs/>
          <w:b/>
        </w:rPr>
        <w:t xml:space="preserve">One-to-One (Isomorphic) Relations:</w:t>
      </w:r>
      <w:r>
        <w:t xml:space="preserve"> A specific psychological element (</w:t>
        <w:drawing>
          <wp:inline>
            <wp:extent cx="230783" cy="237193"/>
            <wp:effectExtent b="0" l="0" r="0" t="0"/>
            <wp:docPr descr="" title="" id="36" name="Picture"/>
            <a:graphic>
              <a:graphicData uri="http://schemas.openxmlformats.org/drawingml/2006/picture">
                <pic:pic>
                  <pic:nvPicPr>
                    <pic:cNvPr descr="media/image6.png" id="37" name="Picture"/>
                    <pic:cNvPicPr>
                      <a:picLocks noChangeArrowheads="1" noChangeAspect="1"/>
                    </pic:cNvPicPr>
                  </pic:nvPicPr>
                  <pic:blipFill>
                    <a:blip r:embed="rId26"/>
                    <a:stretch>
                      <a:fillRect/>
                    </a:stretch>
                  </pic:blipFill>
                  <pic:spPr bwMode="auto">
                    <a:xfrm>
                      <a:off x="0" y="0"/>
                      <a:ext cx="230783" cy="237193"/>
                    </a:xfrm>
                    <a:prstGeom prst="rect">
                      <a:avLst/>
                    </a:prstGeom>
                    <a:noFill/>
                    <a:ln w="9525">
                      <a:noFill/>
                      <a:headEnd/>
                      <a:tailEnd/>
                    </a:ln>
                  </pic:spPr>
                </pic:pic>
              </a:graphicData>
            </a:graphic>
          </wp:inline>
        </w:drawing>
        <w:t xml:space="preserve">) maps uniquely to a single, invariant physiological element (</w:t>
        <w:drawing>
          <wp:inline>
            <wp:extent cx="219769" cy="239161"/>
            <wp:effectExtent b="0" l="0" r="0" t="0"/>
            <wp:docPr descr="" title="" id="38" name="Picture"/>
            <a:graphic>
              <a:graphicData uri="http://schemas.openxmlformats.org/drawingml/2006/picture">
                <pic:pic>
                  <pic:nvPicPr>
                    <pic:cNvPr descr="media/image4.png" id="39" name="Picture"/>
                    <pic:cNvPicPr>
                      <a:picLocks noChangeArrowheads="1" noChangeAspect="1"/>
                    </pic:cNvPicPr>
                  </pic:nvPicPr>
                  <pic:blipFill>
                    <a:blip r:embed="rId29"/>
                    <a:stretch>
                      <a:fillRect/>
                    </a:stretch>
                  </pic:blipFill>
                  <pic:spPr bwMode="auto">
                    <a:xfrm>
                      <a:off x="0" y="0"/>
                      <a:ext cx="219769" cy="239161"/>
                    </a:xfrm>
                    <a:prstGeom prst="rect">
                      <a:avLst/>
                    </a:prstGeom>
                    <a:noFill/>
                    <a:ln w="9525">
                      <a:noFill/>
                      <a:headEnd/>
                      <a:tailEnd/>
                    </a:ln>
                  </pic:spPr>
                </pic:pic>
              </a:graphicData>
            </a:graphic>
          </wp:inline>
        </w:drawing>
        <w:t xml:space="preserve">)</w:t>
      </w:r>
      <w:r>
        <w:rPr>
          <w:vertAlign w:val="superscript"/>
        </w:rPr>
        <w:t xml:space="preserve">1</w:t>
      </w:r>
      <w:r>
        <w:t xml:space="preserve">. This representational model allows for direct, context-free bidirectional inference</w:t>
      </w:r>
      <w:r>
        <w:rPr>
          <w:vertAlign w:val="superscript"/>
        </w:rPr>
        <w:t xml:space="preserve">1</w:t>
      </w:r>
      <w:r>
        <w:t xml:space="preserve">. True isomorphic relationships are exceedingly rare in human psychophysiology</w:t>
      </w:r>
      <w:r>
        <w:rPr>
          <w:vertAlign w:val="superscript"/>
        </w:rPr>
        <w:t xml:space="preserve">1</w:t>
      </w:r>
      <w:r>
        <w:t xml:space="preserve">.</w:t>
      </w:r>
    </w:p>
    <w:p>
      <w:pPr>
        <w:numPr>
          <w:ilvl w:val="0"/>
          <w:numId w:val="1001"/>
        </w:numPr>
        <w:pStyle w:val="BlockText"/>
      </w:pPr>
      <w:r>
        <w:rPr>
          <w:bCs/>
          <w:b/>
        </w:rPr>
        <w:t xml:space="preserve">One-to-Many Relations:</w:t>
      </w:r>
      <w:r>
        <w:t xml:space="preserve"> A single psychological state (</w:t>
        <w:drawing>
          <wp:inline>
            <wp:extent cx="230783" cy="237193"/>
            <wp:effectExtent b="0" l="0" r="0" t="0"/>
            <wp:docPr descr="" title="" id="40" name="Picture"/>
            <a:graphic>
              <a:graphicData uri="http://schemas.openxmlformats.org/drawingml/2006/picture">
                <pic:pic>
                  <pic:nvPicPr>
                    <pic:cNvPr descr="media/image6.png" id="41" name="Picture"/>
                    <pic:cNvPicPr>
                      <a:picLocks noChangeArrowheads="1" noChangeAspect="1"/>
                    </pic:cNvPicPr>
                  </pic:nvPicPr>
                  <pic:blipFill>
                    <a:blip r:embed="rId26"/>
                    <a:stretch>
                      <a:fillRect/>
                    </a:stretch>
                  </pic:blipFill>
                  <pic:spPr bwMode="auto">
                    <a:xfrm>
                      <a:off x="0" y="0"/>
                      <a:ext cx="230783" cy="237193"/>
                    </a:xfrm>
                    <a:prstGeom prst="rect">
                      <a:avLst/>
                    </a:prstGeom>
                    <a:noFill/>
                    <a:ln w="9525">
                      <a:noFill/>
                      <a:headEnd/>
                      <a:tailEnd/>
                    </a:ln>
                  </pic:spPr>
                </pic:pic>
              </a:graphicData>
            </a:graphic>
          </wp:inline>
        </w:drawing>
        <w:t xml:space="preserve">) triggers a cascade of multiple peripheral physiological responses (</w:t>
        <w:drawing>
          <wp:inline>
            <wp:extent cx="833537" cy="233643"/>
            <wp:effectExtent b="0" l="0" r="0" t="0"/>
            <wp:docPr descr="" title="" id="43" name="Picture"/>
            <a:graphic>
              <a:graphicData uri="http://schemas.openxmlformats.org/drawingml/2006/picture">
                <pic:pic>
                  <pic:nvPicPr>
                    <pic:cNvPr descr="media/image10.png" id="44" name="Picture"/>
                    <pic:cNvPicPr>
                      <a:picLocks noChangeArrowheads="1" noChangeAspect="1"/>
                    </pic:cNvPicPr>
                  </pic:nvPicPr>
                  <pic:blipFill>
                    <a:blip r:embed="rId42"/>
                    <a:stretch>
                      <a:fillRect/>
                    </a:stretch>
                  </pic:blipFill>
                  <pic:spPr bwMode="auto">
                    <a:xfrm>
                      <a:off x="0" y="0"/>
                      <a:ext cx="833537" cy="233643"/>
                    </a:xfrm>
                    <a:prstGeom prst="rect">
                      <a:avLst/>
                    </a:prstGeom>
                    <a:noFill/>
                    <a:ln w="9525">
                      <a:noFill/>
                      <a:headEnd/>
                      <a:tailEnd/>
                    </a:ln>
                  </pic:spPr>
                </pic:pic>
              </a:graphicData>
            </a:graphic>
          </wp:inline>
        </w:drawing>
        <w:t xml:space="preserve">)</w:t>
      </w:r>
      <w:r>
        <w:rPr>
          <w:vertAlign w:val="superscript"/>
        </w:rPr>
        <w:t xml:space="preserve">1</w:t>
      </w:r>
      <w:r>
        <w:t xml:space="preserve">. For example, a sudden threat might simultaneously elevate skin conductance, suppress heart rate variability, and induce skeletal muscle tension</w:t>
      </w:r>
      <w:r>
        <w:rPr>
          <w:vertAlign w:val="superscript"/>
        </w:rPr>
        <w:t xml:space="preserve">7</w:t>
      </w:r>
      <w:r>
        <w:t xml:space="preserve">.</w:t>
      </w:r>
    </w:p>
    <w:p>
      <w:pPr>
        <w:numPr>
          <w:ilvl w:val="0"/>
          <w:numId w:val="1001"/>
        </w:numPr>
        <w:pStyle w:val="BlockText"/>
      </w:pPr>
      <w:r>
        <w:rPr>
          <w:bCs/>
          <w:b/>
        </w:rPr>
        <w:t xml:space="preserve">Many-to-One Relations:</w:t>
      </w:r>
      <w:r>
        <w:t xml:space="preserve"> Multiple psychological states (</w:t>
        <w:drawing>
          <wp:inline>
            <wp:extent cx="548680" cy="233347"/>
            <wp:effectExtent b="0" l="0" r="0" t="0"/>
            <wp:docPr descr="" title="" id="46" name="Picture"/>
            <a:graphic>
              <a:graphicData uri="http://schemas.openxmlformats.org/drawingml/2006/picture">
                <pic:pic>
                  <pic:nvPicPr>
                    <pic:cNvPr descr="media/image3.png" id="47" name="Picture"/>
                    <pic:cNvPicPr>
                      <a:picLocks noChangeArrowheads="1" noChangeAspect="1"/>
                    </pic:cNvPicPr>
                  </pic:nvPicPr>
                  <pic:blipFill>
                    <a:blip r:embed="rId45"/>
                    <a:stretch>
                      <a:fillRect/>
                    </a:stretch>
                  </pic:blipFill>
                  <pic:spPr bwMode="auto">
                    <a:xfrm>
                      <a:off x="0" y="0"/>
                      <a:ext cx="548680" cy="233347"/>
                    </a:xfrm>
                    <a:prstGeom prst="rect">
                      <a:avLst/>
                    </a:prstGeom>
                    <a:noFill/>
                    <a:ln w="9525">
                      <a:noFill/>
                      <a:headEnd/>
                      <a:tailEnd/>
                    </a:ln>
                  </pic:spPr>
                </pic:pic>
              </a:graphicData>
            </a:graphic>
          </wp:inline>
        </w:drawing>
        <w:t xml:space="preserve">) can converge on the exact same peripheral physiological signal (</w:t>
        <w:drawing>
          <wp:inline>
            <wp:extent cx="219769" cy="239161"/>
            <wp:effectExtent b="0" l="0" r="0" t="0"/>
            <wp:docPr descr="" title="" id="48" name="Picture"/>
            <a:graphic>
              <a:graphicData uri="http://schemas.openxmlformats.org/drawingml/2006/picture">
                <pic:pic>
                  <pic:nvPicPr>
                    <pic:cNvPr descr="media/image4.png" id="49" name="Picture"/>
                    <pic:cNvPicPr>
                      <a:picLocks noChangeArrowheads="1" noChangeAspect="1"/>
                    </pic:cNvPicPr>
                  </pic:nvPicPr>
                  <pic:blipFill>
                    <a:blip r:embed="rId29"/>
                    <a:stretch>
                      <a:fillRect/>
                    </a:stretch>
                  </pic:blipFill>
                  <pic:spPr bwMode="auto">
                    <a:xfrm>
                      <a:off x="0" y="0"/>
                      <a:ext cx="219769" cy="239161"/>
                    </a:xfrm>
                    <a:prstGeom prst="rect">
                      <a:avLst/>
                    </a:prstGeom>
                    <a:noFill/>
                    <a:ln w="9525">
                      <a:noFill/>
                      <a:headEnd/>
                      <a:tailEnd/>
                    </a:ln>
                  </pic:spPr>
                </pic:pic>
              </a:graphicData>
            </a:graphic>
          </wp:inline>
        </w:drawing>
        <w:t xml:space="preserve">)</w:t>
      </w:r>
      <w:r>
        <w:rPr>
          <w:vertAlign w:val="superscript"/>
        </w:rPr>
        <w:t xml:space="preserve">1</w:t>
      </w:r>
      <w:r>
        <w:t xml:space="preserve">. This represents a key challenge for clinical researchers: an elevation in electrodermal activity (</w:t>
        <w:drawing>
          <wp:inline>
            <wp:extent cx="219769" cy="239161"/>
            <wp:effectExtent b="0" l="0" r="0" t="0"/>
            <wp:docPr descr="" title="" id="50" name="Picture"/>
            <a:graphic>
              <a:graphicData uri="http://schemas.openxmlformats.org/drawingml/2006/picture">
                <pic:pic>
                  <pic:nvPicPr>
                    <pic:cNvPr descr="media/image4.png" id="51" name="Picture"/>
                    <pic:cNvPicPr>
                      <a:picLocks noChangeArrowheads="1" noChangeAspect="1"/>
                    </pic:cNvPicPr>
                  </pic:nvPicPr>
                  <pic:blipFill>
                    <a:blip r:embed="rId29"/>
                    <a:stretch>
                      <a:fillRect/>
                    </a:stretch>
                  </pic:blipFill>
                  <pic:spPr bwMode="auto">
                    <a:xfrm>
                      <a:off x="0" y="0"/>
                      <a:ext cx="219769" cy="239161"/>
                    </a:xfrm>
                    <a:prstGeom prst="rect">
                      <a:avLst/>
                    </a:prstGeom>
                    <a:noFill/>
                    <a:ln w="9525">
                      <a:noFill/>
                      <a:headEnd/>
                      <a:tailEnd/>
                    </a:ln>
                  </pic:spPr>
                </pic:pic>
              </a:graphicData>
            </a:graphic>
          </wp:inline>
        </w:drawing>
        <w:t xml:space="preserve">) can be driven by anxiety, physical effort, cognitive load, sexual arousal, or simple environmental temperature changes</w:t>
      </w:r>
      <w:r>
        <w:rPr>
          <w:vertAlign w:val="superscript"/>
        </w:rPr>
        <w:t xml:space="preserve">7</w:t>
      </w:r>
      <w:r>
        <w:t xml:space="preserve">. Direct inference of a psychological state from a single peripheral measure is logically invalid in this category</w:t>
      </w:r>
      <w:r>
        <w:rPr>
          <w:vertAlign w:val="superscript"/>
        </w:rPr>
        <w:t xml:space="preserve">1</w:t>
      </w:r>
      <w:r>
        <w:t xml:space="preserve">.</w:t>
      </w:r>
    </w:p>
    <w:p>
      <w:pPr>
        <w:numPr>
          <w:ilvl w:val="0"/>
          <w:numId w:val="1001"/>
        </w:numPr>
        <w:pStyle w:val="BlockText"/>
      </w:pPr>
      <w:r>
        <w:rPr>
          <w:bCs/>
          <w:b/>
        </w:rPr>
        <w:t xml:space="preserve">Many-to-Many Relations:</w:t>
      </w:r>
      <w:r>
        <w:t xml:space="preserve"> Multiple psychological processes interact over time to shape shifting profiles of physiological responses across different organ systems</w:t>
      </w:r>
      <w:r>
        <w:rPr>
          <w:vertAlign w:val="superscript"/>
        </w:rPr>
        <w:t xml:space="preserve">1</w:t>
      </w:r>
      <w:r>
        <w:t xml:space="preserve">.</w:t>
      </w:r>
    </w:p>
    <w:p>
      <w:pPr>
        <w:pStyle w:val="FirstParagraph"/>
      </w:pPr>
      <w:r>
        <w:t xml:space="preserve">Because most clinical psychophysiological markers exist within many-to-one or many-to-many taxonomies, researchers must navigate these challenges by using sophisticated experimental designs, examining multi-measure convergence (such as evaluating electrodermal activity in tandem with respiratory sinus arrhythmia), and explicitly constraining the context in which the physiological responses are elicited</w:t>
      </w:r>
      <w:r>
        <w:rPr>
          <w:vertAlign w:val="superscript"/>
        </w:rPr>
        <w:t xml:space="preserve">1</w:t>
      </w:r>
      <w:r>
        <w:t xml:space="preserve">.</w:t>
      </w:r>
    </w:p>
    <w:bookmarkEnd w:id="52"/>
    <w:bookmarkStart w:id="60" w:name="part-2-historical-timeline-18492025"/>
    <w:p>
      <w:pPr>
        <w:pStyle w:val="Heading2"/>
      </w:pPr>
      <w:r>
        <w:t xml:space="preserve">Part 2 — Historical Timeline (1849–2025)</w:t>
      </w:r>
    </w:p>
    <w:p>
      <w:pPr>
        <w:pStyle w:val="FirstParagraph"/>
      </w:pPr>
      <w:r>
        <w:t xml:space="preserve">The trajectory of psychophysiology from an eclectic collection of peripheral observations to a highly structured clinical science is a testament to the continuous dialogue between technological innovation and theoretical refinement.</w:t>
      </w:r>
    </w:p>
    <w:p>
      <w:pPr>
        <w:pStyle w:val="BlockText"/>
      </w:pPr>
      <w:r>
        <w:t xml:space="preserve">PRE-DISCIPLINE ERA INSTITUTIONALIZATION DIGITAL &amp; MODERN ERAS</w:t>
        <w:br/>
        <w:t xml:space="preserve">(1849 - 1929) (1930 - 1979) (1980 - 2025+)</w:t>
        <w:br/>
        <w:t xml:space="preserve">┌──────────────────────┐ ┌──────────────────────┐ ┌──────────────────────┐</w:t>
        <w:br/>
        <w:t xml:space="preserve">│ • du Bois-Reymond │ │ • Lacey (Specificity)│ │ • Signal Digitization│</w:t>
        <w:br/>
        <w:t xml:space="preserve">│ (Skin Activity) │ │ • SPR &amp; Journal │ │ • Damasio │</w:t>
        <w:br/>
        <w:t xml:space="preserve">│ • Darwin (Evolution) │ ──────&gt; │ Foundations │ ──────&gt; │ (Somatic Markers) │</w:t>
        <w:br/>
        <w:t xml:space="preserve">│ • James-Lange │ │ • Miller │ │ • Porges (Polyvagal) │</w:t>
        <w:br/>
        <w:t xml:space="preserve">│ • Féré &amp; Tarchanoff │ │ (Visceral Learning)│ │ • Ambulatory &amp; ML │</w:t>
        <w:br/>
        <w:t xml:space="preserve">│ • Cannon (Homeo) │ │ • Sayers (HRV Bands) │ │ Integration │</w:t>
        <w:br/>
        <w:t xml:space="preserve">└──────────────────────┘ └──────────────────────┘ └──────────────────────┘</w:t>
      </w:r>
    </w:p>
    <w:bookmarkStart w:id="53" w:name="the-pre-discipline-era-18491929"/>
    <w:p>
      <w:pPr>
        <w:pStyle w:val="Heading3"/>
      </w:pPr>
      <w:r>
        <w:t xml:space="preserve">The Pre-Discipline Era (1849–1929)</w:t>
      </w:r>
    </w:p>
    <w:p>
      <w:pPr>
        <w:pStyle w:val="FirstParagraph"/>
      </w:pPr>
      <w:r>
        <w:t xml:space="preserve">The systematic exploration of the electrical properties of human skin began in 1849 with the pioneering observations of the German physiologist Emil du Bois-Reymond</w:t>
      </w:r>
      <w:r>
        <w:rPr>
          <w:vertAlign w:val="superscript"/>
        </w:rPr>
        <w:t xml:space="preserve">17</w:t>
      </w:r>
      <w:r>
        <w:t xml:space="preserve">. By immersing the limbs of his subjects in a zinc sulfate solution, he detected a minute, continuous electrical current flowing between a relaxed limb and one with contracting muscles</w:t>
      </w:r>
      <w:r>
        <w:rPr>
          <w:vertAlign w:val="superscript"/>
        </w:rPr>
        <w:t xml:space="preserve">17</w:t>
      </w:r>
      <w:r>
        <w:t xml:space="preserve">. Given the primitive state of nineteenth-century physical sciences, du Bois-Reymond initially attributed these electrodermal variations to purely muscular, somatic phenomena</w:t>
      </w:r>
      <w:r>
        <w:rPr>
          <w:vertAlign w:val="superscript"/>
        </w:rPr>
        <w:t xml:space="preserve">17</w:t>
      </w:r>
      <w:r>
        <w:t xml:space="preserve">. Because there was no contemporary psychological framework to conceptualize these signals, and because sensitive, non-polarizing electrodes did not yet exist, these initial observations languished for decades before their psychological significance was recognized.</w:t>
      </w:r>
    </w:p>
    <w:p>
      <w:pPr>
        <w:pStyle w:val="BodyText"/>
      </w:pPr>
      <w:r>
        <w:t xml:space="preserve">The biological bridge connecting peripheral bodily states to psychological experience was built by Charles Darwin in his 1872 monograph, </w:t>
      </w:r>
      <w:r>
        <w:rPr>
          <w:iCs/>
          <w:i/>
        </w:rPr>
        <w:t xml:space="preserve">The Expression of the Emotions in Man and Animals</w:t>
      </w:r>
      <w:r>
        <w:t xml:space="preserve">. Darwin argued that emotional expressions—including autonomic adaptations such as blushing, lacrimation, and cardiac acceleration—were not arbitrary somatic events, but functional, phylogenetically conserved adaptations designed to ensure survival and facilitate social communication. By demonstrating that internal, subjective emotional states were inextricably linked to observable physiological patterns across species, Darwin established the evolutionary foundation of affective science, directly inspiring subsequent somatic theories of emotion.</w:t>
      </w:r>
    </w:p>
    <w:p>
      <w:pPr>
        <w:pStyle w:val="BodyText"/>
      </w:pPr>
      <w:r>
        <w:t xml:space="preserve">In 1884, the American philosopher and psychologist William James published his revolutionary paper, "What is an Emotion?", which was independently paralleled by the Danish physician Carl Lange in 1885</w:t>
      </w:r>
      <w:r>
        <w:rPr>
          <w:vertAlign w:val="superscript"/>
        </w:rPr>
        <w:t xml:space="preserve">20</w:t>
      </w:r>
      <w:r>
        <w:t xml:space="preserve">. The resulting James-Lange somatic theory of emotion challenged the intuitive causal sequence of affective experience</w:t>
      </w:r>
      <w:r>
        <w:rPr>
          <w:vertAlign w:val="superscript"/>
        </w:rPr>
        <w:t xml:space="preserve">20</w:t>
      </w:r>
      <w:r>
        <w:t xml:space="preserve">. James argued that the perception of an exciting stimulus directly triggers a cascade of reflexive, somatic-autonomic adaptations, and that our conscious feeling of these bodily changes </w:t>
      </w:r>
      <w:r>
        <w:rPr>
          <w:iCs/>
          <w:i/>
        </w:rPr>
        <w:t xml:space="preserve">as they occur</w:t>
      </w:r>
      <w:r>
        <w:t xml:space="preserve"> is the emotion</w:t>
      </w:r>
      <w:r>
        <w:rPr>
          <w:vertAlign w:val="superscript"/>
        </w:rPr>
        <w:t xml:space="preserve">20</w:t>
      </w:r>
      <w:r>
        <w:t xml:space="preserve">. In his iconic formulation: we do not see a bear, feel afraid, and run; rather, we see the bear, run, and our perception of the running, the racing heart, and the cold sweat constitutes the fear</w:t>
      </w:r>
      <w:r>
        <w:rPr>
          <w:vertAlign w:val="superscript"/>
        </w:rPr>
        <w:t xml:space="preserve">20</w:t>
      </w:r>
      <w:r>
        <w:t xml:space="preserve">. This theory was revolutionary because it shifted the body from a passive, downstream container of mental processes to an active, causal constituent of the mind, establishing the primary theoretical justification for measuring the periphery</w:t>
      </w:r>
      <w:r>
        <w:rPr>
          <w:vertAlign w:val="superscript"/>
        </w:rPr>
        <w:t xml:space="preserve">20</w:t>
      </w:r>
      <w:r>
        <w:t xml:space="preserve">.</w:t>
      </w:r>
    </w:p>
    <w:p>
      <w:pPr>
        <w:pStyle w:val="BodyText"/>
      </w:pPr>
      <w:r>
        <w:t xml:space="preserve">This somatic perspective was rapidly integrated into experimental laboratories. Between 1888 and 1890, Romain Vigouroux, Jacques-Arsène d'Arsonval, and most notably the French neurologist Charles Féré demonstrated the clinical utility of electrodermal activity</w:t>
      </w:r>
      <w:r>
        <w:rPr>
          <w:vertAlign w:val="superscript"/>
        </w:rPr>
        <w:t xml:space="preserve">17</w:t>
      </w:r>
      <w:r>
        <w:t xml:space="preserve">. Féré observed that when a weak external current was passed through a patient’s skin (an exosomatic method), emotional and sensory stimulation (such as visual displays or olfactory triggers) induced rapid changes in skin resistance, which he measured using a basic galvanometer</w:t>
      </w:r>
      <w:r>
        <w:rPr>
          <w:vertAlign w:val="superscript"/>
        </w:rPr>
        <w:t xml:space="preserve">17</w:t>
      </w:r>
      <w:r>
        <w:t xml:space="preserve">.</w:t>
      </w:r>
    </w:p>
    <w:p>
      <w:pPr>
        <w:pStyle w:val="BodyText"/>
      </w:pPr>
      <w:r>
        <w:t xml:space="preserve">Concurrently, the Russian physiologist Ivan Tarchanoff (Tarkhnishvili) demonstrated that electrodermal variations could be recorded without an external current (an endosomatic method) by measuring the naturally occurring potential differences between two skin sites</w:t>
      </w:r>
      <w:r>
        <w:rPr>
          <w:vertAlign w:val="superscript"/>
        </w:rPr>
        <w:t xml:space="preserve">19</w:t>
      </w:r>
      <w:r>
        <w:t xml:space="preserve">. Tarchanoff observed these potential shifts occurring in response to emotional imagery, mental arithmetic, and simple sensory stimuli, even in the complete absence of external current</w:t>
      </w:r>
      <w:r>
        <w:rPr>
          <w:vertAlign w:val="superscript"/>
        </w:rPr>
        <w:t xml:space="preserve">17</w:t>
      </w:r>
      <w:r>
        <w:t xml:space="preserve">. These twin methodological breakthroughs proved that the skin was highly sensitive to the psychological state of the individual, prompting Carl Gustav Jung in 1906 to use the "psychogalvanic reflex" in clinical word-association tests to detect implicit emotional complexes</w:t>
      </w:r>
      <w:r>
        <w:rPr>
          <w:vertAlign w:val="superscript"/>
        </w:rPr>
        <w:t xml:space="preserve">17</w:t>
      </w:r>
      <w:r>
        <w:t xml:space="preserve">.</w:t>
      </w:r>
    </w:p>
    <w:p>
      <w:pPr>
        <w:pStyle w:val="BodyText"/>
      </w:pPr>
      <w:r>
        <w:t xml:space="preserve">The James-Lange model faced a major challenge from the Harvard physiologist Walter B. Cannon. In his landmark publications, Cannon (1915, 1932) formulated the "fight-or-flight" response, introduced the concept of homeostasis, and detailed his critiques in </w:t>
      </w:r>
      <w:r>
        <w:rPr>
          <w:iCs/>
          <w:i/>
        </w:rPr>
        <w:t xml:space="preserve">The Wisdom of the Body</w:t>
      </w:r>
      <w:r>
        <w:t xml:space="preserve">. Cannon argued that:</w:t>
      </w:r>
    </w:p>
    <w:p>
      <w:pPr>
        <w:numPr>
          <w:ilvl w:val="0"/>
          <w:numId w:val="1002"/>
        </w:numPr>
        <w:pStyle w:val="BlockText"/>
      </w:pPr>
      <w:r>
        <w:t xml:space="preserve">Surgically separating the viscera from the central nervous system does not eliminate emotional behaviour in animals.</w:t>
      </w:r>
    </w:p>
    <w:p>
      <w:pPr>
        <w:numPr>
          <w:ilvl w:val="0"/>
          <w:numId w:val="1002"/>
        </w:numPr>
        <w:pStyle w:val="BlockText"/>
      </w:pPr>
      <w:r>
        <w:t xml:space="preserve">Visceral changes are too slow to serve as the immediate cause of rapid emotional experiences.</w:t>
      </w:r>
    </w:p>
    <w:p>
      <w:pPr>
        <w:numPr>
          <w:ilvl w:val="0"/>
          <w:numId w:val="1002"/>
        </w:numPr>
        <w:pStyle w:val="BlockText"/>
      </w:pPr>
      <w:r>
        <w:t xml:space="preserve">The same visceral changes occur in highly diverse emotional states (for example, both anger and fear elevate heart rate), as well as in non-emotional physical states like exercise or fever.</w:t>
      </w:r>
    </w:p>
    <w:p>
      <w:pPr>
        <w:numPr>
          <w:ilvl w:val="0"/>
          <w:numId w:val="1002"/>
        </w:numPr>
        <w:pStyle w:val="BlockText"/>
      </w:pPr>
      <w:r>
        <w:t xml:space="preserve">The internal organs are relatively insensitive structures with sparse sensory innervation, incapable of generating highly differentiated emotional feelings.</w:t>
      </w:r>
    </w:p>
    <w:p>
      <w:pPr>
        <w:pStyle w:val="FirstParagraph"/>
      </w:pPr>
      <w:r>
        <w:t xml:space="preserve">In place of the James-Lange model, Cannon proposed the thalamic theory of emotion, asserting that emotional stimuli are processed in the brain, which then sends simultaneous, parallel signals to the cortex (creating the subjective feeling) and to the periphery (creating the physiological arousal).</w:t>
      </w:r>
    </w:p>
    <w:p>
      <w:pPr>
        <w:pStyle w:val="BodyText"/>
      </w:pPr>
      <w:r>
        <w:t xml:space="preserve">However, modern psychophysiological evidence has shown that Cannon’s critiques were partly wrong</w:t>
      </w:r>
      <w:r>
        <w:rPr>
          <w:vertAlign w:val="superscript"/>
        </w:rPr>
        <w:t xml:space="preserve">21</w:t>
      </w:r>
      <w:r>
        <w:t xml:space="preserve">. Visceral and peripheral responses are far more highly differentiated across specific emotions than Cannon assumed</w:t>
      </w:r>
      <w:r>
        <w:rPr>
          <w:vertAlign w:val="superscript"/>
        </w:rPr>
        <w:t xml:space="preserve">3</w:t>
      </w:r>
      <w:r>
        <w:t xml:space="preserve">. Furthermore, rapid somatic feedback loop signals (occurring within milliseconds) continually modulate cortical appraisals, showing that somatic feedback is a continuous, dynamic process rather than a slow, monolithic reaction</w:t>
      </w:r>
      <w:r>
        <w:rPr>
          <w:vertAlign w:val="superscript"/>
        </w:rPr>
        <w:t xml:space="preserve">11</w:t>
      </w:r>
      <w:r>
        <w:t xml:space="preserve">.</w:t>
      </w:r>
    </w:p>
    <w:p>
      <w:pPr>
        <w:pStyle w:val="BodyText"/>
      </w:pPr>
      <w:r>
        <w:t xml:space="preserve">As the pre-discipline era drew to a close, two developments expanded the field. In 1929, the German psychiatrist Hans Berger published his discovery of the electroencephalogram (EEG), proving that the electrical oscillations of the human brain could be measured non-invasively from the scalp. While Berger's work focused on central activity, it provided a critical contrast for peripheral psychophysiology, delineating "measuring the brain" (structural, central oscillation) from "measuring the body" (the peripheral, autonomic effector pathways)</w:t>
      </w:r>
      <w:r>
        <w:rPr>
          <w:vertAlign w:val="superscript"/>
        </w:rPr>
        <w:t xml:space="preserve">1</w:t>
      </w:r>
      <w:r>
        <w:t xml:space="preserve">.</w:t>
      </w:r>
    </w:p>
    <w:p>
      <w:pPr>
        <w:pStyle w:val="BodyText"/>
      </w:pPr>
      <w:r>
        <w:t xml:space="preserve">Concurrently, the Swiss physiologist Walter Rudolf Hess (1929; Nobel Prize 1949) began mapping the functional organization of the autonomic nervous system. Hess demonstrated that the hypothalamus acts as a primary coordinator of the ANS, dividing its functions into the "ergotropic" system (catabolic, sympathetic activation preparing the organism for physical defense or active engagement) and the "trophotropic" system (anabolic, parasympathetic dominance promoting rest, recovery, and internal homeostasis).</w:t>
      </w:r>
    </w:p>
    <w:bookmarkEnd w:id="53"/>
    <w:bookmarkStart w:id="54" w:name="institutionalization-19301979"/>
    <w:p>
      <w:pPr>
        <w:pStyle w:val="Heading3"/>
      </w:pPr>
      <w:r>
        <w:t xml:space="preserve">Institutionalization (1930–1979)</w:t>
      </w:r>
    </w:p>
    <w:p>
      <w:pPr>
        <w:pStyle w:val="FirstParagraph"/>
      </w:pPr>
      <w:r>
        <w:t xml:space="preserve">The mid-twentieth century witnessed the transformation of psychophysiology from fragmented laboratory observations into an organized, self-sustaining academic discipline</w:t>
      </w:r>
      <w:r>
        <w:rPr>
          <w:vertAlign w:val="superscript"/>
        </w:rPr>
        <w:t xml:space="preserve">1</w:t>
      </w:r>
      <w:r>
        <w:t xml:space="preserve">. Central to this transition was the work of John I. Lacey and Beatrice C. Lacey</w:t>
      </w:r>
      <w:r>
        <w:rPr>
          <w:vertAlign w:val="superscript"/>
        </w:rPr>
        <w:t xml:space="preserve">22</w:t>
      </w:r>
      <w:r>
        <w:t xml:space="preserve">. In the 1950s and 1960s, John Lacey challenged the simplistic, unidimensional models of activation that had dominated early arousal research</w:t>
      </w:r>
      <w:r>
        <w:rPr>
          <w:vertAlign w:val="superscript"/>
        </w:rPr>
        <w:t xml:space="preserve">15</w:t>
      </w:r>
      <w:r>
        <w:t xml:space="preserve">. He made three major contributions that continue to shape modern clinical psychophysiology:</w:t>
      </w:r>
    </w:p>
    <w:p>
      <w:pPr>
        <w:numPr>
          <w:ilvl w:val="0"/>
          <w:numId w:val="1003"/>
        </w:numPr>
        <w:pStyle w:val="BlockText"/>
      </w:pPr>
      <w:r>
        <w:rPr>
          <w:bCs/>
          <w:b/>
        </w:rPr>
        <w:t xml:space="preserve">Individual Response Specificity and Response Stereotypy:</w:t>
      </w:r>
      <w:r>
        <w:t xml:space="preserve"> Lacey and Lacey demonstrated that individuals exhibit highly idiosyncratic, stable, and reproducible profiles of physiological reactivity across different stressors</w:t>
      </w:r>
      <w:r>
        <w:rPr>
          <w:vertAlign w:val="superscript"/>
        </w:rPr>
        <w:t xml:space="preserve">20</w:t>
      </w:r>
      <w:r>
        <w:t xml:space="preserve">. For instance, when subjected to cold pain, mental arithmetic, or emotional confrontation, one participant might consistently respond with marked heart rate acceleration and minimal electrodermal changes, while another displays the exact opposite pattern</w:t>
      </w:r>
      <w:r>
        <w:rPr>
          <w:vertAlign w:val="superscript"/>
        </w:rPr>
        <w:t xml:space="preserve">23</w:t>
      </w:r>
      <w:r>
        <w:t xml:space="preserve">. This finding challenged the notion of a general, monolithic "arousal" factor, forcing researchers to focus on individual somatic profiles</w:t>
      </w:r>
      <w:r>
        <w:rPr>
          <w:vertAlign w:val="superscript"/>
        </w:rPr>
        <w:t xml:space="preserve">20</w:t>
      </w:r>
      <w:r>
        <w:t xml:space="preserve">.</w:t>
      </w:r>
    </w:p>
    <w:p>
      <w:pPr>
        <w:numPr>
          <w:ilvl w:val="0"/>
          <w:numId w:val="1003"/>
        </w:numPr>
        <w:pStyle w:val="BlockText"/>
      </w:pPr>
      <w:r>
        <w:rPr>
          <w:bCs/>
          <w:b/>
        </w:rPr>
        <w:t xml:space="preserve">The Directional Fractionation Hypothesis:</w:t>
      </w:r>
      <w:r>
        <w:t xml:space="preserve"> Lacey observed that autonomic responses do not always change in a uniform direction</w:t>
      </w:r>
      <w:r>
        <w:rPr>
          <w:vertAlign w:val="superscript"/>
        </w:rPr>
        <w:t xml:space="preserve">15</w:t>
      </w:r>
      <w:r>
        <w:t xml:space="preserve">. During tasks requiring attentive environmental intake (such as looking at evocative images or listening to a story), heart rate often decelerates while skin conductance simultaneously increases</w:t>
      </w:r>
      <w:r>
        <w:rPr>
          <w:vertAlign w:val="superscript"/>
        </w:rPr>
        <w:t xml:space="preserve">25</w:t>
      </w:r>
      <w:r>
        <w:t xml:space="preserve">. Conversely, during tasks requiring environmental rejection or internal cognitive processing (such as mental arithmetic), both heart rate and skin conductance increase</w:t>
      </w:r>
      <w:r>
        <w:rPr>
          <w:vertAlign w:val="superscript"/>
        </w:rPr>
        <w:t xml:space="preserve">25</w:t>
      </w:r>
      <w:r>
        <w:t xml:space="preserve">. This directional divergence proved that physiological systems are highly differentiated and functionally tailored to specific attentional and environmental demands</w:t>
      </w:r>
      <w:r>
        <w:rPr>
          <w:vertAlign w:val="superscript"/>
        </w:rPr>
        <w:t xml:space="preserve">15</w:t>
      </w:r>
      <w:r>
        <w:t xml:space="preserve">.</w:t>
      </w:r>
    </w:p>
    <w:p>
      <w:pPr>
        <w:numPr>
          <w:ilvl w:val="0"/>
          <w:numId w:val="1003"/>
        </w:numPr>
        <w:pStyle w:val="BlockText"/>
      </w:pPr>
      <w:r>
        <w:rPr>
          <w:bCs/>
          <w:b/>
        </w:rPr>
        <w:t xml:space="preserve">The Cardiac-Somatic Coupling Hypothesis:</w:t>
      </w:r>
      <w:r>
        <w:t xml:space="preserve"> Lacey proposed that transient heart rate changes actively modulate central cortical processing</w:t>
      </w:r>
      <w:r>
        <w:rPr>
          <w:vertAlign w:val="superscript"/>
        </w:rPr>
        <w:t xml:space="preserve">11</w:t>
      </w:r>
      <w:r>
        <w:t xml:space="preserve">. He argued that cardiac deceleration lowers blood pressure at the carotid sinus baroreceptors, reducing their inhibitory feedback to the brainstem and cortex, thereby actively facilitating sensory processing and environmental attention</w:t>
      </w:r>
      <w:r>
        <w:rPr>
          <w:vertAlign w:val="superscript"/>
        </w:rPr>
        <w:t xml:space="preserve">11</w:t>
      </w:r>
      <w:r>
        <w:t xml:space="preserve">. This proposal sparked intense controversy, most notably with Paul Obrist</w:t>
      </w:r>
      <w:r>
        <w:rPr>
          <w:vertAlign w:val="superscript"/>
        </w:rPr>
        <w:t xml:space="preserve">28</w:t>
      </w:r>
      <w:r>
        <w:t xml:space="preserve">. Obrist (1969, 1970) championed a strict cardiac-somatic coupling model, asserting that heart rate changes are passive metabolic consequences of skeletal-motor activity</w:t>
      </w:r>
      <w:r>
        <w:rPr>
          <w:vertAlign w:val="superscript"/>
        </w:rPr>
        <w:t xml:space="preserve">28</w:t>
      </w:r>
      <w:r>
        <w:t xml:space="preserve">. In Obrist’s view, the heart slows down during attention simply because the participant stops moving, not because of a sensory gating mechanism</w:t>
      </w:r>
      <w:r>
        <w:rPr>
          <w:vertAlign w:val="superscript"/>
        </w:rPr>
        <w:t xml:space="preserve">28</w:t>
      </w:r>
      <w:r>
        <w:t xml:space="preserve">. Subsequent research has shown that while cardiac-somatic coupling is a powerful homeostatic force, Lacey's concepts of directional fractionation and the direct afferent influence of baroreceptors on cortical excitability are biologically valid, highlighting the complex, bidirectional nature of the heart-brain axis</w:t>
      </w:r>
      <w:r>
        <w:rPr>
          <w:vertAlign w:val="superscript"/>
        </w:rPr>
        <w:t xml:space="preserve">11</w:t>
      </w:r>
      <w:r>
        <w:t xml:space="preserve">.</w:t>
      </w:r>
    </w:p>
    <w:p>
      <w:pPr>
        <w:pStyle w:val="FirstParagraph"/>
      </w:pPr>
      <w:r>
        <w:t xml:space="preserve">The institutional identity of the field was established with the founding of the Society for Psychophysiological Research (SPR) in 1960, followed by the publication of its flagship journal, </w:t>
      </w:r>
      <w:r>
        <w:rPr>
          <w:iCs/>
          <w:i/>
        </w:rPr>
        <w:t xml:space="preserve">Psychophysiology</w:t>
      </w:r>
      <w:r>
        <w:t xml:space="preserve">, in 1964</w:t>
      </w:r>
      <w:r>
        <w:rPr>
          <w:vertAlign w:val="superscript"/>
        </w:rPr>
        <w:t xml:space="preserve">1</w:t>
      </w:r>
      <w:r>
        <w:t xml:space="preserve">. This institutionalization unified researchers from clinical psychology, physiology, and psychiatry under a shared set of methodological and ethical standards</w:t>
      </w:r>
      <w:r>
        <w:rPr>
          <w:vertAlign w:val="superscript"/>
        </w:rPr>
        <w:t xml:space="preserve">1</w:t>
      </w:r>
      <w:r>
        <w:t xml:space="preserve">.</w:t>
      </w:r>
    </w:p>
    <w:p>
      <w:pPr>
        <w:pStyle w:val="BodyText"/>
      </w:pPr>
      <w:r>
        <w:t xml:space="preserve">Between 1969 and 1975, the biofeedback movement emerged, capturing the imagination of both the scientific community and the public</w:t>
      </w:r>
      <w:r>
        <w:rPr>
          <w:vertAlign w:val="superscript"/>
        </w:rPr>
        <w:t xml:space="preserve">31</w:t>
      </w:r>
      <w:r>
        <w:t xml:space="preserve">. The movement was sparked by the landmark assertions of Neal Miller, who reported that rats paralyzed with curare could be operantly conditioned to control specific visceral responses, such as heart rate or renal blood flow, to obtain electrical brain stimulation</w:t>
      </w:r>
      <w:r>
        <w:rPr>
          <w:vertAlign w:val="superscript"/>
        </w:rPr>
        <w:t xml:space="preserve">31</w:t>
      </w:r>
      <w:r>
        <w:t xml:space="preserve">. Concurrently, researchers like Joe Kamiya, Elmer Green, and Gary Schwartz demonstrated that humans could learn to regulate their own EEG rhythms, blood pressure, and skin temperature when provided with real-time feedback</w:t>
      </w:r>
      <w:r>
        <w:rPr>
          <w:vertAlign w:val="superscript"/>
        </w:rPr>
        <w:t xml:space="preserve">31</w:t>
      </w:r>
      <w:r>
        <w:t xml:space="preserve">.</w:t>
      </w:r>
    </w:p>
    <w:p>
      <w:pPr>
        <w:pStyle w:val="BodyText"/>
      </w:pPr>
      <w:r>
        <w:t xml:space="preserve">However, the biofeedback movement faced a major setback when Miller and his colleague Barry Dworkin repeatedly failed to replicate the original operant conditioning of visceral responses in curarized animals</w:t>
      </w:r>
      <w:r>
        <w:rPr>
          <w:vertAlign w:val="superscript"/>
        </w:rPr>
        <w:t xml:space="preserve">31</w:t>
      </w:r>
      <w:r>
        <w:t xml:space="preserve">. This failure to replicate forced a rigorous reassessment of the mechanisms underlying visceral control</w:t>
      </w:r>
      <w:r>
        <w:rPr>
          <w:vertAlign w:val="superscript"/>
        </w:rPr>
        <w:t xml:space="preserve">31</w:t>
      </w:r>
      <w:r>
        <w:t xml:space="preserve">. The field learned that while voluntary self-regulation is possible, it is highly constrained by evolutionary biology and typically mediated by subtle, voluntary changes in respiration, skeletal muscle tension, or cognitive imagery, rather than direct, unmediated operant control of the autonomic nervous system</w:t>
      </w:r>
      <w:r>
        <w:rPr>
          <w:vertAlign w:val="superscript"/>
        </w:rPr>
        <w:t xml:space="preserve">31</w:t>
      </w:r>
      <w:r>
        <w:t xml:space="preserve">.</w:t>
      </w:r>
    </w:p>
    <w:p>
      <w:pPr>
        <w:pStyle w:val="BodyText"/>
      </w:pPr>
      <w:r>
        <w:t xml:space="preserve">The conceptual toolkit of cardiac psychophysiology was expanded by B. McA. Sayers in 1973</w:t>
      </w:r>
      <w:r>
        <w:rPr>
          <w:vertAlign w:val="superscript"/>
        </w:rPr>
        <w:t xml:space="preserve">34</w:t>
      </w:r>
      <w:r>
        <w:t xml:space="preserve">. Sayers discovered that the fluctuations in human heart rate (heart rate variability) were not random, but contained distinct, periodic oscillations</w:t>
      </w:r>
      <w:r>
        <w:rPr>
          <w:vertAlign w:val="superscript"/>
        </w:rPr>
        <w:t xml:space="preserve">35</w:t>
      </w:r>
      <w:r>
        <w:t xml:space="preserve">. By applying power spectral analysis, Sayers demonstrated that HRV could be partitioned into specific frequency bands corresponding to distinct homeostatic systems: thermoregulation, blood pressure control (baroreceptor activity), and respiration</w:t>
      </w:r>
      <w:r>
        <w:rPr>
          <w:vertAlign w:val="superscript"/>
        </w:rPr>
        <w:t xml:space="preserve">35</w:t>
      </w:r>
      <w:r>
        <w:t xml:space="preserve">. This breakthrough opened the door to non-invasive, quantitative measurement of autonomic nervous system activity, laying the groundwork for isolating cardiac parasympathetic (vagal) drive from sympathetic influences</w:t>
      </w:r>
      <w:r>
        <w:rPr>
          <w:vertAlign w:val="superscript"/>
        </w:rPr>
        <w:t xml:space="preserve">36</w:t>
      </w:r>
      <w:r>
        <w:t xml:space="preserve">.</w:t>
      </w:r>
    </w:p>
    <w:bookmarkEnd w:id="54"/>
    <w:bookmarkStart w:id="58" w:name="the-digital-era-19801999"/>
    <w:p>
      <w:pPr>
        <w:pStyle w:val="Heading3"/>
      </w:pPr>
      <w:r>
        <w:t xml:space="preserve">The Digital Era (1980–1999)</w:t>
      </w:r>
    </w:p>
    <w:p>
      <w:pPr>
        <w:pStyle w:val="FirstParagraph"/>
      </w:pPr>
      <w:r>
        <w:t xml:space="preserve">In the 1980s, psychophysiology underwent a practical and scientific transformation as computer-based signal acquisition systems replaced traditional, pen-on-paper polygraph chart recorders. Prior to digitization, analyzing physiological data required manual measurement of paper traces with rulers, a laborious process that limited studies to small sample sizes and brief observation windows. The transition to analog-to-digital (A/D) converters and computer-based storage allowed for:</w:t>
      </w:r>
    </w:p>
    <w:p>
      <w:pPr>
        <w:numPr>
          <w:ilvl w:val="0"/>
          <w:numId w:val="1004"/>
        </w:numPr>
        <w:pStyle w:val="BlockText"/>
      </w:pPr>
      <w:r>
        <w:t xml:space="preserve">Continuous, multi-channel high-frequency sampling (for example, sampling ECG at </w:t>
        <w:drawing>
          <wp:inline>
            <wp:extent cx="674787" cy="235538"/>
            <wp:effectExtent b="0" l="0" r="0" t="0"/>
            <wp:docPr descr="" title="" id="56" name="Picture"/>
            <a:graphic>
              <a:graphicData uri="http://schemas.openxmlformats.org/drawingml/2006/picture">
                <pic:pic>
                  <pic:nvPicPr>
                    <pic:cNvPr descr="media/image8.png" id="57" name="Picture"/>
                    <pic:cNvPicPr>
                      <a:picLocks noChangeArrowheads="1" noChangeAspect="1"/>
                    </pic:cNvPicPr>
                  </pic:nvPicPr>
                  <pic:blipFill>
                    <a:blip r:embed="rId55"/>
                    <a:stretch>
                      <a:fillRect/>
                    </a:stretch>
                  </pic:blipFill>
                  <pic:spPr bwMode="auto">
                    <a:xfrm>
                      <a:off x="0" y="0"/>
                      <a:ext cx="674787" cy="235538"/>
                    </a:xfrm>
                    <a:prstGeom prst="rect">
                      <a:avLst/>
                    </a:prstGeom>
                    <a:noFill/>
                    <a:ln w="9525">
                      <a:noFill/>
                      <a:headEnd/>
                      <a:tailEnd/>
                    </a:ln>
                  </pic:spPr>
                </pic:pic>
              </a:graphicData>
            </a:graphic>
          </wp:inline>
        </w:drawing>
        <w:t xml:space="preserve">).</w:t>
      </w:r>
    </w:p>
    <w:p>
      <w:pPr>
        <w:numPr>
          <w:ilvl w:val="0"/>
          <w:numId w:val="1004"/>
        </w:numPr>
        <w:pStyle w:val="BlockText"/>
      </w:pPr>
      <w:r>
        <w:t xml:space="preserve">Automated, mathematically rigorous artifact detection and digital filtering.</w:t>
      </w:r>
    </w:p>
    <w:p>
      <w:pPr>
        <w:numPr>
          <w:ilvl w:val="0"/>
          <w:numId w:val="1004"/>
        </w:numPr>
        <w:pStyle w:val="BlockText"/>
      </w:pPr>
      <w:r>
        <w:t xml:space="preserve">The application of complex mathematical operations, such as Fast Fourier Transforms (FFT) and autoregressive modelling, directly to physiological time-series data in real time</w:t>
      </w:r>
      <w:r>
        <w:rPr>
          <w:vertAlign w:val="superscript"/>
        </w:rPr>
        <w:t xml:space="preserve">37</w:t>
      </w:r>
      <w:r>
        <w:t xml:space="preserve">.</w:t>
      </w:r>
    </w:p>
    <w:p>
      <w:pPr>
        <w:numPr>
          <w:ilvl w:val="0"/>
          <w:numId w:val="1004"/>
        </w:numPr>
        <w:pStyle w:val="BlockText"/>
      </w:pPr>
      <w:r>
        <w:t xml:space="preserve">The synchronization of physiological recording with computerized stimulus presentation, enabling the precise evaluation of transient event-related responses</w:t>
      </w:r>
      <w:r>
        <w:rPr>
          <w:vertAlign w:val="superscript"/>
        </w:rPr>
        <w:t xml:space="preserve">39</w:t>
      </w:r>
      <w:r>
        <w:t xml:space="preserve">.</w:t>
      </w:r>
    </w:p>
    <w:p>
      <w:pPr>
        <w:pStyle w:val="FirstParagraph"/>
      </w:pPr>
      <w:r>
        <w:t xml:space="preserve">In 1994, the Portuguese-American neurologist Antonio Damasio published </w:t>
      </w:r>
      <w:r>
        <w:rPr>
          <w:iCs/>
          <w:i/>
        </w:rPr>
        <w:t xml:space="preserve">Descartes' Error: Emotion, Reason, and the Human Brain</w:t>
      </w:r>
      <w:r>
        <w:t xml:space="preserve">, introducing the Somatic Marker Hypothesis</w:t>
      </w:r>
      <w:r>
        <w:rPr>
          <w:vertAlign w:val="superscript"/>
        </w:rPr>
        <w:t xml:space="preserve">4</w:t>
      </w:r>
      <w:r>
        <w:t xml:space="preserve">. Damasio challenged the classic philosophical dualism that separated rational decision-making from somatic experience</w:t>
      </w:r>
      <w:r>
        <w:rPr>
          <w:vertAlign w:val="superscript"/>
        </w:rPr>
        <w:t xml:space="preserve">40</w:t>
      </w:r>
      <w:r>
        <w:t xml:space="preserve">. He proposed that decision-making in complex, uncertain situations is guided by bodily changes (somatic markers) that are triggered by cognitive appraisals of prospective choices</w:t>
      </w:r>
      <w:r>
        <w:rPr>
          <w:vertAlign w:val="superscript"/>
        </w:rPr>
        <w:t xml:space="preserve">4</w:t>
      </w:r>
      <w:r>
        <w:t xml:space="preserve">. These somatic markers—such as subtle elevations in skin conductance or transient heart rate changes—act as implicit, predictive signals that bias the cognitive system toward advantageous choices before conscious, explicit reasoning can formulate a plan</w:t>
      </w:r>
      <w:r>
        <w:rPr>
          <w:vertAlign w:val="superscript"/>
        </w:rPr>
        <w:t xml:space="preserve">43</w:t>
      </w:r>
      <w:r>
        <w:t xml:space="preserve">.</w:t>
      </w:r>
    </w:p>
    <w:p>
      <w:pPr>
        <w:pStyle w:val="BodyText"/>
      </w:pPr>
      <w:r>
        <w:t xml:space="preserve">Damasio and his colleagues supported this hypothesis through studies of patients with focal lesions in the ventromedial prefrontal cortex (vmPFC), such as Phineas Gage and Patient EVR/Elliot</w:t>
      </w:r>
      <w:r>
        <w:rPr>
          <w:vertAlign w:val="superscript"/>
        </w:rPr>
        <w:t xml:space="preserve">4</w:t>
      </w:r>
      <w:r>
        <w:t xml:space="preserve">. While these patients retained intact intelligence, memory, and logical capacity, they were profoundly impaired in their personal and social lives, repeatedly making disastrous decisions</w:t>
      </w:r>
      <w:r>
        <w:rPr>
          <w:vertAlign w:val="superscript"/>
        </w:rPr>
        <w:t xml:space="preserve">4</w:t>
      </w:r>
      <w:r>
        <w:t xml:space="preserve">. To quantify this impairment, Bechara and Damasio designed the Iowa Gambling Task (IGT)</w:t>
      </w:r>
      <w:r>
        <w:rPr>
          <w:vertAlign w:val="superscript"/>
        </w:rPr>
        <w:t xml:space="preserve">43</w:t>
      </w:r>
      <w:r>
        <w:t xml:space="preserve">. The task consists of four decks of cards, two of which are disadvantageous in the long term (offering high immediate rewards but devastating occasional penalties) and two of which are advantageous in the long term (offering modest immediate rewards but small penalties)</w:t>
      </w:r>
      <w:r>
        <w:rPr>
          <w:vertAlign w:val="superscript"/>
        </w:rPr>
        <w:t xml:space="preserve">43</w:t>
      </w:r>
      <w:r>
        <w:t xml:space="preserve">.</w:t>
      </w:r>
    </w:p>
    <w:p>
      <w:pPr>
        <w:pStyle w:val="BodyText"/>
      </w:pPr>
      <w:r>
        <w:t xml:space="preserve">Healthy control participants quickly developed anticipatory skin conductance responses (SCRs) before choosing from the risky, disadvantageous decks, eventually learning to avoid them even before they could explicitly explain the strategy</w:t>
      </w:r>
      <w:r>
        <w:rPr>
          <w:vertAlign w:val="superscript"/>
        </w:rPr>
        <w:t xml:space="preserve">43</w:t>
      </w:r>
      <w:r>
        <w:t xml:space="preserve">. In contrast, patients with vmPFC damage failed to generate these anticipatory somatic markers</w:t>
      </w:r>
      <w:r>
        <w:rPr>
          <w:vertAlign w:val="superscript"/>
        </w:rPr>
        <w:t xml:space="preserve">43</w:t>
      </w:r>
      <w:r>
        <w:t xml:space="preserve">. Despite intellectually understanding that certain decks were ruinous, they repeatedly chose the risky decks, demonstrating a "myopia for the future" driven by a failure of emotional, somatic feedback</w:t>
      </w:r>
      <w:r>
        <w:rPr>
          <w:vertAlign w:val="superscript"/>
        </w:rPr>
        <w:t xml:space="preserve">43</w:t>
      </w:r>
      <w:r>
        <w:t xml:space="preserve">.</w:t>
      </w:r>
    </w:p>
    <w:p>
      <w:pPr>
        <w:pStyle w:val="BodyText"/>
      </w:pPr>
      <w:r>
        <w:t xml:space="preserve">While the Somatic Marker Hypothesis was highly influential, it faced notable critiques. Critics argued that:</w:t>
      </w:r>
    </w:p>
    <w:p>
      <w:pPr>
        <w:numPr>
          <w:ilvl w:val="0"/>
          <w:numId w:val="1005"/>
        </w:numPr>
        <w:pStyle w:val="BlockText"/>
      </w:pPr>
      <w:r>
        <w:t xml:space="preserve">The Iowa Gambling Task is too complex to isolate implicit learning, and participants actually develop explicit, conscious knowledge of the deck contingencies far earlier than Damasio’s original paradigm assumed</w:t>
      </w:r>
      <w:r>
        <w:rPr>
          <w:vertAlign w:val="superscript"/>
        </w:rPr>
        <w:t xml:space="preserve">43</w:t>
      </w:r>
      <w:r>
        <w:t xml:space="preserve">.</w:t>
      </w:r>
    </w:p>
    <w:p>
      <w:pPr>
        <w:numPr>
          <w:ilvl w:val="0"/>
          <w:numId w:val="1005"/>
        </w:numPr>
        <w:pStyle w:val="BlockText"/>
      </w:pPr>
      <w:r>
        <w:t xml:space="preserve">Somatic markers may be a correlate of conscious cognitive appraisal rather than the primary, unconscious cause of decision-making</w:t>
      </w:r>
      <w:r>
        <w:rPr>
          <w:vertAlign w:val="superscript"/>
        </w:rPr>
        <w:t xml:space="preserve">43</w:t>
      </w:r>
      <w:r>
        <w:t xml:space="preserve">.</w:t>
      </w:r>
    </w:p>
    <w:p>
      <w:pPr>
        <w:numPr>
          <w:ilvl w:val="0"/>
          <w:numId w:val="1005"/>
        </w:numPr>
        <w:pStyle w:val="BlockText"/>
      </w:pPr>
      <w:r>
        <w:t xml:space="preserve">Direct pharmacological blockade of peripheral autonomic responses does not systematically impair decision-making in all experimental paradigms.</w:t>
      </w:r>
    </w:p>
    <w:p>
      <w:pPr>
        <w:pStyle w:val="FirstParagraph"/>
      </w:pPr>
      <w:r>
        <w:t xml:space="preserve">Concurrently, Stephen Porges introduced the Polyvagal Theory, presenting a phylogenetic model of autonomic nervous system evolution</w:t>
      </w:r>
      <w:r>
        <w:rPr>
          <w:vertAlign w:val="superscript"/>
        </w:rPr>
        <w:t xml:space="preserve">14</w:t>
      </w:r>
      <w:r>
        <w:t xml:space="preserve">. Porges proposed that the mammalian autonomic nervous system consists of three distinct, hierarchically organized neural circuits that respond to environmental challenges</w:t>
      </w:r>
      <w:r>
        <w:rPr>
          <w:vertAlign w:val="superscript"/>
        </w:rPr>
        <w:t xml:space="preserve">13</w:t>
      </w:r>
      <w:r>
        <w:t xml:space="preserve">:</w:t>
      </w:r>
    </w:p>
    <w:p>
      <w:pPr>
        <w:pStyle w:val="BlockText"/>
      </w:pPr>
      <w:r>
        <w:t xml:space="preserve">▲</w:t>
        <w:br/>
        <w:t xml:space="preserve">/ \</w:t>
        <w:br/>
        <w:t xml:space="preserve">/ \</w:t>
        <w:br/>
        <w:t xml:space="preserve">/ \</w:t>
        <w:br/>
        <w:t xml:space="preserve">/ \</w:t>
        <w:br/>
        <w:t xml:space="preserve">/ \</w:t>
        <w:br/>
        <w:t xml:space="preserve">/ VVC \ &lt;-- Ventral Vagal Complex (Social Engagement)</w:t>
        <w:br/>
        <w:t xml:space="preserve">/ \</w:t>
        <w:br/>
        <w:t xml:space="preserve">/───────────────\</w:t>
        <w:br/>
        <w:t xml:space="preserve">/ \</w:t>
        <w:br/>
        <w:t xml:space="preserve">/ SNS \ &lt;-- Sympathetic-Adrenal (Mobilisation)</w:t>
        <w:br/>
        <w:t xml:space="preserve">/ \</w:t>
        <w:br/>
        <w:t xml:space="preserve">/───────────────────────\</w:t>
        <w:br/>
        <w:t xml:space="preserve">/ \</w:t>
        <w:br/>
        <w:t xml:space="preserve">/ DVC \ &lt;-- Dorsal Vagal Complex (Immobilisation)</w:t>
        <w:br/>
        <w:t xml:space="preserve">/ \</w:t>
        <w:br/>
        <w:t xml:space="preserve">/───────────────────────────────\</w:t>
      </w:r>
    </w:p>
    <w:p>
      <w:pPr>
        <w:numPr>
          <w:ilvl w:val="0"/>
          <w:numId w:val="1006"/>
        </w:numPr>
        <w:pStyle w:val="BlockText"/>
      </w:pPr>
      <w:r>
        <w:rPr>
          <w:bCs/>
          <w:b/>
        </w:rPr>
        <w:t xml:space="preserve">The Dorsal Vagal Complex (DVC):</w:t>
      </w:r>
      <w:r>
        <w:t xml:space="preserve"> An unmyelinated, evolutionarily primitive parasympathetic pathway originating in the dorsal motor nucleus of the vagus</w:t>
      </w:r>
      <w:r>
        <w:rPr>
          <w:vertAlign w:val="superscript"/>
        </w:rPr>
        <w:t xml:space="preserve">13</w:t>
      </w:r>
      <w:r>
        <w:t xml:space="preserve">. In response to life-threatening danger, this circuit mediates immobilisation, bradycardia, metabolic shutdown, and behavioural "freeze" or "dissociation"</w:t>
      </w:r>
      <w:r>
        <w:rPr>
          <w:vertAlign w:val="superscript"/>
        </w:rPr>
        <w:t xml:space="preserve">13</w:t>
      </w:r>
      <w:r>
        <w:t xml:space="preserve">.</w:t>
      </w:r>
    </w:p>
    <w:p>
      <w:pPr>
        <w:numPr>
          <w:ilvl w:val="0"/>
          <w:numId w:val="1006"/>
        </w:numPr>
        <w:pStyle w:val="BlockText"/>
      </w:pPr>
      <w:r>
        <w:rPr>
          <w:bCs/>
          <w:b/>
        </w:rPr>
        <w:t xml:space="preserve">The Sympathetic-Adrenal System (SNS):</w:t>
      </w:r>
      <w:r>
        <w:t xml:space="preserve"> A mobilization circuit that activates the classic fight-or-flight response, elevating cardiac output and mobilizing metabolic resources</w:t>
      </w:r>
      <w:r>
        <w:rPr>
          <w:vertAlign w:val="superscript"/>
        </w:rPr>
        <w:t xml:space="preserve">7</w:t>
      </w:r>
      <w:r>
        <w:t xml:space="preserve">.</w:t>
      </w:r>
    </w:p>
    <w:p>
      <w:pPr>
        <w:numPr>
          <w:ilvl w:val="0"/>
          <w:numId w:val="1006"/>
        </w:numPr>
        <w:pStyle w:val="BlockText"/>
      </w:pPr>
      <w:r>
        <w:rPr>
          <w:bCs/>
          <w:b/>
        </w:rPr>
        <w:t xml:space="preserve">The Ventral Vagal Complex (VVC):</w:t>
      </w:r>
      <w:r>
        <w:t xml:space="preserve"> A myelinated, evolutionarily advanced parasympathetic pathway unique to mammals, originating in the nucleus ambiguus</w:t>
      </w:r>
      <w:r>
        <w:rPr>
          <w:vertAlign w:val="superscript"/>
        </w:rPr>
        <w:t xml:space="preserve">13</w:t>
      </w:r>
      <w:r>
        <w:t xml:space="preserve">. The VVC innervates the sinoatrial node of the heart, acting as a "vagal brake" that can rapidly slow or release heart rate to facilitate calm, flexible, and socially engaging states</w:t>
      </w:r>
      <w:r>
        <w:rPr>
          <w:vertAlign w:val="superscript"/>
        </w:rPr>
        <w:t xml:space="preserve">52</w:t>
      </w:r>
      <w:r>
        <w:t xml:space="preserve">. This myelinated pathway is neuroanatomically integrated with the cranial nerves regulating facial expression, vocalization, and middle-ear listening, forming the Social Engagement System</w:t>
      </w:r>
      <w:r>
        <w:rPr>
          <w:vertAlign w:val="superscript"/>
        </w:rPr>
        <w:t xml:space="preserve">14</w:t>
      </w:r>
      <w:r>
        <w:t xml:space="preserve">. Under conditions of safety, the VVC actively suppresses sympathetic activation and dorsal vagal shutdown, enabling pro-social behaviors, attachment, and dyadic co-regulation</w:t>
      </w:r>
      <w:r>
        <w:rPr>
          <w:vertAlign w:val="superscript"/>
        </w:rPr>
        <w:t xml:space="preserve">13</w:t>
      </w:r>
      <w:r>
        <w:t xml:space="preserve">.</w:t>
      </w:r>
    </w:p>
    <w:p>
      <w:pPr>
        <w:pStyle w:val="FirstParagraph"/>
      </w:pPr>
      <w:r>
        <w:t xml:space="preserve">Within the polyvagal framework, respiratory sinus arrhythmia (RSA)—the naturally occurring fluctuation of heart rate in synchrony with respiration—is used as a selective, non-invasive index of ventral vagal complex activity and cardiac vagal tone</w:t>
      </w:r>
      <w:r>
        <w:rPr>
          <w:vertAlign w:val="superscript"/>
        </w:rPr>
        <w:t xml:space="preserve">8</w:t>
      </w:r>
      <w:r>
        <w:t xml:space="preserve">.</w:t>
      </w:r>
    </w:p>
    <w:p>
      <w:pPr>
        <w:pStyle w:val="BodyText"/>
      </w:pPr>
      <w:r>
        <w:t xml:space="preserve">Despite its widespread adoption in clinical, trauma-focused, and psychotherapeutic domains, the Polyvagal Theory remains highly controversial within the basic physiological sciences. In early 2026, Paul Grossman, alongside 38 leading scholars of autonomic neurophysiology and comparative vertebrate evolution, published a comprehensive critique titled "Why the Polyvagal Theory is Untenable"</w:t>
      </w:r>
      <w:r>
        <w:rPr>
          <w:vertAlign w:val="superscript"/>
        </w:rPr>
        <w:t xml:space="preserve">13</w:t>
      </w:r>
      <w:r>
        <w:t xml:space="preserve">. Grossman and his co-authors asserted that:</w:t>
      </w:r>
    </w:p>
    <w:p>
      <w:pPr>
        <w:numPr>
          <w:ilvl w:val="0"/>
          <w:numId w:val="1007"/>
        </w:numPr>
        <w:pStyle w:val="BlockText"/>
      </w:pPr>
      <w:r>
        <w:t xml:space="preserve">The neuroanatomy of the vagus nerve is oversimplified by Porges. The dorsal motor nucleus (DMNX) does not drive bradycardia during emotional freezing or dissociation in mammals; indeed, it primarily regulates sub-diaphragmatic visceral and gastrointestinal functions, having a minimal influence on mammalian heart rate</w:t>
      </w:r>
      <w:r>
        <w:rPr>
          <w:vertAlign w:val="superscript"/>
        </w:rPr>
        <w:t xml:space="preserve">13</w:t>
      </w:r>
      <w:r>
        <w:t xml:space="preserve">.</w:t>
      </w:r>
    </w:p>
    <w:p>
      <w:pPr>
        <w:numPr>
          <w:ilvl w:val="0"/>
          <w:numId w:val="1007"/>
        </w:numPr>
        <w:pStyle w:val="BlockText"/>
      </w:pPr>
      <w:r>
        <w:t xml:space="preserve">The evolutionary narrative of mammalian exclusivity of the ventral vagus is untenable, as non-mammalian vertebrates (including reptiles and birds) exhibit highly complex social and affiliative behaviours despite lacking a mammalian myelinated ventral vagal complex</w:t>
      </w:r>
      <w:r>
        <w:rPr>
          <w:vertAlign w:val="superscript"/>
        </w:rPr>
        <w:t xml:space="preserve">13</w:t>
      </w:r>
      <w:r>
        <w:t xml:space="preserve">.</w:t>
      </w:r>
    </w:p>
    <w:p>
      <w:pPr>
        <w:numPr>
          <w:ilvl w:val="0"/>
          <w:numId w:val="1007"/>
        </w:numPr>
        <w:pStyle w:val="BlockText"/>
      </w:pPr>
      <w:r>
        <w:t xml:space="preserve">RSA is not a direct, unmediated measure of central vagal drive under all conditions, as its amplitude is highly confounded by variations in respiration rate and tidal volume</w:t>
      </w:r>
      <w:r>
        <w:rPr>
          <w:vertAlign w:val="superscript"/>
        </w:rPr>
        <w:t xml:space="preserve">13</w:t>
      </w:r>
      <w:r>
        <w:t xml:space="preserve">.</w:t>
      </w:r>
    </w:p>
    <w:p>
      <w:pPr>
        <w:pStyle w:val="FirstParagraph"/>
      </w:pPr>
      <w:r>
        <w:t xml:space="preserve">Porges published a detailed scholarly rebuttal, "When a Critique Becomes Untenable," arguing that Grossman’s critique evaluates a simplified, reconstructed "proxy" of the theory rather than the actual systems-level, pathway-specific framework of autonomic state regulation</w:t>
      </w:r>
      <w:r>
        <w:rPr>
          <w:vertAlign w:val="superscript"/>
        </w:rPr>
        <w:t xml:space="preserve">51</w:t>
      </w:r>
      <w:r>
        <w:t xml:space="preserve">. Porges maintained that the clinical and translational value of autonomic state as an intervening variable shaping emotional perception remains unchallenged, even as the specific anatomical details continue to be debated</w:t>
      </w:r>
      <w:r>
        <w:rPr>
          <w:vertAlign w:val="superscript"/>
        </w:rPr>
        <w:t xml:space="preserve">51</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Historical Era</w:t>
            </w:r>
          </w:p>
        </w:tc>
        <w:tc>
          <w:tcPr/>
          <w:p>
            <w:pPr>
              <w:pStyle w:val="Compact"/>
              <w:jc w:val="left"/>
            </w:pPr>
            <w:r>
              <w:rPr>
                <w:bCs/>
                <w:b/>
              </w:rPr>
              <w:t xml:space="preserve">Key Milestones &amp; Proponents</w:t>
            </w:r>
          </w:p>
        </w:tc>
        <w:tc>
          <w:tcPr/>
          <w:p>
            <w:pPr>
              <w:pStyle w:val="Compact"/>
              <w:jc w:val="left"/>
            </w:pPr>
            <w:r>
              <w:rPr>
                <w:bCs/>
                <w:b/>
              </w:rPr>
              <w:t xml:space="preserve">Primary Technological Context</w:t>
            </w:r>
          </w:p>
        </w:tc>
        <w:tc>
          <w:tcPr/>
          <w:p>
            <w:pPr>
              <w:pStyle w:val="Compact"/>
              <w:jc w:val="left"/>
            </w:pPr>
            <w:r>
              <w:rPr>
                <w:bCs/>
                <w:b/>
              </w:rPr>
              <w:t xml:space="preserve">Conceptual Framework &amp; Paradigm Shifts</w:t>
            </w:r>
          </w:p>
        </w:tc>
        <w:tc>
          <w:tcPr/>
          <w:p>
            <w:pPr>
              <w:pStyle w:val="Compact"/>
              <w:jc w:val="left"/>
            </w:pPr>
            <w:r>
              <w:rPr>
                <w:bCs/>
                <w:b/>
              </w:rPr>
              <w:t xml:space="preserve">Theoretical Impact on Contemporary Clinical Labs</w:t>
            </w:r>
          </w:p>
        </w:tc>
      </w:tr>
      <w:tr>
        <w:trPr>
          <w:tblHeader w:val="true"/>
        </w:trPr>
        <w:tc>
          <w:tcPr/>
          <w:p>
            <w:pPr>
              <w:pStyle w:val="Compact"/>
              <w:jc w:val="left"/>
            </w:pPr>
            <w:r>
              <w:rPr>
                <w:bCs/>
                <w:b/>
              </w:rPr>
              <w:t xml:space="preserve">Pre-Discipline Era (1849–1929)</w:t>
            </w:r>
          </w:p>
        </w:tc>
        <w:tc>
          <w:tcPr/>
          <w:p>
            <w:pPr>
              <w:pStyle w:val="Compact"/>
              <w:jc w:val="left"/>
            </w:pPr>
            <w:r>
              <w:t xml:space="preserve">Emil du Bois-Reymond</w:t>
            </w:r>
            <w:r>
              <w:rPr>
                <w:vertAlign w:val="superscript"/>
              </w:rPr>
              <w:t xml:space="preserve">17</w:t>
            </w:r>
            <w:r>
              <w:t xml:space="preserve">; Charles Darwin; William James; Romain Vigouroux</w:t>
            </w:r>
            <w:r>
              <w:rPr>
                <w:vertAlign w:val="superscript"/>
              </w:rPr>
              <w:t xml:space="preserve">17</w:t>
            </w:r>
            <w:r>
              <w:t xml:space="preserve">; Ivan Tarchanoff</w:t>
            </w:r>
            <w:r>
              <w:rPr>
                <w:vertAlign w:val="superscript"/>
              </w:rPr>
              <w:t xml:space="preserve">19</w:t>
            </w:r>
            <w:r>
              <w:t xml:space="preserve">; Walter Cannon; Hans Berger; Walter Rudolf Hess.</w:t>
            </w:r>
          </w:p>
        </w:tc>
        <w:tc>
          <w:tcPr/>
          <w:p>
            <w:pPr>
              <w:pStyle w:val="Compact"/>
              <w:jc w:val="left"/>
            </w:pPr>
            <w:r>
              <w:t xml:space="preserve">Immersion electrode setups</w:t>
            </w:r>
            <w:r>
              <w:rPr>
                <w:vertAlign w:val="superscript"/>
              </w:rPr>
              <w:t xml:space="preserve">17</w:t>
            </w:r>
            <w:r>
              <w:t xml:space="preserve">; mirror galvanometers</w:t>
            </w:r>
            <w:r>
              <w:rPr>
                <w:vertAlign w:val="superscript"/>
              </w:rPr>
              <w:t xml:space="preserve">19</w:t>
            </w:r>
            <w:r>
              <w:t xml:space="preserve">; string galvanometers; early scalp EEG recording.</w:t>
            </w:r>
          </w:p>
        </w:tc>
        <w:tc>
          <w:tcPr/>
          <w:p>
            <w:pPr>
              <w:pStyle w:val="Compact"/>
              <w:jc w:val="left"/>
            </w:pPr>
            <w:r>
              <w:t xml:space="preserve">Shift from structural anatomy to somatic theories of emotion</w:t>
            </w:r>
            <w:r>
              <w:rPr>
                <w:vertAlign w:val="superscript"/>
              </w:rPr>
              <w:t xml:space="preserve">20</w:t>
            </w:r>
            <w:r>
              <w:t xml:space="preserve">; discovery of homeostatic autonomic regulation and fight-or-flight pathways.</w:t>
            </w:r>
          </w:p>
        </w:tc>
        <w:tc>
          <w:tcPr/>
          <w:p>
            <w:pPr>
              <w:pStyle w:val="Compact"/>
              <w:jc w:val="left"/>
            </w:pPr>
            <w:r>
              <w:t xml:space="preserve">Established the physiological changes of the body as functional and central components of emotional experience.</w:t>
            </w:r>
          </w:p>
        </w:tc>
      </w:tr>
      <w:tr>
        <w:trPr>
          <w:tblHeader w:val="true"/>
        </w:trPr>
        <w:tc>
          <w:tcPr/>
          <w:p>
            <w:pPr>
              <w:pStyle w:val="Compact"/>
              <w:jc w:val="left"/>
            </w:pPr>
            <w:r>
              <w:rPr>
                <w:bCs/>
                <w:b/>
              </w:rPr>
              <w:t xml:space="preserve">Institutionalization Era (1930–1979)</w:t>
            </w:r>
          </w:p>
        </w:tc>
        <w:tc>
          <w:tcPr/>
          <w:p>
            <w:pPr>
              <w:pStyle w:val="Compact"/>
              <w:jc w:val="left"/>
            </w:pPr>
            <w:r>
              <w:t xml:space="preserve">John &amp; Beatrice Lacey</w:t>
            </w:r>
            <w:r>
              <w:rPr>
                <w:vertAlign w:val="superscript"/>
              </w:rPr>
              <w:t xml:space="preserve">22</w:t>
            </w:r>
            <w:r>
              <w:t xml:space="preserve">; Society for Psychophysiological Research (SPR)</w:t>
            </w:r>
            <w:r>
              <w:rPr>
                <w:vertAlign w:val="superscript"/>
              </w:rPr>
              <w:t xml:space="preserve">1</w:t>
            </w:r>
            <w:r>
              <w:t xml:space="preserve">; Neal Miller</w:t>
            </w:r>
            <w:r>
              <w:rPr>
                <w:vertAlign w:val="superscript"/>
              </w:rPr>
              <w:t xml:space="preserve">31</w:t>
            </w:r>
            <w:r>
              <w:t xml:space="preserve">; B. McA. Sayers</w:t>
            </w:r>
            <w:r>
              <w:rPr>
                <w:vertAlign w:val="superscript"/>
              </w:rPr>
              <w:t xml:space="preserve">34</w:t>
            </w:r>
            <w:r>
              <w:t xml:space="preserve">.</w:t>
            </w:r>
          </w:p>
        </w:tc>
        <w:tc>
          <w:tcPr/>
          <w:p>
            <w:pPr>
              <w:pStyle w:val="Compact"/>
              <w:jc w:val="left"/>
            </w:pPr>
            <w:r>
              <w:t xml:space="preserve">Multichannel ink-writing polygraphs; analog magnetic tape; early frequency-selective filtering hardware</w:t>
            </w:r>
            <w:r>
              <w:rPr>
                <w:vertAlign w:val="superscript"/>
              </w:rPr>
              <w:t xml:space="preserve">36</w:t>
            </w:r>
            <w:r>
              <w:t xml:space="preserve">.</w:t>
            </w:r>
          </w:p>
        </w:tc>
        <w:tc>
          <w:tcPr/>
          <w:p>
            <w:pPr>
              <w:pStyle w:val="Compact"/>
              <w:jc w:val="left"/>
            </w:pPr>
            <w:r>
              <w:t xml:space="preserve">Deconstruction of monolithic arousal models</w:t>
            </w:r>
            <w:r>
              <w:rPr>
                <w:vertAlign w:val="superscript"/>
              </w:rPr>
              <w:t xml:space="preserve">15</w:t>
            </w:r>
            <w:r>
              <w:t xml:space="preserve">; validation of individual response specificity</w:t>
            </w:r>
            <w:r>
              <w:rPr>
                <w:vertAlign w:val="superscript"/>
              </w:rPr>
              <w:t xml:space="preserve">20</w:t>
            </w:r>
            <w:r>
              <w:t xml:space="preserve"> and directional fractionation</w:t>
            </w:r>
            <w:r>
              <w:rPr>
                <w:vertAlign w:val="superscript"/>
              </w:rPr>
              <w:t xml:space="preserve">15</w:t>
            </w:r>
            <w:r>
              <w:t xml:space="preserve">; rise and fall of operant visceral learning</w:t>
            </w:r>
            <w:r>
              <w:rPr>
                <w:vertAlign w:val="superscript"/>
              </w:rPr>
              <w:t xml:space="preserve">31</w:t>
            </w:r>
            <w:r>
              <w:t xml:space="preserve">.</w:t>
            </w:r>
          </w:p>
        </w:tc>
        <w:tc>
          <w:tcPr/>
          <w:p>
            <w:pPr>
              <w:pStyle w:val="Compact"/>
              <w:jc w:val="left"/>
            </w:pPr>
            <w:r>
              <w:t xml:space="preserve">Highlighted the necessity of using multi-measure profiles and adjusting for individual response stereotypy rather than assuming uniform arousal patterns</w:t>
            </w:r>
            <w:r>
              <w:rPr>
                <w:vertAlign w:val="superscript"/>
              </w:rPr>
              <w:t xml:space="preserve">20</w:t>
            </w:r>
            <w:r>
              <w:t xml:space="preserve">.</w:t>
            </w:r>
          </w:p>
        </w:tc>
      </w:tr>
      <w:tr>
        <w:trPr>
          <w:tblHeader w:val="true"/>
        </w:trPr>
        <w:tc>
          <w:tcPr/>
          <w:p>
            <w:pPr>
              <w:pStyle w:val="Compact"/>
              <w:jc w:val="left"/>
            </w:pPr>
            <w:r>
              <w:rPr>
                <w:bCs/>
                <w:b/>
              </w:rPr>
              <w:t xml:space="preserve">Digital Era (1980–1999)</w:t>
            </w:r>
          </w:p>
        </w:tc>
        <w:tc>
          <w:tcPr/>
          <w:p>
            <w:pPr>
              <w:pStyle w:val="Compact"/>
              <w:jc w:val="left"/>
            </w:pPr>
            <w:r>
              <w:t xml:space="preserve">Antonio Damasio</w:t>
            </w:r>
            <w:r>
              <w:rPr>
                <w:vertAlign w:val="superscript"/>
              </w:rPr>
              <w:t xml:space="preserve">4</w:t>
            </w:r>
            <w:r>
              <w:t xml:space="preserve">; Stephen Porges</w:t>
            </w:r>
            <w:r>
              <w:rPr>
                <w:vertAlign w:val="superscript"/>
              </w:rPr>
              <w:t xml:space="preserve">14</w:t>
            </w:r>
            <w:r>
              <w:t xml:space="preserve">.</w:t>
            </w:r>
          </w:p>
        </w:tc>
        <w:tc>
          <w:tcPr/>
          <w:p>
            <w:pPr>
              <w:pStyle w:val="Compact"/>
              <w:jc w:val="left"/>
            </w:pPr>
            <w:r>
              <w:t xml:space="preserve">Analog-to-digital (A/D) converters; desktop computing; automated spectral analysis software</w:t>
            </w:r>
            <w:r>
              <w:rPr>
                <w:vertAlign w:val="superscript"/>
              </w:rPr>
              <w:t xml:space="preserve">37</w:t>
            </w:r>
            <w:r>
              <w:t xml:space="preserve">.</w:t>
            </w:r>
          </w:p>
        </w:tc>
        <w:tc>
          <w:tcPr/>
          <w:p>
            <w:pPr>
              <w:pStyle w:val="Compact"/>
              <w:jc w:val="left"/>
            </w:pPr>
            <w:r>
              <w:t xml:space="preserve">Introduction of the Somatic Marker Hypothesis</w:t>
            </w:r>
            <w:r>
              <w:rPr>
                <w:vertAlign w:val="superscript"/>
              </w:rPr>
              <w:t xml:space="preserve">4</w:t>
            </w:r>
            <w:r>
              <w:t xml:space="preserve"> and Polyvagal Theory</w:t>
            </w:r>
            <w:r>
              <w:rPr>
                <w:vertAlign w:val="superscript"/>
              </w:rPr>
              <w:t xml:space="preserve">14</w:t>
            </w:r>
            <w:r>
              <w:t xml:space="preserve">; emphasis on embodiment in cognitive processing</w:t>
            </w:r>
            <w:r>
              <w:rPr>
                <w:vertAlign w:val="superscript"/>
              </w:rPr>
              <w:t xml:space="preserve">59</w:t>
            </w:r>
            <w:r>
              <w:t xml:space="preserve"> and the phylogenetic hierarchy of the ANS</w:t>
            </w:r>
            <w:r>
              <w:rPr>
                <w:vertAlign w:val="superscript"/>
              </w:rPr>
              <w:t xml:space="preserve">13</w:t>
            </w:r>
            <w:r>
              <w:t xml:space="preserve">.</w:t>
            </w:r>
          </w:p>
        </w:tc>
        <w:tc>
          <w:tcPr/>
          <w:p>
            <w:pPr>
              <w:pStyle w:val="Compact"/>
              <w:jc w:val="left"/>
            </w:pPr>
            <w:r>
              <w:t xml:space="preserve">Provided clinical research with a theoretical model linking cardiac vagal tone (RSA) to relational safety, social communication, and trauma</w:t>
            </w:r>
            <w:r>
              <w:rPr>
                <w:vertAlign w:val="superscript"/>
              </w:rPr>
              <w:t xml:space="preserve">6</w:t>
            </w:r>
            <w:r>
              <w:t xml:space="preserve">.</w:t>
            </w:r>
          </w:p>
        </w:tc>
      </w:tr>
      <w:tr>
        <w:trPr>
          <w:tblHeader w:val="true"/>
        </w:trPr>
        <w:tc>
          <w:tcPr/>
          <w:p>
            <w:pPr>
              <w:pStyle w:val="Compact"/>
              <w:jc w:val="left"/>
            </w:pPr>
            <w:r>
              <w:rPr>
                <w:bCs/>
                <w:b/>
              </w:rPr>
              <w:t xml:space="preserve">Modern Era (2000–2025/2026)</w:t>
            </w:r>
          </w:p>
        </w:tc>
        <w:tc>
          <w:tcPr/>
          <w:p>
            <w:pPr>
              <w:pStyle w:val="Compact"/>
              <w:jc w:val="left"/>
            </w:pPr>
            <w:r>
              <w:t xml:space="preserve">Paul Grossman</w:t>
            </w:r>
            <w:r>
              <w:rPr>
                <w:vertAlign w:val="superscript"/>
              </w:rPr>
              <w:t xml:space="preserve">13</w:t>
            </w:r>
            <w:r>
              <w:t xml:space="preserve">; Julian Thayer &amp; Richard Lane</w:t>
            </w:r>
            <w:r>
              <w:rPr>
                <w:vertAlign w:val="superscript"/>
              </w:rPr>
              <w:t xml:space="preserve">12</w:t>
            </w:r>
            <w:r>
              <w:t xml:space="preserve">; Brady Beauchaine</w:t>
            </w:r>
            <w:r>
              <w:rPr>
                <w:vertAlign w:val="superscript"/>
              </w:rPr>
              <w:t xml:space="preserve">9</w:t>
            </w:r>
            <w:r>
              <w:t xml:space="preserve">.</w:t>
            </w:r>
          </w:p>
        </w:tc>
        <w:tc>
          <w:tcPr/>
          <w:p>
            <w:pPr>
              <w:pStyle w:val="Compact"/>
              <w:jc w:val="left"/>
            </w:pPr>
            <w:r>
              <w:t xml:space="preserve">Wearable biosensors (e.g., Empatica, Shimmer)</w:t>
            </w:r>
            <w:r>
              <w:rPr>
                <w:vertAlign w:val="superscript"/>
              </w:rPr>
              <w:t xml:space="preserve">61</w:t>
            </w:r>
            <w:r>
              <w:t xml:space="preserve">; ambulatory monitoring; machine learning algorithms.</w:t>
            </w:r>
          </w:p>
        </w:tc>
        <w:tc>
          <w:tcPr/>
          <w:p>
            <w:pPr>
              <w:pStyle w:val="Compact"/>
              <w:jc w:val="left"/>
            </w:pPr>
            <w:r>
              <w:t xml:space="preserve">Integration of ambulatory monitoring with Ecological Momentary Assessment</w:t>
            </w:r>
            <w:r>
              <w:rPr>
                <w:vertAlign w:val="superscript"/>
              </w:rPr>
              <w:t xml:space="preserve">63</w:t>
            </w:r>
            <w:r>
              <w:t xml:space="preserve">; intense scientific debate over autonomic neuroanatomy and specificity</w:t>
            </w:r>
            <w:r>
              <w:rPr>
                <w:vertAlign w:val="superscript"/>
              </w:rPr>
              <w:t xml:space="preserve">51</w:t>
            </w:r>
            <w:r>
              <w:t xml:space="preserve">.</w:t>
            </w:r>
          </w:p>
        </w:tc>
        <w:tc>
          <w:tcPr/>
          <w:p>
            <w:pPr>
              <w:pStyle w:val="Compact"/>
              <w:jc w:val="left"/>
            </w:pPr>
            <w:r>
              <w:t xml:space="preserve">Shifts focus toward measuring real-world clinical dyadic interactions, emotional regulation flexibility, and longitudinal naturalistic states</w:t>
            </w:r>
            <w:r>
              <w:rPr>
                <w:vertAlign w:val="superscript"/>
              </w:rPr>
              <w:t xml:space="preserve">6</w:t>
            </w:r>
            <w:r>
              <w:t xml:space="preserve">.</w:t>
            </w:r>
          </w:p>
        </w:tc>
      </w:tr>
    </w:tbl>
    <w:bookmarkEnd w:id="58"/>
    <w:bookmarkStart w:id="59" w:name="the-modern-era-20002025"/>
    <w:p>
      <w:pPr>
        <w:pStyle w:val="Heading3"/>
      </w:pPr>
      <w:r>
        <w:t xml:space="preserve">The Modern Era (2000–2025)</w:t>
      </w:r>
    </w:p>
    <w:p>
      <w:pPr>
        <w:pStyle w:val="FirstParagraph"/>
      </w:pPr>
      <w:r>
        <w:t xml:space="preserve">In the twenty-first century, clinical psychophysiology has expanded beyond the structural limits of the traditional laboratory. The first major shift was the development of ambulatory psychophysiology and Ecological Momentary Assessment (EMA)</w:t>
      </w:r>
      <w:r>
        <w:rPr>
          <w:vertAlign w:val="superscript"/>
        </w:rPr>
        <w:t xml:space="preserve">63</w:t>
      </w:r>
      <w:r>
        <w:t xml:space="preserve">. By recording continuous physiological data while participants go about their daily lives, and pairing this data with real-time, smartphone-based self-reports of mood and context, clinical researchers can study psychological processes in their natural habitat. This approach has transformed clinical research from evaluating transient, artificial laboratory states to mapping the dynamic, real-world patterns of emotional reactivity and regulation as they unfold in naturalistic settings.</w:t>
      </w:r>
    </w:p>
    <w:p>
      <w:pPr>
        <w:pStyle w:val="BodyText"/>
      </w:pPr>
      <w:r>
        <w:t xml:space="preserve">This ambulatory shift was enabled by the development of sophisticated wearable biosensors during the 2010s, such as the Empatica E4 and Shimmer systems</w:t>
      </w:r>
      <w:r>
        <w:rPr>
          <w:vertAlign w:val="superscript"/>
        </w:rPr>
        <w:t xml:space="preserve">61</w:t>
      </w:r>
      <w:r>
        <w:t xml:space="preserve">. These devices integrate continuous photoplethysmography (PPG) to estimate heart rate variability, alongside dry-electrode electrodermal activity and triaxial accelerometry, into non-stigmatizing, wrist-worn forms</w:t>
      </w:r>
      <w:r>
        <w:rPr>
          <w:vertAlign w:val="superscript"/>
        </w:rPr>
        <w:t xml:space="preserve">61</w:t>
      </w:r>
      <w:r>
        <w:t xml:space="preserve">.</w:t>
      </w:r>
    </w:p>
    <w:p>
      <w:pPr>
        <w:pStyle w:val="BodyText"/>
      </w:pPr>
      <w:r>
        <w:t xml:space="preserve">While these wearable devices have made physiological monitoring highly accessible, they present significant technical challenges. Unlike laboratory-grade sensors attached with conductive gel to highly still participants, wearable sensors are highly prone to movement artifacts, transient loss of skin contact, and lower signal-to-noise ratios, requiring advanced preprocessing pipelines to isolate genuine autonomic signals</w:t>
      </w:r>
      <w:r>
        <w:rPr>
          <w:vertAlign w:val="superscript"/>
        </w:rPr>
        <w:t xml:space="preserve">62</w:t>
      </w:r>
      <w:r>
        <w:t xml:space="preserve">.</w:t>
      </w:r>
    </w:p>
    <w:p>
      <w:pPr>
        <w:pStyle w:val="BodyText"/>
      </w:pPr>
      <w:r>
        <w:t xml:space="preserve">Concurrently, machine learning has emerged as a powerful tool in psychophysiological data analysis. Between 2020 and 2025, ML algorithms have been increasingly applied to:</w:t>
      </w:r>
    </w:p>
    <w:p>
      <w:pPr>
        <w:numPr>
          <w:ilvl w:val="0"/>
          <w:numId w:val="1008"/>
        </w:numPr>
        <w:pStyle w:val="BlockText"/>
      </w:pPr>
      <w:r>
        <w:rPr>
          <w:bCs/>
          <w:b/>
        </w:rPr>
        <w:t xml:space="preserve">Automated Artifact Detection:</w:t>
      </w:r>
      <w:r>
        <w:t xml:space="preserve"> Using neural networks and support vector machines to automatically identify and correct motion artifacts and ectopic beats in large, multi-day ambulatory datasets.</w:t>
      </w:r>
    </w:p>
    <w:p>
      <w:pPr>
        <w:numPr>
          <w:ilvl w:val="0"/>
          <w:numId w:val="1008"/>
        </w:numPr>
        <w:pStyle w:val="BlockText"/>
      </w:pPr>
      <w:r>
        <w:rPr>
          <w:bCs/>
          <w:b/>
        </w:rPr>
        <w:t xml:space="preserve">Emotion Classification:</w:t>
      </w:r>
      <w:r>
        <w:t xml:space="preserve"> Training supervised classifiers on multi-modal physiological streams (combining EDA, RSA, and skin temperature) to map distinct emotional states</w:t>
      </w:r>
      <w:r>
        <w:rPr>
          <w:vertAlign w:val="superscript"/>
        </w:rPr>
        <w:t xml:space="preserve">61</w:t>
      </w:r>
      <w:r>
        <w:t xml:space="preserve">.</w:t>
      </w:r>
    </w:p>
    <w:p>
      <w:pPr>
        <w:numPr>
          <w:ilvl w:val="0"/>
          <w:numId w:val="1008"/>
        </w:numPr>
        <w:pStyle w:val="BlockText"/>
      </w:pPr>
      <w:r>
        <w:rPr>
          <w:bCs/>
          <w:b/>
        </w:rPr>
        <w:t xml:space="preserve">Clinical Biomarkers:</w:t>
      </w:r>
      <w:r>
        <w:t xml:space="preserve"> Applying deep learning to physiological time-series data to identify signature autonomic patterns that can predict relapse in depression, anticipate panic attacks, or characterize specific schema mode transitions in clinical populations.</w:t>
      </w:r>
    </w:p>
    <w:p>
      <w:pPr>
        <w:pStyle w:val="FirstParagraph"/>
      </w:pPr>
      <w:r>
        <w:t xml:space="preserve">However, current ML applications are constrained by the "black-box" nature of deep learning, which can prioritize predictive accuracy over physiological explainability, and the challenge of generalizability across highly heterogeneous clinical populations.</w:t>
      </w:r>
    </w:p>
    <w:bookmarkEnd w:id="59"/>
    <w:bookmarkEnd w:id="60"/>
    <w:bookmarkStart w:id="64" w:name="X7081a4f0d2affd22bf69a9f35d24358205903e0"/>
    <w:p>
      <w:pPr>
        <w:pStyle w:val="Heading2"/>
      </w:pPr>
      <w:r>
        <w:t xml:space="preserve">Part 3 — Why Measure the Body? The Rationale</w:t>
      </w:r>
    </w:p>
    <w:p>
      <w:pPr>
        <w:pStyle w:val="FirstParagraph"/>
      </w:pPr>
      <w:r>
        <w:t xml:space="preserve">Clinical psychology has traditionally relied on self-report scales, clinical interviews, and behavioural observations to understand psychopathology. While these methodologies are invaluable, they carry structural, cognitive, and social limitations. Peripheral psychophysiology does not seek to replace these traditional measures; rather, it offers a distinct, complementary level of analysis that captures the embodied reality of emotional and cognitive processes.</w:t>
      </w:r>
    </w:p>
    <w:p>
      <w:pPr>
        <w:pStyle w:val="BlockText"/>
      </w:pPr>
      <w:r>
        <w:t xml:space="preserve">┌───────────────────────────────┐</w:t>
        <w:br/>
        <w:t xml:space="preserve">│ MULTIDIMENSIONAL CHANNELS │</w:t>
        <w:br/>
        <w:t xml:space="preserve">└───────────────┬───────────────┘</w:t>
        <w:br/>
        <w:t xml:space="preserve">│</w:t>
        <w:br/>
        <w:t xml:space="preserve">┌────────────────────────┼────────────────────────┐</w:t>
        <w:br/>
        <w:t xml:space="preserve">▼ ▼ ▼</w:t>
        <w:br/>
        <w:t xml:space="preserve">┌─────────────────┐ ┌─────────────────┐ ┌─────────────────┐</w:t>
        <w:br/>
        <w:t xml:space="preserve">│ PHYSIOLOGY │ │ BEHAVIOUR │ │ SELF-REPORT │</w:t>
        <w:br/>
        <w:t xml:space="preserve">│ (EDA, RSA, ECG) │ │ (Action, Facial│ │(Narrative, Scale│</w:t>
        <w:br/>
        <w:t xml:space="preserve">│ │ │ Expressions) │ │ Retrospection) │</w:t>
        <w:br/>
        <w:t xml:space="preserve">└─────────────────┘ └─────────────────┘ └─────────────────┘</w:t>
      </w:r>
    </w:p>
    <w:p>
      <w:pPr>
        <w:pStyle w:val="FirstParagraph"/>
      </w:pPr>
      <w:r>
        <w:t xml:space="preserve">The first compelling rationale for physiological measurement is its exceptional temporal resolution. Self-report measures are inherently retrospective and static: a patient cannot fill out an emotional questionnaire in the middle of a distressing trauma-exposure exercise, and post-session self-reports are highly distorted by memory decay, cognitive biases, recency effects, and the peak-end rule.</w:t>
      </w:r>
    </w:p>
    <w:p>
      <w:pPr>
        <w:pStyle w:val="BodyText"/>
      </w:pPr>
      <w:r>
        <w:t xml:space="preserve">Physiological measurement, conversely, provides a continuous, millisecond-by-millisecond read-out of emotional and regulatory processes</w:t>
      </w:r>
      <w:r>
        <w:rPr>
          <w:vertAlign w:val="superscript"/>
        </w:rPr>
        <w:t xml:space="preserve">38</w:t>
      </w:r>
      <w:r>
        <w:t xml:space="preserve">. This fine-grained temporal resolution allows clinical researchers to trace the dynamic, transient stages of emotional processing:</w:t>
      </w:r>
    </w:p>
    <w:p>
      <w:pPr>
        <w:pStyle w:val="BodyText"/>
      </w:pPr>
      <w:r>
        <w:drawing>
          <wp:inline>
            <wp:extent cx="5537197" cy="845519"/>
            <wp:effectExtent b="0" l="0" r="0" t="0"/>
            <wp:docPr descr="" title="" id="62" name="Picture"/>
            <a:graphic>
              <a:graphicData uri="http://schemas.openxmlformats.org/drawingml/2006/picture">
                <pic:pic>
                  <pic:nvPicPr>
                    <pic:cNvPr descr="media/image9.png" id="63" name="Picture"/>
                    <pic:cNvPicPr>
                      <a:picLocks noChangeArrowheads="1" noChangeAspect="1"/>
                    </pic:cNvPicPr>
                  </pic:nvPicPr>
                  <pic:blipFill>
                    <a:blip r:embed="rId61"/>
                    <a:stretch>
                      <a:fillRect/>
                    </a:stretch>
                  </pic:blipFill>
                  <pic:spPr bwMode="auto">
                    <a:xfrm>
                      <a:off x="0" y="0"/>
                      <a:ext cx="5537197" cy="845519"/>
                    </a:xfrm>
                    <a:prstGeom prst="rect">
                      <a:avLst/>
                    </a:prstGeom>
                    <a:noFill/>
                    <a:ln w="9525">
                      <a:noFill/>
                      <a:headEnd/>
                      <a:tailEnd/>
                    </a:ln>
                  </pic:spPr>
                </pic:pic>
              </a:graphicData>
            </a:graphic>
          </wp:inline>
        </w:drawing>
      </w:r>
    </w:p>
    <w:p>
      <w:pPr>
        <w:pStyle w:val="BodyText"/>
      </w:pPr>
      <w:r>
        <w:t xml:space="preserve">This continuous reading reveals the subtle, moment-to-moment trajectory of emotional regulation, indicating not just </w:t>
      </w:r>
      <w:r>
        <w:rPr>
          <w:iCs/>
          <w:i/>
        </w:rPr>
        <w:t xml:space="preserve">whether</w:t>
      </w:r>
      <w:r>
        <w:t xml:space="preserve"> a patient successfully regulates their emotion, but the metabolic cost and temporal efficiency of that regulatory effort</w:t>
      </w:r>
      <w:r>
        <w:rPr>
          <w:vertAlign w:val="superscript"/>
        </w:rPr>
        <w:t xml:space="preserve">16</w:t>
      </w:r>
      <w:r>
        <w:t xml:space="preserve">.</w:t>
      </w:r>
    </w:p>
    <w:p>
      <w:pPr>
        <w:pStyle w:val="BodyText"/>
      </w:pPr>
      <w:r>
        <w:t xml:space="preserve">Secondly, physiological measures provide unique access to implicit, pre-conscious processes. A substantial portion of human emotional and motivational processing occurs below the threshold of conscious awareness and verbal report</w:t>
      </w:r>
      <w:r>
        <w:rPr>
          <w:vertAlign w:val="superscript"/>
        </w:rPr>
        <w:t xml:space="preserve">7</w:t>
      </w:r>
      <w:r>
        <w:t xml:space="preserve">. When a patient experiences the activation of a deeply rooted emotional pattern, their autonomic nervous system typically registers this threat (manifesting as rapid sympathetic arousal or sudden parasympathetic withdrawal) long before their cortical systems can consciously label the feeling or express it verbally</w:t>
      </w:r>
      <w:r>
        <w:rPr>
          <w:vertAlign w:val="superscript"/>
        </w:rPr>
        <w:t xml:space="preserve">7</w:t>
      </w:r>
      <w:r>
        <w:t xml:space="preserve">.</w:t>
      </w:r>
    </w:p>
    <w:p>
      <w:pPr>
        <w:pStyle w:val="BodyText"/>
      </w:pPr>
      <w:r>
        <w:t xml:space="preserve">This is particularly crucial in clinical populations characterized by high levels of emotional avoidance, deep psychological defenses, or structural impairments in emotional awareness, such as alexithymia. In these individuals, self-reports may indicate a state of calm, while their peripheral physiology reveals intense, dysregulated arousal, exposing a profound dissociation between intellectual and somatic processing.</w:t>
      </w:r>
    </w:p>
    <w:p>
      <w:pPr>
        <w:pStyle w:val="BodyText"/>
      </w:pPr>
      <w:r>
        <w:t xml:space="preserve">Thirdly, physiological responses are highly resistant to social desirability bias and conscious faking. In clinical trials and interpersonal assessments, participants frequently distort their verbal reports—consciously or unconsciously—to meet therapist expectations, avoid shame, or maintain a positive self-presentation.</w:t>
      </w:r>
    </w:p>
    <w:p>
      <w:pPr>
        <w:pStyle w:val="BodyText"/>
      </w:pPr>
      <w:r>
        <w:t xml:space="preserve">Because the autonomic nervous system is driven by involuntary motor pathways innervating the viscera, it is difficult to voluntarily fabricate a complex physiological response profile, such as a localized electrodermal conductance spike or a specific pattern of respiratory sinus arrhythmia</w:t>
      </w:r>
      <w:r>
        <w:rPr>
          <w:vertAlign w:val="superscript"/>
        </w:rPr>
        <w:t xml:space="preserve">7</w:t>
      </w:r>
      <w:r>
        <w:t xml:space="preserve">.</w:t>
      </w:r>
    </w:p>
    <w:p>
      <w:pPr>
        <w:pStyle w:val="BodyText"/>
      </w:pPr>
      <w:r>
        <w:t xml:space="preserve">However, this claim carries notable scientific limits. While a participant cannot easily fake a physiological signal directly, they can manipulate their physiological responses through indirect, voluntary strategies</w:t>
      </w:r>
      <w:r>
        <w:rPr>
          <w:vertAlign w:val="superscript"/>
        </w:rPr>
        <w:t xml:space="preserve">31</w:t>
      </w:r>
      <w:r>
        <w:t xml:space="preserve">. For instance, a participant can deliberately suppress their physiological responses by employing cognitive reappraisal techniques, performing physical movements, modulating their respiration rate and depth, or executing isometric muscle contractions</w:t>
      </w:r>
      <w:r>
        <w:rPr>
          <w:vertAlign w:val="superscript"/>
        </w:rPr>
        <w:t xml:space="preserve">31</w:t>
      </w:r>
      <w:r>
        <w:t xml:space="preserve">. Thus, while physiological measures are more objective than self-report, they are not infallible lie detectors and must always be evaluated in context.</w:t>
      </w:r>
    </w:p>
    <w:p>
      <w:pPr>
        <w:pStyle w:val="BodyText"/>
      </w:pPr>
      <w:r>
        <w:t xml:space="preserve">To maintain scientific integrity, clinical researchers must navigate the complex epistemological challenge of psychophysiological inference. As deconstructed in Part 1, there is no simple, direct mapping between a physiological signal and a complex psychological construct</w:t>
      </w:r>
      <w:r>
        <w:rPr>
          <w:vertAlign w:val="superscript"/>
        </w:rPr>
        <w:t xml:space="preserve">1</w:t>
      </w:r>
      <w:r>
        <w:t xml:space="preserve">. The observation "EDA rose" does not directly translate to "the patient felt anxious"</w:t>
      </w:r>
      <w:r>
        <w:rPr>
          <w:vertAlign w:val="superscript"/>
        </w:rPr>
        <w:t xml:space="preserve">1</w:t>
      </w:r>
      <w:r>
        <w:t xml:space="preserve">. Electrodermal activity is a sensitive indicator of sympathetic nervous system arousal and attentional allocation, meaning an identical EDA spike can be produced by fear, excitement, deep cognitive effort, or a sudden physical movement</w:t>
      </w:r>
      <w:r>
        <w:rPr>
          <w:vertAlign w:val="superscript"/>
        </w:rPr>
        <w:t xml:space="preserve">7</w:t>
      </w:r>
      <w:r>
        <w:t xml:space="preserve">.</w:t>
      </w:r>
    </w:p>
    <w:p>
      <w:pPr>
        <w:pStyle w:val="BodyText"/>
      </w:pPr>
      <w:r>
        <w:t xml:space="preserve">To navigate this challenge, researchers must adopt three core strategies:</w:t>
      </w:r>
    </w:p>
    <w:p>
      <w:pPr>
        <w:numPr>
          <w:ilvl w:val="0"/>
          <w:numId w:val="1009"/>
        </w:numPr>
        <w:pStyle w:val="BlockText"/>
      </w:pPr>
      <w:r>
        <w:rPr>
          <w:bCs/>
          <w:b/>
        </w:rPr>
        <w:t xml:space="preserve">Rigorous Experimental Design:</w:t>
      </w:r>
      <w:r>
        <w:t xml:space="preserve"> Restricting the context in which physiological responses are measured. By systematically controlling the stimuli, environment, and task instructions, researchers can rule out alternative explanations for physiological changes</w:t>
      </w:r>
      <w:r>
        <w:rPr>
          <w:vertAlign w:val="superscript"/>
        </w:rPr>
        <w:t xml:space="preserve">65</w:t>
      </w:r>
      <w:r>
        <w:t xml:space="preserve">.</w:t>
      </w:r>
    </w:p>
    <w:p>
      <w:pPr>
        <w:numPr>
          <w:ilvl w:val="0"/>
          <w:numId w:val="1009"/>
        </w:numPr>
        <w:pStyle w:val="BlockText"/>
      </w:pPr>
      <w:r>
        <w:rPr>
          <w:bCs/>
          <w:b/>
        </w:rPr>
        <w:t xml:space="preserve">Converging Evidence (Multimodal Coherence):</w:t>
      </w:r>
      <w:r>
        <w:t xml:space="preserve"> Evaluating multiple physiological systems simultaneously. For example, if an elevation in electrodermal activity (reflecting sympathetic activation) is accompanied by a marked suppression of respiratory sinus arrhythmia (reflecting parasympathetic withdrawal), the combination suggests an active, defensive stress response rather than calm, focused cognitive effort</w:t>
      </w:r>
      <w:r>
        <w:rPr>
          <w:vertAlign w:val="superscript"/>
        </w:rPr>
        <w:t xml:space="preserve">2</w:t>
      </w:r>
      <w:r>
        <w:t xml:space="preserve">.</w:t>
      </w:r>
    </w:p>
    <w:p>
      <w:pPr>
        <w:numPr>
          <w:ilvl w:val="0"/>
          <w:numId w:val="1009"/>
        </w:numPr>
        <w:pStyle w:val="BlockText"/>
      </w:pPr>
      <w:r>
        <w:rPr>
          <w:bCs/>
          <w:b/>
        </w:rPr>
        <w:t xml:space="preserve">Theoretical Constraints:</w:t>
      </w:r>
      <w:r>
        <w:t xml:space="preserve"> Interpreting physiological data through validated theoretical frameworks (such as the model of neurovisceral integration or emotional regulation models), which explicitly define the biological pathways of psychological phenomena</w:t>
      </w:r>
      <w:r>
        <w:rPr>
          <w:vertAlign w:val="superscript"/>
        </w:rPr>
        <w:t xml:space="preserve">9</w:t>
      </w:r>
      <w:r>
        <w:t xml:space="preserve">.</w:t>
      </w:r>
    </w:p>
    <w:p>
      <w:pPr>
        <w:pStyle w:val="FirstParagraph"/>
      </w:pPr>
      <w:r>
        <w:t xml:space="preserve">Ultimately, psychophysiology champions a multi-method, complementary perspective on clinical research. Human psychological phenomena are multi-dimensional, emerging from the continuous interaction of subjective feelings, observable behaviours, and underlying neurobiological states</w:t>
      </w:r>
      <w:r>
        <w:rPr>
          <w:vertAlign w:val="superscript"/>
        </w:rPr>
        <w:t xml:space="preserve">21</w:t>
      </w:r>
      <w:r>
        <w:t xml:space="preserve">. No single measure can fully capture this complexity.</w:t>
      </w:r>
    </w:p>
    <w:p>
      <w:pPr>
        <w:pStyle w:val="BlockText"/>
      </w:pPr>
      <w:r>
        <w:t xml:space="preserve">┌────────────────────────────────────────────────────────┐</w:t>
        <w:br/>
        <w:t xml:space="preserve">│ EMERGENT CLINICAL PHENOMENON │</w:t>
        <w:br/>
        <w:t xml:space="preserve">│ (e.g., Trauma) │</w:t>
        <w:br/>
        <w:t xml:space="preserve">└───────────┬──────────────────┬─────────────────┬───────┘</w:t>
        <w:br/>
        <w:t xml:space="preserve">│ │ │</w:t>
        <w:br/>
        <w:t xml:space="preserve">▼ ▼ ▼</w:t>
        <w:br/>
        <w:t xml:space="preserve">┌───────────┐ ┌───────────┐ ┌───────────┐</w:t>
        <w:br/>
        <w:t xml:space="preserve">│Subjective │ │Behavioral │ │Physiologic│</w:t>
        <w:br/>
        <w:t xml:space="preserve">│ Experience│ │Expression │ │ Markers │</w:t>
        <w:br/>
        <w:t xml:space="preserve">└───────────┘ └───────────┘ └───────────┘</w:t>
      </w:r>
    </w:p>
    <w:p>
      <w:pPr>
        <w:pStyle w:val="FirstParagraph"/>
      </w:pPr>
      <w:r>
        <w:t xml:space="preserve">A comprehensive, multi-method approach—combining structured self-reports (capturing subjective, conscious experience), behavioural micro-analysis (capturing facial expressions, vocalics, and actions), and peripheral psychophysiology (capturing underlying autonomic states)—enables clinical researchers to map emotional and interpersonal processes with exceptional depth and accuracy</w:t>
      </w:r>
      <w:r>
        <w:rPr>
          <w:vertAlign w:val="superscript"/>
        </w:rPr>
        <w:t xml:space="preserve">67</w:t>
      </w:r>
      <w:r>
        <w:t xml:space="preserve">.</w:t>
      </w:r>
    </w:p>
    <w:bookmarkEnd w:id="64"/>
    <w:bookmarkStart w:id="69" w:name="Xfdc3f8e293910df68bd8e9998aee2ff9f45baa5"/>
    <w:p>
      <w:pPr>
        <w:pStyle w:val="Heading2"/>
      </w:pPr>
      <w:r>
        <w:t xml:space="preserve">Part 4 — Emotion, Regulation, and Schema Therapy</w:t>
      </w:r>
    </w:p>
    <w:p>
      <w:pPr>
        <w:pStyle w:val="FirstParagraph"/>
      </w:pPr>
      <w:r>
        <w:t xml:space="preserve">The clinical application of psychophysiology is particularly powerful in studying emotional states and therapeutic processes. This section details the theoretical bridge connecting physiological measurement to clinical emotion regulation and the somatic foundations of Schema Therapy.</w:t>
      </w:r>
    </w:p>
    <w:bookmarkStart w:id="65" w:name="emotion-as-a-psychophysiological-process"/>
    <w:p>
      <w:pPr>
        <w:pStyle w:val="Heading3"/>
      </w:pPr>
      <w:r>
        <w:t xml:space="preserve">Emotion as a Psychophysiological Process</w:t>
      </w:r>
    </w:p>
    <w:p>
      <w:pPr>
        <w:pStyle w:val="FirstParagraph"/>
      </w:pPr>
      <w:r>
        <w:t xml:space="preserve">Every major scientific theory of emotion positions the body as a primary constituent of affective experience. In the James-Lange model, the subjective emotional feeling is the direct perception of peripheral somatic-visceral adaptations</w:t>
      </w:r>
      <w:r>
        <w:rPr>
          <w:vertAlign w:val="superscript"/>
        </w:rPr>
        <w:t xml:space="preserve">20</w:t>
      </w:r>
      <w:r>
        <w:t xml:space="preserve">. In cognitive-appraisal models, such as those formulated by Richard Lazarus or Stanley Schachter, physiological arousal acts as an energetic drive that is shaped, differentiated, and given meaning by cognitive evaluations of the immediate context.</w:t>
      </w:r>
    </w:p>
    <w:p>
      <w:pPr>
        <w:pStyle w:val="BodyText"/>
      </w:pPr>
      <w:r>
        <w:t xml:space="preserve">In James Gross's process model of emotion regulation (1998), emotions are viewed as unfolding over time across multiple systems, with somatic and autonomic components representing key targets for regulatory intervention</w:t>
      </w:r>
      <w:r>
        <w:rPr>
          <w:vertAlign w:val="superscript"/>
        </w:rPr>
        <w:t xml:space="preserve">68</w:t>
      </w:r>
      <w:r>
        <w:t xml:space="preserve">. For instance, Gross's model explicitly contrasts the high cognitive and physiological cost of expressive suppression (which suppresses behavioural expression but elevates internal autonomic distress) with cognitive reappraisal (which down-regulates both subjective distress and autonomic activation)</w:t>
      </w:r>
      <w:r>
        <w:rPr>
          <w:vertAlign w:val="superscript"/>
        </w:rPr>
        <w:t xml:space="preserve">5</w:t>
      </w:r>
      <w:r>
        <w:t xml:space="preserve">.</w:t>
      </w:r>
    </w:p>
    <w:bookmarkEnd w:id="65"/>
    <w:bookmarkStart w:id="66" w:name="X9a8c5530aa1888d3cd4c32debed203dfbd626c3"/>
    <w:p>
      <w:pPr>
        <w:pStyle w:val="Heading3"/>
      </w:pPr>
      <w:r>
        <w:t xml:space="preserve">Emotion Regulation and Autonomic Flexibility</w:t>
      </w:r>
    </w:p>
    <w:p>
      <w:pPr>
        <w:pStyle w:val="FirstParagraph"/>
      </w:pPr>
      <w:r>
        <w:t xml:space="preserve">In contemporary affective science, competent emotion regulation is conceptualized not as the passive suppression of physiological responses, but as autonomic flexibility—the ability of the autonomic nervous system to rapidly adjust its state to match shifting environmental demands</w:t>
      </w:r>
      <w:r>
        <w:rPr>
          <w:vertAlign w:val="superscript"/>
        </w:rPr>
        <w:t xml:space="preserve">9</w:t>
      </w:r>
      <w:r>
        <w:t xml:space="preserve">. This theoretical model is grounded in the Model of Neurovisceral Integration formulated by Julian Thayer and Richard Lane</w:t>
      </w:r>
      <w:r>
        <w:rPr>
          <w:vertAlign w:val="superscript"/>
        </w:rPr>
        <w:t xml:space="preserve">12</w:t>
      </w:r>
      <w:r>
        <w:t xml:space="preserve">.</w:t>
      </w:r>
    </w:p>
    <w:p>
      <w:pPr>
        <w:pStyle w:val="BodyText"/>
      </w:pPr>
      <w:r>
        <w:t xml:space="preserve">The neurovisceral model posits that a common network of cortical and subcortical brain structures—the Central Autonomic Network (CAN)—integrates emotional, cognitive, and autonomic processes</w:t>
      </w:r>
      <w:r>
        <w:rPr>
          <w:vertAlign w:val="superscript"/>
        </w:rPr>
        <w:t xml:space="preserve">11</w:t>
      </w:r>
      <w:r>
        <w:t xml:space="preserve">. Under safe conditions, the prefrontal cortex exerts active, top-down inhibitory control over subcortical threat-responsive regions like the amygdala, keeping autonomic activation in check</w:t>
      </w:r>
      <w:r>
        <w:rPr>
          <w:vertAlign w:val="superscript"/>
        </w:rPr>
        <w:t xml:space="preserve">11</w:t>
      </w:r>
      <w:r>
        <w:t xml:space="preserve">. This prefrontal inhibitory control is transmitted to the heart via the vagus nerve (the parasympathetic pathway), manifesting as high resting heart rate variability and robust respiratory sinus arrhythmia</w:t>
      </w:r>
      <w:r>
        <w:rPr>
          <w:vertAlign w:val="superscript"/>
        </w:rPr>
        <w:t xml:space="preserve">9</w:t>
      </w:r>
      <w:r>
        <w:t xml:space="preserve">.</w:t>
      </w:r>
    </w:p>
    <w:p>
      <w:pPr>
        <w:pStyle w:val="BlockText"/>
      </w:pPr>
      <w:r>
        <w:t xml:space="preserve">┌────────────────────────────────────────────────────────────────────────┐</w:t>
        <w:br/>
        <w:t xml:space="preserve">│ PREFRONTAL CORTEX (PFC) │</w:t>
        <w:br/>
        <w:t xml:space="preserve">└────────────────────────────────────┬───────────────────────────────────┘</w:t>
        <w:br/>
        <w:t xml:space="preserve">│</w:t>
        <w:br/>
        <w:t xml:space="preserve">(Top-down Inhibitory Control)</w:t>
        <w:br/>
        <w:t xml:space="preserve">▼</w:t>
        <w:br/>
        <w:t xml:space="preserve">┌────────────────────────────────────────────────────────────────────────┐</w:t>
        <w:br/>
        <w:t xml:space="preserve">│ AMYGDALA │</w:t>
        <w:br/>
        <w:t xml:space="preserve">└────────────────────────────────────┬───────────────────────────────────┘</w:t>
        <w:br/>
        <w:t xml:space="preserve">│</w:t>
        <w:br/>
        <w:t xml:space="preserve">▼</w:t>
        <w:br/>
        <w:t xml:space="preserve">┌────────────────────────────────────────────────────────────────────────┐</w:t>
        <w:br/>
        <w:t xml:space="preserve">│ CENTRAL AUTONOMIC NETWORK │</w:t>
        <w:br/>
        <w:t xml:space="preserve">└────────────────────────────────────┬───────────────────────────────────┘</w:t>
        <w:br/>
        <w:t xml:space="preserve">│</w:t>
        <w:br/>
        <w:t xml:space="preserve">(Parasympathetic Vagal Drive)</w:t>
        <w:br/>
        <w:t xml:space="preserve">▼</w:t>
        <w:br/>
        <w:t xml:space="preserve">┌────────────────────────────────────────────────────────────────────────┐</w:t>
        <w:br/>
        <w:t xml:space="preserve">│ RESTING CARDIOVASCULAR STATE │</w:t>
        <w:br/>
        <w:t xml:space="preserve">│ (High resting RSA / High HRV) │</w:t>
        <w:br/>
        <w:t xml:space="preserve">└────────────────────────────────────────────────────────────────────────┘</w:t>
      </w:r>
    </w:p>
    <w:p>
      <w:pPr>
        <w:pStyle w:val="FirstParagraph"/>
      </w:pPr>
      <w:r>
        <w:t xml:space="preserve">An organism characterized by high resting vagal tone (RSA) possesses a highly flexible, responsive regulatory system</w:t>
      </w:r>
      <w:r>
        <w:rPr>
          <w:vertAlign w:val="superscript"/>
        </w:rPr>
        <w:t xml:space="preserve">9</w:t>
      </w:r>
      <w:r>
        <w:t xml:space="preserve">. When confronted with a stressor, such an organism can rapidly suppress its parasympathetic brake, allowing heart rate to increase to meet the challenge</w:t>
      </w:r>
      <w:r>
        <w:rPr>
          <w:vertAlign w:val="superscript"/>
        </w:rPr>
        <w:t xml:space="preserve">2</w:t>
      </w:r>
      <w:r>
        <w:t xml:space="preserve">. Once the stressor has subsided, the parasympathetic brake is rapidly re-applied, returning the system to homeostasis</w:t>
      </w:r>
      <w:r>
        <w:rPr>
          <w:vertAlign w:val="superscript"/>
        </w:rPr>
        <w:t xml:space="preserve">52</w:t>
      </w:r>
      <w:r>
        <w:t xml:space="preserve">.</w:t>
      </w:r>
    </w:p>
    <w:p>
      <w:pPr>
        <w:pStyle w:val="BodyText"/>
      </w:pPr>
      <w:r>
        <w:t xml:space="preserve">Conversely, low resting RSA is a transdiagnostic marker of psychological vulnerability, reflecting a failure of prefrontal inhibitory control and a rigid, hyper-reactive autonomic system that is highly vulnerable to prolonged, dysregulated stress states</w:t>
      </w:r>
      <w:r>
        <w:rPr>
          <w:vertAlign w:val="superscript"/>
        </w:rPr>
        <w:t xml:space="preserve">9</w:t>
      </w:r>
      <w:r>
        <w:t xml:space="preserve">.</w:t>
      </w:r>
    </w:p>
    <w:bookmarkEnd w:id="66"/>
    <w:bookmarkStart w:id="67" w:name="schema-therapy"/>
    <w:p>
      <w:pPr>
        <w:pStyle w:val="Heading3"/>
      </w:pPr>
      <w:r>
        <w:t xml:space="preserve">Schema Therapy</w:t>
      </w:r>
    </w:p>
    <w:p>
      <w:pPr>
        <w:pStyle w:val="FirstParagraph"/>
      </w:pPr>
      <w:r>
        <w:t xml:space="preserve">Developed by Jeffrey Young and colleagues (2003), Schema Therapy is an integrative therapeutic framework designed to address chronic, treatment-resistant characterological conditions and personality disorders</w:t>
      </w:r>
      <w:r>
        <w:rPr>
          <w:vertAlign w:val="superscript"/>
        </w:rPr>
        <w:t xml:space="preserve">71</w:t>
      </w:r>
      <w:r>
        <w:t xml:space="preserve">. The model expands classic cognitive-behavioural therapy by blending elements of attachment theory, object relations, Gestalt therapy, and experiential techniques</w:t>
      </w:r>
      <w:r>
        <w:rPr>
          <w:vertAlign w:val="superscript"/>
        </w:rPr>
        <w:t xml:space="preserve">71</w:t>
      </w:r>
      <w:r>
        <w:t xml:space="preserve">.</w:t>
      </w:r>
    </w:p>
    <w:p>
      <w:pPr>
        <w:pStyle w:val="BodyText"/>
      </w:pPr>
      <w:r>
        <w:t xml:space="preserve">At its core are Early Maladaptive Schemas (EMS)—pervasive, self-defeating emotional and cognitive patterns established during childhood or adolescence in response to unmet core emotional needs, such as safety, connection, and autonomy</w:t>
      </w:r>
      <w:r>
        <w:rPr>
          <w:vertAlign w:val="superscript"/>
        </w:rPr>
        <w:t xml:space="preserve">71</w:t>
      </w:r>
      <w:r>
        <w:t xml:space="preserve">. When these schemas are triggered by current events, individuals shift into Schema Modes, which are transient, moment-to-moment emotional, cognitive, and behavioural states</w:t>
      </w:r>
      <w:r>
        <w:rPr>
          <w:vertAlign w:val="superscript"/>
        </w:rPr>
        <w:t xml:space="preserve">71</w:t>
      </w:r>
      <w:r>
        <w:t xml:space="preserve">. Crucially, the theory asserts that schemas and modes are deeply embodied, manifesting not merely as abstract cognitions, but as distinct visceral, somatic, and physiological survival patterns within the autonomic nervous system</w:t>
      </w:r>
      <w:r>
        <w:rPr>
          <w:vertAlign w:val="superscript"/>
        </w:rPr>
        <w:t xml:space="preserve">59</w:t>
      </w:r>
      <w:r>
        <w:t xml:space="preserve">.</w:t>
      </w:r>
    </w:p>
    <w:bookmarkEnd w:id="67"/>
    <w:bookmarkStart w:id="68" w:name="the-research-bridge"/>
    <w:p>
      <w:pPr>
        <w:pStyle w:val="Heading3"/>
      </w:pPr>
      <w:r>
        <w:t xml:space="preserve">The Research Bridge</w:t>
      </w:r>
    </w:p>
    <w:p>
      <w:pPr>
        <w:pStyle w:val="FirstParagraph"/>
      </w:pPr>
      <w:r>
        <w:t xml:space="preserve">Clinical researchers at Bar-Ilan University can use peripheral psychophysiology to investigate the somatic foundations of Schema Therapy, building a direct theoretical connection from first principles in affective science.</w:t>
      </w:r>
    </w:p>
    <w:p>
      <w:pPr>
        <w:pStyle w:val="BlockText"/>
      </w:pPr>
      <w:r>
        <w:t xml:space="preserve">┌───────────────────────────────┐ ┌───────────────────────────────┐</w:t>
        <w:br/>
        <w:t xml:space="preserve">│ SCHEMA TRIGGERED │ │ THERAPEUTIC INTERVENTION │</w:t>
        <w:br/>
        <w:t xml:space="preserve">└───────────────┬───────────────┘ └───────────────┬───────────────┘</w:t>
        <w:br/>
        <w:t xml:space="preserve">│ │</w:t>
        <w:br/>
        <w:t xml:space="preserve">▼ (Involuntary Threat Appraisals) ▼ (Somatic Re-Appraisal)</w:t>
        <w:br/>
        <w:t xml:space="preserve">┌───────────────────────────────┐ ┌───────────────────────────────┐</w:t>
        <w:br/>
        <w:t xml:space="preserve">│ AUTONOMIC AROUSAL │ │ AUTONOMIC FLEXIBILITY │</w:t>
        <w:br/>
        <w:t xml:space="preserve">│ (EDA Spikes/SCL Rise) │ │ (Ventral Vagal Activation/RSA)│</w:t>
        <w:br/>
        <w:t xml:space="preserve">└───────────────────────────────┘ └───────────────────────────────┘</w:t>
      </w:r>
    </w:p>
    <w:p>
      <w:pPr>
        <w:pStyle w:val="FirstParagraph"/>
      </w:pPr>
      <w:r>
        <w:t xml:space="preserve">When an Early Maladaptive Schema is triggered (for example, triggering a Defectiveness or Abandonment schema), the cognitive-affective system registers this activation as a fundamental threat to its relational survival</w:t>
      </w:r>
      <w:r>
        <w:rPr>
          <w:vertAlign w:val="superscript"/>
        </w:rPr>
        <w:t xml:space="preserve">71</w:t>
      </w:r>
      <w:r>
        <w:t xml:space="preserve">. This implicit appraisal bypasses intellectual defenses, triggering rapid, involuntary sympathetic activation</w:t>
      </w:r>
      <w:r>
        <w:rPr>
          <w:vertAlign w:val="superscript"/>
        </w:rPr>
        <w:t xml:space="preserve">7</w:t>
      </w:r>
      <w:r>
        <w:t xml:space="preserve">. In a research setting, this schema activation can be quantified in real time as:</w:t>
      </w:r>
    </w:p>
    <w:p>
      <w:pPr>
        <w:numPr>
          <w:ilvl w:val="0"/>
          <w:numId w:val="1010"/>
        </w:numPr>
        <w:pStyle w:val="BlockText"/>
      </w:pPr>
      <w:r>
        <w:rPr>
          <w:bCs/>
          <w:b/>
        </w:rPr>
        <w:t xml:space="preserve">Electrodermal Arousal:</w:t>
      </w:r>
      <w:r>
        <w:t xml:space="preserve"> A rapid rise in tonic skin conductance levels (SCL) and a high frequency of phasic skin conductance responses (SCRs) during schema-focused discussions or imagery scripts</w:t>
      </w:r>
      <w:r>
        <w:rPr>
          <w:vertAlign w:val="superscript"/>
        </w:rPr>
        <w:t xml:space="preserve">7</w:t>
      </w:r>
      <w:r>
        <w:t xml:space="preserve">.</w:t>
      </w:r>
    </w:p>
    <w:p>
      <w:pPr>
        <w:numPr>
          <w:ilvl w:val="0"/>
          <w:numId w:val="1010"/>
        </w:numPr>
        <w:pStyle w:val="BlockText"/>
      </w:pPr>
      <w:r>
        <w:rPr>
          <w:bCs/>
          <w:b/>
        </w:rPr>
        <w:t xml:space="preserve">Cardiovascular Reactivity:</w:t>
      </w:r>
      <w:r>
        <w:t xml:space="preserve"> A sudden suppression of respiratory sinus arrhythmia, indicating that the parasympathetic vagal brake has been withdrawn to mobilize metabolic resources</w:t>
      </w:r>
      <w:r>
        <w:rPr>
          <w:vertAlign w:val="superscript"/>
        </w:rPr>
        <w:t xml:space="preserve">2</w:t>
      </w:r>
      <w:r>
        <w:t xml:space="preserve">.</w:t>
      </w:r>
    </w:p>
    <w:p>
      <w:pPr>
        <w:pStyle w:val="FirstParagraph"/>
      </w:pPr>
      <w:r>
        <w:t xml:space="preserve">By mapping these physiological signatures, clinical researchers can evaluate the biological reality of schema activation during therapy.</w:t>
      </w:r>
    </w:p>
    <w:p>
      <w:pPr>
        <w:pStyle w:val="BodyText"/>
      </w:pPr>
      <w:r>
        <w:t xml:space="preserve">Furthermore, different Schema Modes should exhibit distinct physiological profiles, enabling researchers to map the somatic states of these clinical constructs:</w:t>
      </w:r>
    </w:p>
    <w:p>
      <w:pPr>
        <w:numPr>
          <w:ilvl w:val="0"/>
          <w:numId w:val="1011"/>
        </w:numPr>
        <w:pStyle w:val="BlockText"/>
      </w:pPr>
      <w:r>
        <w:rPr>
          <w:bCs/>
          <w:b/>
        </w:rPr>
        <w:t xml:space="preserve">Vulnerable Child Mode:</w:t>
      </w:r>
      <w:r>
        <w:t xml:space="preserve"> Characterized by hyper-arousal, marked by a rapid, uncoordinated rise in electrodermal activity and deep, variable parasympathetic suppression (reflecting intense emotional distress)</w:t>
      </w:r>
      <w:r>
        <w:rPr>
          <w:vertAlign w:val="superscript"/>
        </w:rPr>
        <w:t xml:space="preserve">16</w:t>
      </w:r>
      <w:r>
        <w:t xml:space="preserve">.</w:t>
      </w:r>
    </w:p>
    <w:p>
      <w:pPr>
        <w:numPr>
          <w:ilvl w:val="0"/>
          <w:numId w:val="1011"/>
        </w:numPr>
        <w:pStyle w:val="BlockText"/>
      </w:pPr>
      <w:r>
        <w:rPr>
          <w:bCs/>
          <w:b/>
        </w:rPr>
        <w:t xml:space="preserve">Detached Protector Mode:</w:t>
      </w:r>
      <w:r>
        <w:t xml:space="preserve"> Characterized by emotional avoidance and detachment</w:t>
      </w:r>
      <w:r>
        <w:rPr>
          <w:vertAlign w:val="superscript"/>
        </w:rPr>
        <w:t xml:space="preserve">72</w:t>
      </w:r>
      <w:r>
        <w:t xml:space="preserve">. While self-report may indicate low emotional distress, peripheral psychophysiology can reveal a state of physiological dissociation</w:t>
      </w:r>
      <w:r>
        <w:rPr>
          <w:vertAlign w:val="superscript"/>
        </w:rPr>
        <w:t xml:space="preserve">13</w:t>
      </w:r>
      <w:r>
        <w:t xml:space="preserve">. This somatic dissociation may manifest as a "flat" electrodermal response profile paired with low resting RSA, indicating that the organism is in a highly defended state, using significant metabolic resources to suppress behavioural and conscious emotional expression</w:t>
      </w:r>
      <w:r>
        <w:rPr>
          <w:vertAlign w:val="superscript"/>
        </w:rPr>
        <w:t xml:space="preserve">9</w:t>
      </w:r>
      <w:r>
        <w:t xml:space="preserve">.</w:t>
      </w:r>
    </w:p>
    <w:p>
      <w:pPr>
        <w:numPr>
          <w:ilvl w:val="0"/>
          <w:numId w:val="1011"/>
        </w:numPr>
        <w:pStyle w:val="BlockText"/>
      </w:pPr>
      <w:r>
        <w:rPr>
          <w:bCs/>
          <w:b/>
        </w:rPr>
        <w:t xml:space="preserve">Healthy Adult Mode:</w:t>
      </w:r>
      <w:r>
        <w:t xml:space="preserve"> Characterized by the ability to nurture, validate, and regulate vulnerable states</w:t>
      </w:r>
      <w:r>
        <w:rPr>
          <w:vertAlign w:val="superscript"/>
        </w:rPr>
        <w:t xml:space="preserve">71</w:t>
      </w:r>
      <w:r>
        <w:t xml:space="preserve">. The developmental growth of the Healthy Adult mode over the course of therapy should align with an increase in baseline resting respiratory sinus arrhythmia (RSA) and greater autonomic flexibility during emotionally challenging tasks</w:t>
      </w:r>
      <w:r>
        <w:rPr>
          <w:vertAlign w:val="superscript"/>
        </w:rPr>
        <w:t xml:space="preserve">9</w:t>
      </w:r>
      <w:r>
        <w:t xml:space="preserve">.</w:t>
      </w:r>
    </w:p>
    <w:p>
      <w:pPr>
        <w:pStyle w:val="FirstParagraph"/>
      </w:pPr>
      <w:r>
        <w:t xml:space="preserve">This psychophysiological approach allows researchers to evaluate whether Schema Therapy successfully restructures these clinical states at a neurobiological level, mapping the somatic pathway from dysregulated schema activation to adaptive autonomic recovery</w:t>
      </w:r>
      <w:r>
        <w:rPr>
          <w:vertAlign w:val="superscript"/>
        </w:rPr>
        <w:t xml:space="preserve">6</w:t>
      </w:r>
      <w:r>
        <w:t xml:space="preserve">.</w:t>
      </w:r>
    </w:p>
    <w:bookmarkEnd w:id="68"/>
    <w:bookmarkEnd w:id="69"/>
    <w:bookmarkStart w:id="157" w:name="part-5-challenges-and-limitations"/>
    <w:p>
      <w:pPr>
        <w:pStyle w:val="Heading2"/>
      </w:pPr>
      <w:r>
        <w:t xml:space="preserve">Part 5 — Challenges and Limitations</w:t>
      </w:r>
    </w:p>
    <w:p>
      <w:pPr>
        <w:pStyle w:val="FirstParagraph"/>
      </w:pPr>
      <w:r>
        <w:t xml:space="preserve">To design valid, rigorous studies, researchers must understand the genuine methodological challenges and limitations of psychophysiological research.</w:t>
      </w:r>
    </w:p>
    <w:p>
      <w:pPr>
        <w:pStyle w:val="BodyText"/>
      </w:pPr>
      <w:r>
        <w:t xml:space="preserve">First, individual response specificity presents a significant challenge to group-level analyses</w:t>
      </w:r>
      <w:r>
        <w:rPr>
          <w:vertAlign w:val="superscript"/>
        </w:rPr>
        <w:t xml:space="preserve">20</w:t>
      </w:r>
      <w:r>
        <w:t xml:space="preserve">. Because individuals exhibit highly idiosyncratic, stable, and reproducible profiles of physiological reactivity across different situations, group-level averages can obscure meaningful physiological changes</w:t>
      </w:r>
      <w:r>
        <w:rPr>
          <w:vertAlign w:val="superscript"/>
        </w:rPr>
        <w:t xml:space="preserve">20</w:t>
      </w:r>
      <w:r>
        <w:t xml:space="preserve">.</w:t>
      </w:r>
    </w:p>
    <w:p>
      <w:pPr>
        <w:pStyle w:val="BodyText"/>
      </w:pPr>
      <w:r>
        <w:t xml:space="preserve">For example, if half of the participants in a study respond to schema activation primarily with electrodermal reactivity and the other half respond with cardiac vagal withdrawal, a group-level analysis focusing on a single measure may fail to find a significant effect</w:t>
      </w:r>
      <w:r>
        <w:rPr>
          <w:vertAlign w:val="superscript"/>
        </w:rPr>
        <w:t xml:space="preserve">23</w:t>
      </w:r>
      <w:r>
        <w:t xml:space="preserve">. To mitigate this limitation, researchers must use within-subject standardization techniques (such as z-scoring physiological changes relative to individual baseline distributions) to account for individual somatic profiles</w:t>
      </w:r>
      <w:r>
        <w:rPr>
          <w:vertAlign w:val="superscript"/>
        </w:rPr>
        <w:t xml:space="preserve">20</w:t>
      </w:r>
      <w:r>
        <w:t xml:space="preserve">.</w:t>
      </w:r>
    </w:p>
    <w:p>
      <w:pPr>
        <w:pStyle w:val="BodyText"/>
      </w:pPr>
      <w:r>
        <w:t xml:space="preserve">Second, the baseline problem is a central methodological challenge in psychophysiological research. Physiological measures must always be interpreted relative to a baseline state, but establishing a valid resting baseline is exceptionally difficult. In clinical research, a "resting" baseline is rarely a state of pure, neutral calm. Participants frequently experience anticipatory anxiety about the upcoming tasks, carry somatic stress from their daily lives, or feel uneasy in the laboratory environment, leading to distorted baseline readings</w:t>
      </w:r>
      <w:r>
        <w:rPr>
          <w:vertAlign w:val="superscript"/>
        </w:rPr>
        <w:t xml:space="preserve">38</w:t>
      </w:r>
      <w:r>
        <w:t xml:space="preserve">.</w:t>
      </w:r>
    </w:p>
    <w:p>
      <w:pPr>
        <w:pStyle w:val="BodyText"/>
      </w:pPr>
      <w:r>
        <w:t xml:space="preserve">This baseline challenge is compounded by Wilder's Law of Initial Value (LIV)</w:t>
      </w:r>
      <w:r>
        <w:rPr>
          <w:vertAlign w:val="superscript"/>
        </w:rPr>
        <w:t xml:space="preserve">77</w:t>
      </w:r>
      <w:r>
        <w:t xml:space="preserve">. First formulated by Joseph Wilder, the Law of Initial Value states that the direction and magnitude of a physiological response to a stimulus depend directly on the pre-stimulus baseline level of that physiological system</w:t>
      </w:r>
      <w:r>
        <w:rPr>
          <w:vertAlign w:val="superscript"/>
        </w:rPr>
        <w:t xml:space="preserve">77</w:t>
      </w:r>
      <w:r>
        <w:t xml:space="preserve">.</w:t>
      </w:r>
    </w:p>
    <w:p>
      <w:pPr>
        <w:pStyle w:val="BodyText"/>
      </w:pPr>
      <w:r>
        <w:t xml:space="preserve">Specifically, for systems that elevate autonomic function, a high pre-stimulus baseline limits further increases and facilitates larger decreases in response to subsequent stimuli</w:t>
      </w:r>
      <w:r>
        <w:rPr>
          <w:vertAlign w:val="superscript"/>
        </w:rPr>
        <w:t xml:space="preserve">77</w:t>
      </w:r>
      <w:r>
        <w:t xml:space="preserve">. Conversely, a low pre-stimulus baseline allows for larger increases and limits subsequent decreases</w:t>
      </w:r>
      <w:r>
        <w:rPr>
          <w:vertAlign w:val="superscript"/>
        </w:rPr>
        <w:t xml:space="preserve">77</w:t>
      </w:r>
      <w:r>
        <w:t xml:space="preserve">.</w:t>
      </w:r>
    </w:p>
    <w:p>
      <w:pPr>
        <w:pStyle w:val="BlockText"/>
      </w:pPr>
      <w:r>
        <w:t xml:space="preserve">▲</w:t>
        <w:br/>
        <w:t xml:space="preserve">/ \</w:t>
        <w:br/>
        <w:t xml:space="preserve">/ \</w:t>
        <w:br/>
        <w:t xml:space="preserve">/ \</w:t>
        <w:br/>
        <w:t xml:space="preserve">/ \</w:t>
        <w:br/>
        <w:t xml:space="preserve">/ \</w:t>
        <w:br/>
        <w:t xml:space="preserve">HIGH baseline level / \ --&gt; Limits further increases</w:t>
        <w:br/>
        <w:t xml:space="preserve">(e.g., elevated HR/SCL) / \ and facilitates larger decreases</w:t>
        <w:br/>
        <w:t xml:space="preserve">/───────────────\</w:t>
        <w:br/>
        <w:t xml:space="preserve">/ \</w:t>
        <w:br/>
        <w:t xml:space="preserve">/ \</w:t>
        <w:br/>
        <w:t xml:space="preserve">LOW baseline level / \ --&gt; Allows for larger increases</w:t>
        <w:br/>
        <w:t xml:space="preserve">/───────────────────────\ and limits subsequent decreases</w:t>
      </w:r>
    </w:p>
    <w:p>
      <w:pPr>
        <w:pStyle w:val="FirstParagraph"/>
      </w:pPr>
      <w:r>
        <w:t xml:space="preserve">While Wilder's Law applies to cardiovascular metrics like heart rate and blood pressure, its applicability to other measures (such as electrodermal activity and salivation) remains highly debated, with some researchers viewing the effect as a real biological feedback mechanism and others as a purely statistical artifact related to regression to the mean</w:t>
      </w:r>
      <w:r>
        <w:rPr>
          <w:vertAlign w:val="superscript"/>
        </w:rPr>
        <w:t xml:space="preserve">77</w:t>
      </w:r>
      <w:r>
        <w:t xml:space="preserve">.</w:t>
      </w:r>
    </w:p>
    <w:p>
      <w:pPr>
        <w:pStyle w:val="BodyText"/>
      </w:pPr>
      <w:r>
        <w:t xml:space="preserve">To control for baseline variance and initial value dependence, researchers must use statistical corrections such as analysis of covariance (ANCOVA) or residualized change scores rather than simple difference scores.</w:t>
      </w:r>
    </w:p>
    <w:p>
      <w:pPr>
        <w:pStyle w:val="BodyText"/>
      </w:pPr>
      <w:r>
        <w:t xml:space="preserve">Third, signal artifacts present a constant threat to psychophysiological data quality. Physiological signals recorded from the scalp or skin are minute electrical voltages that are easily confounded by:</w:t>
      </w:r>
    </w:p>
    <w:p>
      <w:pPr>
        <w:numPr>
          <w:ilvl w:val="0"/>
          <w:numId w:val="1012"/>
        </w:numPr>
        <w:pStyle w:val="BlockText"/>
      </w:pPr>
      <w:r>
        <w:rPr>
          <w:bCs/>
          <w:b/>
        </w:rPr>
        <w:t xml:space="preserve">Movement Artifacts:</w:t>
      </w:r>
      <w:r>
        <w:t xml:space="preserve"> Gross motor movements, talking, deep breathing, swallowing, or shifts in posture can generate electrical voltages that dwarf genuine physiological signals</w:t>
      </w:r>
      <w:r>
        <w:rPr>
          <w:vertAlign w:val="superscript"/>
        </w:rPr>
        <w:t xml:space="preserve">15</w:t>
      </w:r>
      <w:r>
        <w:t xml:space="preserve">.</w:t>
      </w:r>
    </w:p>
    <w:p>
      <w:pPr>
        <w:numPr>
          <w:ilvl w:val="0"/>
          <w:numId w:val="1012"/>
        </w:numPr>
        <w:pStyle w:val="BlockText"/>
      </w:pPr>
      <w:r>
        <w:rPr>
          <w:bCs/>
          <w:b/>
        </w:rPr>
        <w:t xml:space="preserve">Electrode Artifacts:</w:t>
      </w:r>
      <w:r>
        <w:t xml:space="preserve"> Subtle movements of the sensor relative to the skin, drying of conductive gel, or transient loss of electrode contact can introduce sharp spikes and noise into the signal.</w:t>
      </w:r>
    </w:p>
    <w:p>
      <w:pPr>
        <w:numPr>
          <w:ilvl w:val="0"/>
          <w:numId w:val="1012"/>
        </w:numPr>
        <w:pStyle w:val="BlockText"/>
      </w:pPr>
      <w:r>
        <w:rPr>
          <w:bCs/>
          <w:b/>
        </w:rPr>
        <w:t xml:space="preserve">Electrical Interference:</w:t>
      </w:r>
      <w:r>
        <w:t xml:space="preserve"> Electromagnetic noise from power lines (</w:t>
        <w:drawing>
          <wp:inline>
            <wp:extent cx="772716" cy="236285"/>
            <wp:effectExtent b="0" l="0" r="0" t="0"/>
            <wp:docPr descr="" title="" id="71" name="Picture"/>
            <a:graphic>
              <a:graphicData uri="http://schemas.openxmlformats.org/drawingml/2006/picture">
                <pic:pic>
                  <pic:nvPicPr>
                    <pic:cNvPr descr="media/image1.png" id="72" name="Picture"/>
                    <pic:cNvPicPr>
                      <a:picLocks noChangeArrowheads="1" noChangeAspect="1"/>
                    </pic:cNvPicPr>
                  </pic:nvPicPr>
                  <pic:blipFill>
                    <a:blip r:embed="rId70"/>
                    <a:stretch>
                      <a:fillRect/>
                    </a:stretch>
                  </pic:blipFill>
                  <pic:spPr bwMode="auto">
                    <a:xfrm>
                      <a:off x="0" y="0"/>
                      <a:ext cx="772716" cy="236285"/>
                    </a:xfrm>
                    <a:prstGeom prst="rect">
                      <a:avLst/>
                    </a:prstGeom>
                    <a:noFill/>
                    <a:ln w="9525">
                      <a:noFill/>
                      <a:headEnd/>
                      <a:tailEnd/>
                    </a:ln>
                  </pic:spPr>
                </pic:pic>
              </a:graphicData>
            </a:graphic>
          </wp:inline>
        </w:drawing>
        <w:t xml:space="preserve"> hum), fluorescent lighting, and adjacent electronic equipment can contaminate recordings.</w:t>
      </w:r>
    </w:p>
    <w:p>
      <w:pPr>
        <w:pStyle w:val="FirstParagraph"/>
      </w:pPr>
      <w:r>
        <w:t xml:space="preserve">Because artifacts can easily masquerade as genuine physiological responses (such as movement-induced spikes mimicking electrodermal conductance responses), researchers must implement meticulous data-cleaning procedures to ensure data integrity before drawing clinical inferences</w:t>
      </w:r>
      <w:r>
        <w:rPr>
          <w:vertAlign w:val="superscript"/>
        </w:rPr>
        <w:t xml:space="preserve">38</w:t>
      </w:r>
      <w:r>
        <w:t xml:space="preserve">.</w:t>
      </w:r>
    </w:p>
    <w:p>
      <w:pPr>
        <w:pStyle w:val="BodyText"/>
      </w:pPr>
      <w:r>
        <w:t xml:space="preserve">Fourth, the specificity problem limits the diagnostic utility of psychophysiological markers. Autonomic effector systems are highly non-specific, converging on a many-to-one mapping taxonomy</w:t>
      </w:r>
      <w:r>
        <w:rPr>
          <w:vertAlign w:val="superscript"/>
        </w:rPr>
        <w:t xml:space="preserve">1</w:t>
      </w:r>
      <w:r>
        <w:t xml:space="preserve">.</w:t>
      </w:r>
    </w:p>
    <w:p>
      <w:pPr>
        <w:pStyle w:val="BodyText"/>
      </w:pPr>
      <w:r>
        <w:t xml:space="preserve">For instance, an identical increase in electrodermal conductance can be driven by a wide array of psychological and physiological states, including fear, anger, sexual arousal, deep cognitive effort, physical movement, or ambient temperature changes</w:t>
      </w:r>
      <w:r>
        <w:rPr>
          <w:vertAlign w:val="superscript"/>
        </w:rPr>
        <w:t xml:space="preserve">7</w:t>
      </w:r>
      <w:r>
        <w:t xml:space="preserve">. Consequently, researchers cannot simply infer a specific psychological state from a single physiological change in isolation.</w:t>
      </w:r>
    </w:p>
    <w:p>
      <w:pPr>
        <w:pStyle w:val="BodyText"/>
      </w:pPr>
      <w:r>
        <w:t xml:space="preserve">To overcome this limitation, researchers must use highly controlled experimental designs, evaluate multi-system profiles, and interpret physiological changes within constrained contexts</w:t>
      </w:r>
      <w:r>
        <w:rPr>
          <w:vertAlign w:val="superscript"/>
        </w:rPr>
        <w:t xml:space="preserve">65</w:t>
      </w:r>
      <w:r>
        <w:t xml:space="preserve">.</w:t>
      </w:r>
    </w:p>
    <w:p>
      <w:pPr>
        <w:pStyle w:val="BodyText"/>
      </w:pPr>
      <w:r>
        <w:t xml:space="preserve">Fifth, clinical psychophysiology faces a continuous trade-off between experimental control and ecological validity. Highly controlled laboratory studies allow researchers to isolate specific physiological mechanisms and minimize artifacts, but they do so in an artificial environment that bears little resemblance to real-life situations.</w:t>
      </w:r>
    </w:p>
    <w:p>
      <w:pPr>
        <w:pStyle w:val="BodyText"/>
      </w:pPr>
      <w:r>
        <w:t xml:space="preserve">Conversely, ambulatory and naturalistic paradigms offer high ecological validity, capturing the participant's physiological responses in their real-world environment, but they do so at the cost of experimental control, leaving signals highly vulnerable to movement artifacts and uncontrolled environmental confounds</w:t>
      </w:r>
      <w:r>
        <w:rPr>
          <w:vertAlign w:val="superscript"/>
        </w:rPr>
        <w:t xml:space="preserve">62</w:t>
      </w:r>
      <w:r>
        <w:t xml:space="preserve">.</w:t>
      </w:r>
    </w:p>
    <w:p>
      <w:pPr>
        <w:pStyle w:val="BodyText"/>
      </w:pPr>
      <w:r>
        <w:t xml:space="preserve">Finally, the psychophysiological community has been deeply impacted by the replication crisis and the open science movement</w:t>
      </w:r>
      <w:r>
        <w:rPr>
          <w:vertAlign w:val="superscript"/>
        </w:rPr>
        <w:t xml:space="preserve">80</w:t>
      </w:r>
      <w:r>
        <w:t xml:space="preserve">. Several canonical findings in the early psychophysiological literature—such as highly specific physiological profiles for discrete emotions</w:t>
      </w:r>
      <w:r>
        <w:rPr>
          <w:vertAlign w:val="superscript"/>
        </w:rPr>
        <w:t xml:space="preserve">21</w:t>
      </w:r>
      <w:r>
        <w:t xml:space="preserve"> or original biofeedback paradigms</w:t>
      </w:r>
      <w:r>
        <w:rPr>
          <w:vertAlign w:val="superscript"/>
        </w:rPr>
        <w:t xml:space="preserve">31</w:t>
      </w:r>
      <w:r>
        <w:t xml:space="preserve">—have faced replication failures.</w:t>
      </w:r>
    </w:p>
    <w:p>
      <w:pPr>
        <w:pStyle w:val="BodyText"/>
      </w:pPr>
      <w:r>
        <w:t xml:space="preserve">These replication challenges have been driven by low statistical power, publication bias, and high flexibility in preprocessing and data-analysis pipelines (often referred to as "researcher degrees of freedom").</w:t>
      </w:r>
    </w:p>
    <w:p>
      <w:pPr>
        <w:pStyle w:val="BodyText"/>
      </w:pPr>
      <w:r>
        <w:t xml:space="preserve">To resolve these challenges, the contemporary field is undergoing a structural shift toward open science, emphasizing:</w:t>
      </w:r>
    </w:p>
    <w:p>
      <w:pPr>
        <w:numPr>
          <w:ilvl w:val="0"/>
          <w:numId w:val="1013"/>
        </w:numPr>
        <w:pStyle w:val="BlockText"/>
      </w:pPr>
      <w:r>
        <w:rPr>
          <w:bCs/>
          <w:b/>
        </w:rPr>
        <w:t xml:space="preserve">Preregistration:</w:t>
      </w:r>
      <w:r>
        <w:t xml:space="preserve"> Formally registering hypotheses, experimental designs, and data-analysis pipelines before data collection begins to prevent post-hoc hypothesis generation (</w:t>
        <w:drawing>
          <wp:inline>
            <wp:extent cx="98624" cy="256421"/>
            <wp:effectExtent b="0" l="0" r="0" t="0"/>
            <wp:docPr descr="" title="" id="74" name="Picture"/>
            <a:graphic>
              <a:graphicData uri="http://schemas.openxmlformats.org/drawingml/2006/picture">
                <pic:pic>
                  <pic:nvPicPr>
                    <pic:cNvPr descr="media/image7.png" id="75" name="Picture"/>
                    <pic:cNvPicPr>
                      <a:picLocks noChangeArrowheads="1" noChangeAspect="1"/>
                    </pic:cNvPicPr>
                  </pic:nvPicPr>
                  <pic:blipFill>
                    <a:blip r:embed="rId73"/>
                    <a:stretch>
                      <a:fillRect/>
                    </a:stretch>
                  </pic:blipFill>
                  <pic:spPr bwMode="auto">
                    <a:xfrm>
                      <a:off x="0" y="0"/>
                      <a:ext cx="98624" cy="256421"/>
                    </a:xfrm>
                    <a:prstGeom prst="rect">
                      <a:avLst/>
                    </a:prstGeom>
                    <a:noFill/>
                    <a:ln w="9525">
                      <a:noFill/>
                      <a:headEnd/>
                      <a:tailEnd/>
                    </a:ln>
                  </pic:spPr>
                </pic:pic>
              </a:graphicData>
            </a:graphic>
          </wp:inline>
        </w:drawing>
        <w:t xml:space="preserve">-hacking).</w:t>
      </w:r>
    </w:p>
    <w:p>
      <w:pPr>
        <w:numPr>
          <w:ilvl w:val="0"/>
          <w:numId w:val="1013"/>
        </w:numPr>
        <w:pStyle w:val="BlockText"/>
      </w:pPr>
      <w:r>
        <w:rPr>
          <w:bCs/>
          <w:b/>
        </w:rPr>
        <w:t xml:space="preserve">Standardized Signal-Processing Pipelines:</w:t>
      </w:r>
      <w:r>
        <w:t xml:space="preserve"> Using validated, open-source computational toolboxes (such as </w:t>
      </w:r>
      <w:r>
        <w:rPr>
          <w:iCs/>
          <w:i/>
        </w:rPr>
        <w:t xml:space="preserve">NeuroKit2</w:t>
      </w:r>
      <w:r>
        <w:t xml:space="preserve"> or </w:t>
      </w:r>
      <w:r>
        <w:rPr>
          <w:iCs/>
          <w:i/>
        </w:rPr>
        <w:t xml:space="preserve">MNE</w:t>
      </w:r>
      <w:r>
        <w:t xml:space="preserve">) to ensure processing transparency and reproducibility.</w:t>
      </w:r>
    </w:p>
    <w:p>
      <w:pPr>
        <w:numPr>
          <w:ilvl w:val="0"/>
          <w:numId w:val="1013"/>
        </w:numPr>
        <w:pStyle w:val="BlockText"/>
      </w:pPr>
      <w:r>
        <w:rPr>
          <w:bCs/>
          <w:b/>
        </w:rPr>
        <w:t xml:space="preserve">Collaborative Multi-Lab Studies:</w:t>
      </w:r>
      <w:r>
        <w:t xml:space="preserve"> Conducting highly powered, multi-site replication trials to validate core psychophysiological findings across diverse populations.</w:t>
      </w:r>
    </w:p>
    <w:p>
      <w:pPr>
        <w:pStyle w:val="FirstParagraph"/>
      </w:pPr>
      <w:r>
        <w:t xml:space="preserve">By adopting these open science practices, modern psychophysiology aims to build a robust, reproducible empirical foundation for clinical and translational research</w:t>
      </w:r>
      <w:r>
        <w:rPr>
          <w:vertAlign w:val="superscript"/>
        </w:rPr>
        <w:t xml:space="preserve">80</w:t>
      </w:r>
      <w:r>
        <w:t xml:space="preserve">.</w:t>
      </w:r>
    </w:p>
    <w:bookmarkStart w:id="156" w:name="works-cited"/>
    <w:p>
      <w:pPr>
        <w:pStyle w:val="Heading4"/>
      </w:pPr>
      <w:r>
        <w:t xml:space="preserve">Works cited</w:t>
      </w:r>
    </w:p>
    <w:p>
      <w:pPr>
        <w:numPr>
          <w:ilvl w:val="0"/>
          <w:numId w:val="1014"/>
        </w:numPr>
        <w:pStyle w:val="BlockText"/>
      </w:pPr>
      <w:r>
        <w:t xml:space="preserve">(PDF) Psychophysiology - ResearchGate, </w:t>
      </w:r>
      <w:hyperlink r:id="rId76">
        <w:r>
          <w:rPr>
            <w:rStyle w:val="Hyperlink"/>
            <w:u w:val="single"/>
          </w:rPr>
          <w:t xml:space="preserve">https://www.researchgate.net/publication/266136436_Psychophysiology</w:t>
        </w:r>
      </w:hyperlink>
    </w:p>
    <w:p>
      <w:pPr>
        <w:numPr>
          <w:ilvl w:val="0"/>
          <w:numId w:val="1014"/>
        </w:numPr>
        <w:pStyle w:val="BlockText"/>
      </w:pPr>
      <w:r>
        <w:t xml:space="preserve">Respiratory Sinus Arrhythmia Acts as a Moderator of the Relationship Between Parental Marital Conflict and Adolescents' Internalizing Problems - Frontiers, </w:t>
      </w:r>
      <w:hyperlink r:id="rId77">
        <w:r>
          <w:rPr>
            <w:rStyle w:val="Hyperlink"/>
            <w:u w:val="single"/>
          </w:rPr>
          <w:t xml:space="preserve">https://www.frontiersin.org/journals/neuroscience/articles/10.3389/fnins.2019.00500/full</w:t>
        </w:r>
      </w:hyperlink>
    </w:p>
    <w:p>
      <w:pPr>
        <w:numPr>
          <w:ilvl w:val="0"/>
          <w:numId w:val="1014"/>
        </w:numPr>
        <w:pStyle w:val="BlockText"/>
      </w:pPr>
      <w:r>
        <w:t xml:space="preserve">A model of neurovisceral integration in emotion regulation and dysregulation. - SciSpace, </w:t>
      </w:r>
      <w:hyperlink r:id="rId78">
        <w:r>
          <w:rPr>
            <w:rStyle w:val="Hyperlink"/>
            <w:u w:val="single"/>
          </w:rPr>
          <w:t xml:space="preserve">https://scispace.com/papers/a-model-of-neurovisceral-integration-in-emotion-regulation-19hfnlfq8x</w:t>
        </w:r>
      </w:hyperlink>
    </w:p>
    <w:p>
      <w:pPr>
        <w:numPr>
          <w:ilvl w:val="0"/>
          <w:numId w:val="1014"/>
        </w:numPr>
        <w:pStyle w:val="BlockText"/>
      </w:pPr>
      <w:r>
        <w:t xml:space="preserve">Somatic marker hypothesis - Wikipedia, </w:t>
      </w:r>
      <w:hyperlink r:id="rId79">
        <w:r>
          <w:rPr>
            <w:rStyle w:val="Hyperlink"/>
            <w:u w:val="single"/>
          </w:rPr>
          <w:t xml:space="preserve">https://en.wikipedia.org/wiki/Somatic_marker_hypothesis</w:t>
        </w:r>
      </w:hyperlink>
    </w:p>
    <w:p>
      <w:pPr>
        <w:numPr>
          <w:ilvl w:val="0"/>
          <w:numId w:val="1014"/>
        </w:numPr>
        <w:pStyle w:val="BlockText"/>
      </w:pPr>
      <w:r>
        <w:t xml:space="preserve">A model of neurovisceral integration in emotion regulation and dysregulation., </w:t>
      </w:r>
      <w:hyperlink r:id="rId80">
        <w:r>
          <w:rPr>
            <w:rStyle w:val="Hyperlink"/>
            <w:u w:val="single"/>
          </w:rPr>
          <w:t xml:space="preserve">https://www.semanticscholar.org/paper/A-model-of-neurovisceral-integration-in-emotion-and-Thayer-Lane/c920d9042207280712a25acd53a71ab1ab86c316</w:t>
        </w:r>
      </w:hyperlink>
    </w:p>
    <w:p>
      <w:pPr>
        <w:numPr>
          <w:ilvl w:val="0"/>
          <w:numId w:val="1014"/>
        </w:numPr>
        <w:pStyle w:val="BlockText"/>
      </w:pPr>
      <w:r>
        <w:t xml:space="preserve">Interpersonal physiological regulation during couple support interactions: Examining the role of respiratory sinus arrhythmia and emotional support - Bar-Ilan University, </w:t>
      </w:r>
      <w:hyperlink r:id="rId81">
        <w:r>
          <w:rPr>
            <w:rStyle w:val="Hyperlink"/>
            <w:u w:val="single"/>
          </w:rPr>
          <w:t xml:space="preserve">https://cris.biu.ac.il/en/publications/interpersonal-physiological-regulation-during-couplesupport-inter/</w:t>
        </w:r>
      </w:hyperlink>
    </w:p>
    <w:p>
      <w:pPr>
        <w:numPr>
          <w:ilvl w:val="0"/>
          <w:numId w:val="1014"/>
        </w:numPr>
        <w:pStyle w:val="BlockText"/>
      </w:pPr>
      <w:r>
        <w:t xml:space="preserve">Galvanic Skin Response - Massive Bio, </w:t>
      </w:r>
      <w:hyperlink r:id="rId82">
        <w:r>
          <w:rPr>
            <w:rStyle w:val="Hyperlink"/>
            <w:u w:val="single"/>
          </w:rPr>
          <w:t xml:space="preserve">https://massivebio.com/galvanic-skin-response-bio/</w:t>
        </w:r>
      </w:hyperlink>
    </w:p>
    <w:p>
      <w:pPr>
        <w:numPr>
          <w:ilvl w:val="0"/>
          <w:numId w:val="1014"/>
        </w:numPr>
        <w:pStyle w:val="BlockText"/>
      </w:pPr>
      <w:r>
        <w:t xml:space="preserve">Heart Rate Variability – A Historical Perspective - Frontiers, </w:t>
      </w:r>
      <w:hyperlink r:id="rId83">
        <w:r>
          <w:rPr>
            <w:rStyle w:val="Hyperlink"/>
            <w:u w:val="single"/>
          </w:rPr>
          <w:t xml:space="preserve">https://www.frontiersin.org/journals/physiology/articles/10.3389/fphys.2011.00086/full</w:t>
        </w:r>
      </w:hyperlink>
    </w:p>
    <w:p>
      <w:pPr>
        <w:numPr>
          <w:ilvl w:val="0"/>
          <w:numId w:val="1014"/>
        </w:numPr>
        <w:pStyle w:val="BlockText"/>
      </w:pPr>
      <w:r>
        <w:t xml:space="preserve">Respiratory Sinus Arrhythmia and Hierarchical Dimensions of Psychopathology | Authorea, </w:t>
      </w:r>
      <w:hyperlink r:id="rId84">
        <w:r>
          <w:rPr>
            <w:rStyle w:val="Hyperlink"/>
            <w:u w:val="single"/>
          </w:rPr>
          <w:t xml:space="preserve">https://www.authorea.com/doi/10.22541/au.176362227.70765825</w:t>
        </w:r>
      </w:hyperlink>
    </w:p>
    <w:p>
      <w:pPr>
        <w:numPr>
          <w:ilvl w:val="0"/>
          <w:numId w:val="1014"/>
        </w:numPr>
        <w:pStyle w:val="BlockText"/>
      </w:pPr>
      <w:r>
        <w:t xml:space="preserve">Pre-pandemic autonomic nervous system activity predicts mood regulation expectancies during COVID-19 in Israel - PubMed, </w:t>
      </w:r>
      <w:hyperlink r:id="rId85">
        <w:r>
          <w:rPr>
            <w:rStyle w:val="Hyperlink"/>
            <w:u w:val="single"/>
          </w:rPr>
          <w:t xml:space="preserve">https://pubmed.ncbi.nlm.nih.gov/34329495/</w:t>
        </w:r>
      </w:hyperlink>
    </w:p>
    <w:p>
      <w:pPr>
        <w:numPr>
          <w:ilvl w:val="0"/>
          <w:numId w:val="1014"/>
        </w:numPr>
        <w:pStyle w:val="BlockText"/>
      </w:pPr>
      <w:r>
        <w:t xml:space="preserve">The Human Heart Rate Variability; Neurobiology of Psychophysiological well being and Planetary Resonance - OAText, </w:t>
      </w:r>
      <w:hyperlink r:id="rId86">
        <w:r>
          <w:rPr>
            <w:rStyle w:val="Hyperlink"/>
            <w:u w:val="single"/>
          </w:rPr>
          <w:t xml:space="preserve">https://www.oatext.com/The%20Human%20Heart%20Rate%20Variability%20Neurobiology%20of%20Psychophysiological%20well%20being%20and%20Planetary%20Resonance.php</w:t>
        </w:r>
      </w:hyperlink>
    </w:p>
    <w:p>
      <w:pPr>
        <w:numPr>
          <w:ilvl w:val="0"/>
          <w:numId w:val="1014"/>
        </w:numPr>
        <w:pStyle w:val="BlockText"/>
      </w:pPr>
      <w:r>
        <w:t xml:space="preserve">Claude Bernard and the heart-brain connection: Further elaboration of a model of neurovisceral integration - University of Arizona, </w:t>
      </w:r>
      <w:hyperlink r:id="rId87">
        <w:r>
          <w:rPr>
            <w:rStyle w:val="Hyperlink"/>
            <w:u w:val="single"/>
          </w:rPr>
          <w:t xml:space="preserve">https://experts.arizona.edu/en/publications/claude-bernard-and-the-heart-brain-connection-further-elaboration/</w:t>
        </w:r>
      </w:hyperlink>
    </w:p>
    <w:p>
      <w:pPr>
        <w:numPr>
          <w:ilvl w:val="0"/>
          <w:numId w:val="1014"/>
        </w:numPr>
        <w:pStyle w:val="BlockText"/>
      </w:pPr>
      <w:r>
        <w:t xml:space="preserve">Polyvagal Theory debunked in comprehensive new study - MJA InSight, </w:t>
      </w:r>
      <w:hyperlink r:id="rId88">
        <w:r>
          <w:rPr>
            <w:rStyle w:val="Hyperlink"/>
            <w:u w:val="single"/>
          </w:rPr>
          <w:t xml:space="preserve">https://insightplus.mja.com.au/2026/9/polyvagal-theory-debunked-in-comprehensive-new-study</w:t>
        </w:r>
      </w:hyperlink>
    </w:p>
    <w:p>
      <w:pPr>
        <w:numPr>
          <w:ilvl w:val="0"/>
          <w:numId w:val="1014"/>
        </w:numPr>
        <w:pStyle w:val="BlockText"/>
      </w:pPr>
      <w:r>
        <w:t xml:space="preserve">Polyvagal theory: a journey from physiological observation to neural innervation and clinical insight - Frontiers, </w:t>
      </w:r>
      <w:hyperlink r:id="rId89">
        <w:r>
          <w:rPr>
            <w:rStyle w:val="Hyperlink"/>
            <w:u w:val="single"/>
          </w:rPr>
          <w:t xml:space="preserve">https://www.frontiersin.org/journals/behavioral-neuroscience/articles/10.3389/fnbeh.2025.1659083/full</w:t>
        </w:r>
      </w:hyperlink>
    </w:p>
    <w:p>
      <w:pPr>
        <w:numPr>
          <w:ilvl w:val="0"/>
          <w:numId w:val="1014"/>
        </w:numPr>
        <w:pStyle w:val="BlockText"/>
      </w:pPr>
      <w:r>
        <w:t xml:space="preserve">Cardiac Sympathetic Activation and Parasympathetic Withdrawal During Psychosocial Stress Exposure in Six-Month Old Infants - PMC, </w:t>
      </w:r>
      <w:hyperlink r:id="rId90">
        <w:r>
          <w:rPr>
            <w:rStyle w:val="Hyperlink"/>
            <w:u w:val="single"/>
          </w:rPr>
          <w:t xml:space="preserve">https://pmc.ncbi.nlm.nih.gov/articles/PMC8548071/</w:t>
        </w:r>
      </w:hyperlink>
    </w:p>
    <w:p>
      <w:pPr>
        <w:numPr>
          <w:ilvl w:val="0"/>
          <w:numId w:val="1014"/>
        </w:numPr>
        <w:pStyle w:val="BlockText"/>
      </w:pPr>
      <w:r>
        <w:t xml:space="preserve">Longitudinal Patterns of Autonomic Nervous System Responding to Emotion Evocation among Children with Conduct Problems and/or Depression - PMC, </w:t>
      </w:r>
      <w:hyperlink r:id="rId91">
        <w:r>
          <w:rPr>
            <w:rStyle w:val="Hyperlink"/>
            <w:u w:val="single"/>
          </w:rPr>
          <w:t xml:space="preserve">https://pmc.ncbi.nlm.nih.gov/articles/PMC3532520/</w:t>
        </w:r>
      </w:hyperlink>
    </w:p>
    <w:p>
      <w:pPr>
        <w:numPr>
          <w:ilvl w:val="0"/>
          <w:numId w:val="1014"/>
        </w:numPr>
        <w:pStyle w:val="BlockText"/>
      </w:pPr>
      <w:r>
        <w:t xml:space="preserve">Electrodermal activity - Wikipedia, </w:t>
      </w:r>
      <w:hyperlink r:id="rId92">
        <w:r>
          <w:rPr>
            <w:rStyle w:val="Hyperlink"/>
            <w:u w:val="single"/>
          </w:rPr>
          <w:t xml:space="preserve">https://en.wikipedia.org/wiki/Electrodermal_activity</w:t>
        </w:r>
      </w:hyperlink>
    </w:p>
    <w:p>
      <w:pPr>
        <w:numPr>
          <w:ilvl w:val="0"/>
          <w:numId w:val="1014"/>
        </w:numPr>
        <w:pStyle w:val="BlockText"/>
      </w:pPr>
      <w:r>
        <w:t xml:space="preserve">Galvanic Skin Response (GSR), </w:t>
      </w:r>
      <w:hyperlink r:id="rId93">
        <w:r>
          <w:rPr>
            <w:rStyle w:val="Hyperlink"/>
            <w:u w:val="single"/>
          </w:rPr>
          <w:t xml:space="preserve">https://www.monash.edu/__data/assets/pdf_file/0003/956451/6.-Dokumentov_GSR.pdf</w:t>
        </w:r>
      </w:hyperlink>
    </w:p>
    <w:p>
      <w:pPr>
        <w:numPr>
          <w:ilvl w:val="0"/>
          <w:numId w:val="1014"/>
        </w:numPr>
        <w:pStyle w:val="BlockText"/>
      </w:pPr>
      <w:r>
        <w:t xml:space="preserve">Discoverers of the Galvanic Skin Response | SciSpace, </w:t>
      </w:r>
      <w:hyperlink r:id="rId94">
        <w:r>
          <w:rPr>
            <w:rStyle w:val="Hyperlink"/>
            <w:u w:val="single"/>
          </w:rPr>
          <w:t xml:space="preserve">https://scispace.com/pdf/discoverers-of-the-galvanic-skin-response-3oo6ekc9ok.pdf</w:t>
        </w:r>
      </w:hyperlink>
    </w:p>
    <w:p>
      <w:pPr>
        <w:numPr>
          <w:ilvl w:val="0"/>
          <w:numId w:val="1014"/>
        </w:numPr>
        <w:pStyle w:val="BlockText"/>
      </w:pPr>
      <w:r>
        <w:t xml:space="preserve">Response Specificity in Psychophysiology - Hogrefe eContent, </w:t>
      </w:r>
      <w:hyperlink r:id="rId95">
        <w:r>
          <w:rPr>
            <w:rStyle w:val="Hyperlink"/>
            <w:u w:val="single"/>
          </w:rPr>
          <w:t xml:space="preserve">https://econtent.hogrefe.com/doi/10.1027//0269-8803.14.2.115</w:t>
        </w:r>
      </w:hyperlink>
    </w:p>
    <w:p>
      <w:pPr>
        <w:numPr>
          <w:ilvl w:val="0"/>
          <w:numId w:val="1014"/>
        </w:numPr>
        <w:pStyle w:val="BlockText"/>
      </w:pPr>
      <w:r>
        <w:t xml:space="preserve">Is there consistency and specificity of autonomic changes during emotional episodes? Guidance from the conceptual act theory and psychophysiology - PMC, </w:t>
      </w:r>
      <w:hyperlink r:id="rId96">
        <w:r>
          <w:rPr>
            <w:rStyle w:val="Hyperlink"/>
            <w:u w:val="single"/>
          </w:rPr>
          <w:t xml:space="preserve">https://pmc.ncbi.nlm.nih.gov/articles/PMC4041070/</w:t>
        </w:r>
      </w:hyperlink>
    </w:p>
    <w:p>
      <w:pPr>
        <w:numPr>
          <w:ilvl w:val="0"/>
          <w:numId w:val="1014"/>
        </w:numPr>
        <w:pStyle w:val="BlockText"/>
      </w:pPr>
      <w:r>
        <w:t xml:space="preserve">EGO STRENGTH AND RESPONSE STEREOTYPY - Roessler - 1964 - Psychophysiology - Wiley Online Library - DOI, </w:t>
      </w:r>
      <w:hyperlink r:id="rId97">
        <w:r>
          <w:rPr>
            <w:rStyle w:val="Hyperlink"/>
            <w:u w:val="single"/>
          </w:rPr>
          <w:t xml:space="preserve">https://doi.org/10.1111/j.1469-8986.1964.tb03229.x</w:t>
        </w:r>
      </w:hyperlink>
    </w:p>
    <w:p>
      <w:pPr>
        <w:numPr>
          <w:ilvl w:val="0"/>
          <w:numId w:val="1014"/>
        </w:numPr>
        <w:pStyle w:val="BlockText"/>
      </w:pPr>
      <w:r>
        <w:t xml:space="preserve">The cold pressor test and autonomic function: a review and integration. - SciSpace, </w:t>
      </w:r>
      <w:hyperlink r:id="rId98">
        <w:r>
          <w:rPr>
            <w:rStyle w:val="Hyperlink"/>
            <w:u w:val="single"/>
          </w:rPr>
          <w:t xml:space="preserve">https://scispace.com/pdf/the-cold-pressor-test-and-autonomic-function-a-review-and-4hzk4ijzzy.pdf</w:t>
        </w:r>
      </w:hyperlink>
    </w:p>
    <w:p>
      <w:pPr>
        <w:numPr>
          <w:ilvl w:val="0"/>
          <w:numId w:val="1014"/>
        </w:numPr>
        <w:pStyle w:val="BlockText"/>
      </w:pPr>
      <w:r>
        <w:t xml:space="preserve">Somatic response patterning and stress : some revisions of activation theory, </w:t>
      </w:r>
      <w:hyperlink r:id="rId99">
        <w:r>
          <w:rPr>
            <w:rStyle w:val="Hyperlink"/>
            <w:u w:val="single"/>
          </w:rPr>
          <w:t xml:space="preserve">https://www.semanticscholar.org/paper/Somatic-response-patterning-and-stress-%3A-some-of-Lacey/a244602a4d0580cc999bf458acf7463d3d830cbe</w:t>
        </w:r>
      </w:hyperlink>
    </w:p>
    <w:p>
      <w:pPr>
        <w:numPr>
          <w:ilvl w:val="0"/>
          <w:numId w:val="1014"/>
        </w:numPr>
        <w:pStyle w:val="BlockText"/>
      </w:pPr>
      <w:r>
        <w:t xml:space="preserve">Attention and Effort - Amazon S3, </w:t>
      </w:r>
      <w:hyperlink r:id="rId100">
        <w:r>
          <w:rPr>
            <w:rStyle w:val="Hyperlink"/>
            <w:u w:val="single"/>
          </w:rPr>
          <w:t xml:space="preserve">https://s3.amazonaws.com/knowen-production/big_attachments/fdf0161367c4801ac8b5a6cc42e8413d/Attention+and+Effort+-+Kahneman.pdf</w:t>
        </w:r>
      </w:hyperlink>
    </w:p>
    <w:p>
      <w:pPr>
        <w:numPr>
          <w:ilvl w:val="0"/>
          <w:numId w:val="1014"/>
        </w:numPr>
        <w:pStyle w:val="BlockText"/>
      </w:pPr>
      <w:r>
        <w:t xml:space="preserve">Heart rate and skin conductance responding during three attention-direction tasks, </w:t>
      </w:r>
      <w:hyperlink r:id="rId101">
        <w:r>
          <w:rPr>
            <w:rStyle w:val="Hyperlink"/>
            <w:u w:val="single"/>
          </w:rPr>
          <w:t xml:space="preserve">https://www.researchgate.net/publication/271957560_Heart_rate_and_skin_conductance_responding_during_three_attention-direction_tasks</w:t>
        </w:r>
      </w:hyperlink>
    </w:p>
    <w:p>
      <w:pPr>
        <w:numPr>
          <w:ilvl w:val="0"/>
          <w:numId w:val="1014"/>
        </w:numPr>
        <w:pStyle w:val="BlockText"/>
      </w:pPr>
      <w:r>
        <w:t xml:space="preserve">attentional focus across modalities: psychophysiological and individual differences approach - University of Portsmouth, </w:t>
      </w:r>
      <w:hyperlink r:id="rId102">
        <w:r>
          <w:rPr>
            <w:rStyle w:val="Hyperlink"/>
            <w:u w:val="single"/>
          </w:rPr>
          <w:t xml:space="preserve">https://pure.port.ac.uk/ws/portalfiles/portal/100367723/TVM_PhD_Thesis_-_Psychophysiology_of_Attention.pdf</w:t>
        </w:r>
      </w:hyperlink>
    </w:p>
    <w:p>
      <w:pPr>
        <w:numPr>
          <w:ilvl w:val="0"/>
          <w:numId w:val="1014"/>
        </w:numPr>
        <w:pStyle w:val="BlockText"/>
      </w:pPr>
      <w:r>
        <w:t xml:space="preserve">Quiet heart and quiet eye: Cardiac and ocular correlates of preparation for action - Bangor University, </w:t>
      </w:r>
      <w:hyperlink r:id="rId103">
        <w:r>
          <w:rPr>
            <w:rStyle w:val="Hyperlink"/>
            <w:u w:val="single"/>
          </w:rPr>
          <w:t xml:space="preserve">https://research.bangor.ac.uk/portal/en/researchoutputs/quiet-heart-and-quiet-eye-cardiac-and-ocular-correlates-of-preparation-for-action(3846e672-71ab-4d2e-8ee5-5ecf1b6f228c).html</w:t>
        </w:r>
      </w:hyperlink>
    </w:p>
    <w:p>
      <w:pPr>
        <w:numPr>
          <w:ilvl w:val="0"/>
          <w:numId w:val="1014"/>
        </w:numPr>
        <w:pStyle w:val="BlockText"/>
      </w:pPr>
      <w:r>
        <w:t xml:space="preserve">Cardiac-somatic coupling during the foreperiod of a simple reaction time task, </w:t>
      </w:r>
      <w:hyperlink r:id="rId104">
        <w:r>
          <w:rPr>
            <w:rStyle w:val="Hyperlink"/>
            <w:u w:val="single"/>
          </w:rPr>
          <w:t xml:space="preserve">https://www.researchgate.net/publication/16733476_Cardiac-somatic_coupling_during_the_foreperiod_of_a_simple_reaction_time_task</w:t>
        </w:r>
      </w:hyperlink>
    </w:p>
    <w:p>
      <w:pPr>
        <w:numPr>
          <w:ilvl w:val="0"/>
          <w:numId w:val="1014"/>
        </w:numPr>
        <w:pStyle w:val="BlockText"/>
      </w:pPr>
      <w:r>
        <w:t xml:space="preserve">Obrist P A, Webb R A, SuttererJR &amp; Howard J L. The cardiac-somatic relationship: some reformulations. Psychophysiology 6:569, </w:t>
      </w:r>
      <w:hyperlink r:id="rId105">
        <w:r>
          <w:rPr>
            <w:rStyle w:val="Hyperlink"/>
            <w:u w:val="single"/>
          </w:rPr>
          <w:t xml:space="preserve">https://garfield.library.upenn.edu/classics1986/A1986C590300001.pdf</w:t>
        </w:r>
      </w:hyperlink>
    </w:p>
    <w:p>
      <w:pPr>
        <w:numPr>
          <w:ilvl w:val="0"/>
          <w:numId w:val="1014"/>
        </w:numPr>
        <w:pStyle w:val="BlockText"/>
      </w:pPr>
      <w:r>
        <w:t xml:space="preserve">The Biofeedback Odyssey, </w:t>
      </w:r>
      <w:hyperlink r:id="rId106">
        <w:r>
          <w:rPr>
            <w:rStyle w:val="Hyperlink"/>
            <w:u w:val="single"/>
          </w:rPr>
          <w:t xml:space="preserve">https://sagolcenter.org.il/wp-content/uploads/2021/08/rolnick2010.pdf</w:t>
        </w:r>
      </w:hyperlink>
    </w:p>
    <w:p>
      <w:pPr>
        <w:numPr>
          <w:ilvl w:val="0"/>
          <w:numId w:val="1014"/>
        </w:numPr>
        <w:pStyle w:val="BlockText"/>
      </w:pPr>
      <w:r>
        <w:t xml:space="preserve">the History and definitions of Biofeedback and Applied Psychophysiology - Guilford Press, </w:t>
      </w:r>
      <w:hyperlink r:id="rId107">
        <w:r>
          <w:rPr>
            <w:rStyle w:val="Hyperlink"/>
            <w:u w:val="single"/>
          </w:rPr>
          <w:t xml:space="preserve">https://www.guilford.com/excerpts/schwartz.pdf</w:t>
        </w:r>
      </w:hyperlink>
    </w:p>
    <w:p>
      <w:pPr>
        <w:numPr>
          <w:ilvl w:val="0"/>
          <w:numId w:val="1014"/>
        </w:numPr>
        <w:pStyle w:val="BlockText"/>
      </w:pPr>
      <w:r>
        <w:t xml:space="preserve">Heart Rate Variability in Stress-related Fatigue, Adolescent Anxiety and Depression and its Connection to Lifestyle - Diva-Portal.org, </w:t>
      </w:r>
      <w:hyperlink r:id="rId108">
        <w:r>
          <w:rPr>
            <w:rStyle w:val="Hyperlink"/>
            <w:u w:val="single"/>
          </w:rPr>
          <w:t xml:space="preserve">https://www.diva-portal.org/smash/get/diva2:345553/INSIDE01.pdf</w:t>
        </w:r>
      </w:hyperlink>
    </w:p>
    <w:p>
      <w:pPr>
        <w:numPr>
          <w:ilvl w:val="0"/>
          <w:numId w:val="1014"/>
        </w:numPr>
        <w:pStyle w:val="BlockText"/>
      </w:pPr>
      <w:r>
        <w:t xml:space="preserve">Heart Rate Variability | Circulation - American Heart Association Journals, </w:t>
      </w:r>
      <w:hyperlink r:id="rId109">
        <w:r>
          <w:rPr>
            <w:rStyle w:val="Hyperlink"/>
            <w:u w:val="single"/>
          </w:rPr>
          <w:t xml:space="preserve">https://www.ahajournals.org/doi/10.1161/01.cir.93.5.1043</w:t>
        </w:r>
      </w:hyperlink>
    </w:p>
    <w:p>
      <w:pPr>
        <w:numPr>
          <w:ilvl w:val="0"/>
          <w:numId w:val="1014"/>
        </w:numPr>
        <w:pStyle w:val="BlockText"/>
      </w:pPr>
      <w:r>
        <w:t xml:space="preserve">Measuring Practice Effort, </w:t>
      </w:r>
      <w:hyperlink r:id="rId110">
        <w:r>
          <w:rPr>
            <w:rStyle w:val="Hyperlink"/>
            <w:u w:val="single"/>
          </w:rPr>
          <w:t xml:space="preserve">http://coachsci.sdsu.edu/csa/vol15/sayers.htm</w:t>
        </w:r>
      </w:hyperlink>
    </w:p>
    <w:p>
      <w:pPr>
        <w:numPr>
          <w:ilvl w:val="0"/>
          <w:numId w:val="1014"/>
        </w:numPr>
        <w:pStyle w:val="BlockText"/>
      </w:pPr>
      <w:r>
        <w:t xml:space="preserve">Heart rate variability and autonomic activity at rest and during exercise in various physiological conditions, </w:t>
      </w:r>
      <w:hyperlink r:id="rId111">
        <w:r>
          <w:rPr>
            <w:rStyle w:val="Hyperlink"/>
            <w:u w:val="single"/>
          </w:rPr>
          <w:t xml:space="preserve">https://www.dsu.univr.it/documenti/OccorrenzaIns/matdid/matdid513108.pdf</w:t>
        </w:r>
      </w:hyperlink>
    </w:p>
    <w:p>
      <w:pPr>
        <w:numPr>
          <w:ilvl w:val="0"/>
          <w:numId w:val="1014"/>
        </w:numPr>
        <w:pStyle w:val="BlockText"/>
      </w:pPr>
      <w:r>
        <w:t xml:space="preserve">Spectral Analysis of Heart Rate Variability: Time Window Matters - PMC, </w:t>
      </w:r>
      <w:hyperlink r:id="rId112">
        <w:r>
          <w:rPr>
            <w:rStyle w:val="Hyperlink"/>
            <w:u w:val="single"/>
          </w:rPr>
          <w:t xml:space="preserve">https://pmc.ncbi.nlm.nih.gov/articles/PMC6548839/</w:t>
        </w:r>
      </w:hyperlink>
    </w:p>
    <w:p>
      <w:pPr>
        <w:numPr>
          <w:ilvl w:val="0"/>
          <w:numId w:val="1014"/>
        </w:numPr>
        <w:pStyle w:val="BlockText"/>
      </w:pPr>
      <w:r>
        <w:t xml:space="preserve">Cardiovascular and affective recovery from anticipatory threat - PMC - NIH, </w:t>
      </w:r>
      <w:hyperlink r:id="rId113">
        <w:r>
          <w:rPr>
            <w:rStyle w:val="Hyperlink"/>
            <w:u w:val="single"/>
          </w:rPr>
          <w:t xml:space="preserve">https://pmc.ncbi.nlm.nih.gov/articles/PMC2875335/</w:t>
        </w:r>
      </w:hyperlink>
    </w:p>
    <w:p>
      <w:pPr>
        <w:numPr>
          <w:ilvl w:val="0"/>
          <w:numId w:val="1014"/>
        </w:numPr>
        <w:pStyle w:val="BlockText"/>
      </w:pPr>
      <w:r>
        <w:t xml:space="preserve">(PDF) Evidence for differentiation of arousal and activation in normal adults - ResearchGate, </w:t>
      </w:r>
      <w:hyperlink r:id="rId114">
        <w:r>
          <w:rPr>
            <w:rStyle w:val="Hyperlink"/>
            <w:u w:val="single"/>
          </w:rPr>
          <w:t xml:space="preserve">https://www.researchgate.net/publication/6148858_Evidence_for_differentiation_of_arousal_and_activation_in_normal_adults</w:t>
        </w:r>
      </w:hyperlink>
    </w:p>
    <w:p>
      <w:pPr>
        <w:numPr>
          <w:ilvl w:val="0"/>
          <w:numId w:val="1014"/>
        </w:numPr>
        <w:pStyle w:val="BlockText"/>
      </w:pPr>
      <w:r>
        <w:t xml:space="preserve">Descartes' Error - Wikipedia, </w:t>
      </w:r>
      <w:hyperlink r:id="rId115">
        <w:r>
          <w:rPr>
            <w:rStyle w:val="Hyperlink"/>
            <w:u w:val="single"/>
          </w:rPr>
          <w:t xml:space="preserve">https://en.wikipedia.org/wiki/Descartes%27_Error</w:t>
        </w:r>
      </w:hyperlink>
    </w:p>
    <w:p>
      <w:pPr>
        <w:numPr>
          <w:ilvl w:val="0"/>
          <w:numId w:val="1014"/>
        </w:numPr>
        <w:pStyle w:val="BlockText"/>
      </w:pPr>
      <w:r>
        <w:t xml:space="preserve">Descartes' Error: Emotion, Reason and the Human Brain - Antonio R. Damasio, </w:t>
      </w:r>
      <w:hyperlink r:id="rId116">
        <w:r>
          <w:rPr>
            <w:rStyle w:val="Hyperlink"/>
            <w:u w:val="single"/>
          </w:rPr>
          <w:t xml:space="preserve">https://books.google.com/books/about/Descartes_Error.html?id=b6etQgAACAAJ</w:t>
        </w:r>
      </w:hyperlink>
    </w:p>
    <w:p>
      <w:pPr>
        <w:numPr>
          <w:ilvl w:val="0"/>
          <w:numId w:val="1014"/>
        </w:numPr>
        <w:pStyle w:val="BlockText"/>
      </w:pPr>
      <w:r>
        <w:t xml:space="preserve">Descartes' Error: Emotion, Reason and the Human Brain by António Damásio | Goodreads, </w:t>
      </w:r>
      <w:hyperlink r:id="rId117">
        <w:r>
          <w:rPr>
            <w:rStyle w:val="Hyperlink"/>
            <w:u w:val="single"/>
          </w:rPr>
          <w:t xml:space="preserve">https://www.goodreads.com/fr/book/show/103867</w:t>
        </w:r>
      </w:hyperlink>
    </w:p>
    <w:p>
      <w:pPr>
        <w:numPr>
          <w:ilvl w:val="0"/>
          <w:numId w:val="1014"/>
        </w:numPr>
        <w:pStyle w:val="BlockText"/>
      </w:pPr>
      <w:r>
        <w:t xml:space="preserve">Somatic Marker Hypothesis - The Decision Lab, </w:t>
      </w:r>
      <w:hyperlink r:id="rId118">
        <w:r>
          <w:rPr>
            <w:rStyle w:val="Hyperlink"/>
            <w:u w:val="single"/>
          </w:rPr>
          <w:t xml:space="preserve">https://thedecisionlab.com/reference-guide/psychology/somatic-marker-hypothesis</w:t>
        </w:r>
      </w:hyperlink>
    </w:p>
    <w:p>
      <w:pPr>
        <w:numPr>
          <w:ilvl w:val="0"/>
          <w:numId w:val="1014"/>
        </w:numPr>
        <w:pStyle w:val="BlockText"/>
      </w:pPr>
      <w:r>
        <w:t xml:space="preserve">Editorial: Iowa Gambling Task, Somatic Marker Hypothesis, and Neuroeconomics: Rationality and Emotion in Decision Under Uncertainty - Frontiers, </w:t>
      </w:r>
      <w:hyperlink r:id="rId119">
        <w:r>
          <w:rPr>
            <w:rStyle w:val="Hyperlink"/>
            <w:u w:val="single"/>
          </w:rPr>
          <w:t xml:space="preserve">https://www.frontiersin.org/journals/psychology/articles/10.3389/fpsyg.2022.848603/full</w:t>
        </w:r>
      </w:hyperlink>
    </w:p>
    <w:p>
      <w:pPr>
        <w:numPr>
          <w:ilvl w:val="0"/>
          <w:numId w:val="1014"/>
        </w:numPr>
        <w:pStyle w:val="BlockText"/>
      </w:pPr>
      <w:r>
        <w:t xml:space="preserve">Somatic Marker Hypothesis, </w:t>
      </w:r>
      <w:hyperlink r:id="rId120">
        <w:r>
          <w:rPr>
            <w:rStyle w:val="Hyperlink"/>
            <w:u w:val="single"/>
          </w:rPr>
          <w:t xml:space="preserve">https://people.ict.usc.edu/~gratch/CSCI534/SomaticMarkerHypothesis_AffectiveComputing_2017.pdf</w:t>
        </w:r>
      </w:hyperlink>
    </w:p>
    <w:p>
      <w:pPr>
        <w:numPr>
          <w:ilvl w:val="0"/>
          <w:numId w:val="1014"/>
        </w:numPr>
        <w:pStyle w:val="BlockText"/>
      </w:pPr>
      <w:r>
        <w:t xml:space="preserve">(PDF) The Somatic Marker Hypotheses, and What the Iowa Gambling Task Does and Does not Show - ResearchGate, </w:t>
      </w:r>
      <w:hyperlink r:id="rId121">
        <w:r>
          <w:rPr>
            <w:rStyle w:val="Hyperlink"/>
            <w:u w:val="single"/>
          </w:rPr>
          <w:t xml:space="preserve">https://www.researchgate.net/publication/31029473_The_Somatic_Marker_Hypotheses_and_What_the_Iowa_Gambling_Task_Does_and_Does_not_Show</w:t>
        </w:r>
      </w:hyperlink>
    </w:p>
    <w:p>
      <w:pPr>
        <w:numPr>
          <w:ilvl w:val="0"/>
          <w:numId w:val="1014"/>
        </w:numPr>
        <w:pStyle w:val="BlockText"/>
      </w:pPr>
      <w:r>
        <w:t xml:space="preserve">The Somatic Marker Hypotheses, and What the Iowa Gambling Task Does and Does not Show | The British Journal for the Philosophy of Science, </w:t>
      </w:r>
      <w:hyperlink r:id="rId122">
        <w:r>
          <w:rPr>
            <w:rStyle w:val="Hyperlink"/>
            <w:u w:val="single"/>
          </w:rPr>
          <w:t xml:space="preserve">https://www.journals.uchicago.edu/doi/10.1093/bjps/axm045</w:t>
        </w:r>
      </w:hyperlink>
    </w:p>
    <w:p>
      <w:pPr>
        <w:numPr>
          <w:ilvl w:val="0"/>
          <w:numId w:val="1014"/>
        </w:numPr>
        <w:pStyle w:val="BlockText"/>
      </w:pPr>
      <w:r>
        <w:t xml:space="preserve">The Polyvagal Theory under fire: According to Paul Grossman, it is, on the whole, probably incorrect and has been disproved - Psychotherapie Berlin - Dr. Stemper, </w:t>
      </w:r>
      <w:hyperlink r:id="rId123">
        <w:r>
          <w:rPr>
            <w:rStyle w:val="Hyperlink"/>
            <w:u w:val="single"/>
          </w:rPr>
          <w:t xml:space="preserve">https://www.praxis-psychologie-berlin.de/en/wikiblog-english/articles/the-polyvagal-theory-under-fire-according-to-paul-grossman-it-is-on-the-whole-probably-incorrect-and-has-been-disproved</w:t>
        </w:r>
      </w:hyperlink>
    </w:p>
    <w:p>
      <w:pPr>
        <w:numPr>
          <w:ilvl w:val="0"/>
          <w:numId w:val="1014"/>
        </w:numPr>
        <w:pStyle w:val="BlockText"/>
      </w:pPr>
      <w:r>
        <w:t xml:space="preserve">Why The Polyvagal Theory Is Untenable: An international expert evaluation of the polyvagal theory and commentary upon Porges, S.W. (2025). Polyvagal theory: current status, clinical applications, and future directions. Clin. Neuropsychiatry, 22(3), 169-184 - PubMed, </w:t>
      </w:r>
      <w:hyperlink r:id="rId124">
        <w:r>
          <w:rPr>
            <w:rStyle w:val="Hyperlink"/>
            <w:u w:val="single"/>
          </w:rPr>
          <w:t xml:space="preserve">https://pubmed.ncbi.nlm.nih.gov/41768017/</w:t>
        </w:r>
      </w:hyperlink>
    </w:p>
    <w:p>
      <w:pPr>
        <w:numPr>
          <w:ilvl w:val="0"/>
          <w:numId w:val="1014"/>
        </w:numPr>
        <w:pStyle w:val="BlockText"/>
      </w:pPr>
      <w:r>
        <w:t xml:space="preserve">WHY THE POLYVAGAL THEORY IS UNTENABLE. An international expert evaluation of the polyvagal theory and commentary upon Porges, S.W. (2025). Polyvagal theory: current status, clinical applications, and future directions. Clin. Neuropsychiatry, 22(3), 169-184 | Clinical Neuropsychiatry, </w:t>
      </w:r>
      <w:hyperlink r:id="rId125">
        <w:r>
          <w:rPr>
            <w:rStyle w:val="Hyperlink"/>
            <w:u w:val="single"/>
          </w:rPr>
          <w:t xml:space="preserve">https://www.clinicalneuropsychiatry.org/download/why-the-polyvagal-theory-is-untenable-an-international-expert-evaluation-of-the-polyvagal-theory-and-commentary-upon-porges-s-w-2025-polyvagal-theory-current-status-clinical-applications-and/</w:t>
        </w:r>
      </w:hyperlink>
    </w:p>
    <w:p>
      <w:pPr>
        <w:numPr>
          <w:ilvl w:val="0"/>
          <w:numId w:val="1014"/>
        </w:numPr>
        <w:pStyle w:val="BlockText"/>
      </w:pPr>
      <w:r>
        <w:t xml:space="preserve">Significant, Not Sacred: A Clinical Educator's Response to Grossman et al. - Trauma Therapist Institute, </w:t>
      </w:r>
      <w:hyperlink r:id="rId126">
        <w:r>
          <w:rPr>
            <w:rStyle w:val="Hyperlink"/>
            <w:u w:val="single"/>
          </w:rPr>
          <w:t xml:space="preserve">https://www.traumatherapistinstitute.com/trauma-therapist-institute-blog/blog/response-to-grossman-polyvagal-theory-critique</w:t>
        </w:r>
      </w:hyperlink>
    </w:p>
    <w:p>
      <w:pPr>
        <w:numPr>
          <w:ilvl w:val="0"/>
          <w:numId w:val="1014"/>
        </w:numPr>
        <w:pStyle w:val="BlockText"/>
      </w:pPr>
      <w:r>
        <w:t xml:space="preserve">Respiratory Sinus Arrhythmia Reactivity Predicts Emotion Regulation and Depressive Symptoms in At-risk and Control Children - PMC, </w:t>
      </w:r>
      <w:hyperlink r:id="rId127">
        <w:r>
          <w:rPr>
            <w:rStyle w:val="Hyperlink"/>
            <w:u w:val="single"/>
          </w:rPr>
          <w:t xml:space="preserve">https://pmc.ncbi.nlm.nih.gov/articles/PMC2848485/</w:t>
        </w:r>
      </w:hyperlink>
    </w:p>
    <w:p>
      <w:pPr>
        <w:numPr>
          <w:ilvl w:val="0"/>
          <w:numId w:val="1014"/>
        </w:numPr>
        <w:pStyle w:val="BlockText"/>
      </w:pPr>
      <w:r>
        <w:t xml:space="preserve">When a Critique Becomes Untenable: A Scholarly Response to Grossman et al.'s Evaluation of Polyvagal Theory | Clinical Neuropsychiatry, </w:t>
      </w:r>
      <w:hyperlink r:id="rId128">
        <w:r>
          <w:rPr>
            <w:rStyle w:val="Hyperlink"/>
            <w:u w:val="single"/>
          </w:rPr>
          <w:t xml:space="preserve">https://www.clinicalneuropsychiatry.org/download/when-a-critique-becomes-untenable-a-scholarly-response-to-grossman-et-al-s-evaluation-of-polyvagal-theory/</w:t>
        </w:r>
      </w:hyperlink>
    </w:p>
    <w:p>
      <w:pPr>
        <w:numPr>
          <w:ilvl w:val="0"/>
          <w:numId w:val="1014"/>
        </w:numPr>
        <w:pStyle w:val="BlockText"/>
      </w:pPr>
      <w:r>
        <w:t xml:space="preserve">Critical Discussion of Polyvagal Theory, </w:t>
      </w:r>
      <w:hyperlink r:id="rId129">
        <w:r>
          <w:rPr>
            <w:rStyle w:val="Hyperlink"/>
            <w:u w:val="single"/>
          </w:rPr>
          <w:t xml:space="preserve">https://www.polyvagalinstitute.org/criticaldiscussionofpolyvagaltheory</w:t>
        </w:r>
      </w:hyperlink>
    </w:p>
    <w:p>
      <w:pPr>
        <w:numPr>
          <w:ilvl w:val="0"/>
          <w:numId w:val="1014"/>
        </w:numPr>
        <w:pStyle w:val="BlockText"/>
      </w:pPr>
      <w:r>
        <w:t xml:space="preserve">Why the polyvagal theory is untenable - ResearchGate, </w:t>
      </w:r>
      <w:hyperlink r:id="rId130">
        <w:r>
          <w:rPr>
            <w:rStyle w:val="Hyperlink"/>
            <w:u w:val="single"/>
          </w:rPr>
          <w:t xml:space="preserve">https://www.researchgate.net/profile/Paul-Grossman/publication/400718181_THE_POLYVAGAL_THEORY_IS_UNTENABLE_An_international_expert_evaluation_of_the_polyvagal_theory_and_commentary_upon_Porges/links/698def9112f837212a1a47f2/THE-POLYVAGAL-THEORY-IS-UNTENABLE-An-international-expert-evaluation-of-the-polyvagal-theory-and-commentary-upon-Porges.pdf</w:t>
        </w:r>
      </w:hyperlink>
    </w:p>
    <w:p>
      <w:pPr>
        <w:numPr>
          <w:ilvl w:val="0"/>
          <w:numId w:val="1014"/>
        </w:numPr>
        <w:pStyle w:val="BlockText"/>
      </w:pPr>
      <w:r>
        <w:t xml:space="preserve">When A Critique Becomes Untenable: A Scholarly Response To Grossman Et Al.'S Evaluation Of Polyvagal Theory - PMC, </w:t>
      </w:r>
      <w:hyperlink r:id="rId131">
        <w:r>
          <w:rPr>
            <w:rStyle w:val="Hyperlink"/>
            <w:u w:val="single"/>
          </w:rPr>
          <w:t xml:space="preserve">https://pmc.ncbi.nlm.nih.gov/articles/PMC12937496/</w:t>
        </w:r>
      </w:hyperlink>
    </w:p>
    <w:p>
      <w:pPr>
        <w:numPr>
          <w:ilvl w:val="0"/>
          <w:numId w:val="1014"/>
        </w:numPr>
        <w:pStyle w:val="BlockText"/>
      </w:pPr>
      <w:r>
        <w:t xml:space="preserve">(PDF) When A Critique Becomes Untenable: A Scholarly Response To Grossman Et Al.'S Evaluation Of Polyvagal Theory - ResearchGate, </w:t>
      </w:r>
      <w:hyperlink r:id="rId132">
        <w:r>
          <w:rPr>
            <w:rStyle w:val="Hyperlink"/>
            <w:u w:val="single"/>
          </w:rPr>
          <w:t xml:space="preserve">https://www.researchgate.net/publication/401474807_When_A_Critique_Becomes_Untenable_A_Scholarly_Response_To_Grossman_Et_Al'S_Evaluation_Of_Polyvagal_Theory</w:t>
        </w:r>
      </w:hyperlink>
    </w:p>
    <w:p>
      <w:pPr>
        <w:numPr>
          <w:ilvl w:val="0"/>
          <w:numId w:val="1014"/>
        </w:numPr>
        <w:pStyle w:val="BlockText"/>
      </w:pPr>
      <w:r>
        <w:t xml:space="preserve">When A Critique Becomes Untenable: A Scholarly Response To Grossman Et Al.'S Evaluation Of Polyvagal Theory - PubMed, </w:t>
      </w:r>
      <w:hyperlink r:id="rId133">
        <w:r>
          <w:rPr>
            <w:rStyle w:val="Hyperlink"/>
            <w:u w:val="single"/>
          </w:rPr>
          <w:t xml:space="preserve">https://pubmed.ncbi.nlm.nih.gov/41768026/</w:t>
        </w:r>
      </w:hyperlink>
    </w:p>
    <w:p>
      <w:pPr>
        <w:numPr>
          <w:ilvl w:val="0"/>
          <w:numId w:val="1014"/>
        </w:numPr>
        <w:pStyle w:val="BlockText"/>
      </w:pPr>
      <w:r>
        <w:t xml:space="preserve">A Somatic Perspective on Working with Modes in Schema Therapy: An Advanced Experiential Self-practice Workshop (Part 3), </w:t>
      </w:r>
      <w:hyperlink r:id="rId134">
        <w:r>
          <w:rPr>
            <w:rStyle w:val="Hyperlink"/>
            <w:u w:val="single"/>
          </w:rPr>
          <w:t xml:space="preserve">https://schematherapysociety.org/event-6354024</w:t>
        </w:r>
      </w:hyperlink>
    </w:p>
    <w:p>
      <w:pPr>
        <w:numPr>
          <w:ilvl w:val="0"/>
          <w:numId w:val="1014"/>
        </w:numPr>
        <w:pStyle w:val="BlockText"/>
      </w:pPr>
      <w:r>
        <w:t xml:space="preserve">A model of neurovisceral integration in emotion regulation and dysregulation - PubMed, </w:t>
      </w:r>
      <w:hyperlink r:id="rId135">
        <w:r>
          <w:rPr>
            <w:rStyle w:val="Hyperlink"/>
            <w:u w:val="single"/>
          </w:rPr>
          <w:t xml:space="preserve">https://pubmed.ncbi.nlm.nih.gov/11163422/</w:t>
        </w:r>
      </w:hyperlink>
    </w:p>
    <w:p>
      <w:pPr>
        <w:numPr>
          <w:ilvl w:val="0"/>
          <w:numId w:val="1014"/>
        </w:numPr>
        <w:pStyle w:val="BlockText"/>
      </w:pPr>
      <w:r>
        <w:t xml:space="preserve">Galvanic Skin Response (GSR) - BrainSigns, </w:t>
      </w:r>
      <w:hyperlink r:id="rId136">
        <w:r>
          <w:rPr>
            <w:rStyle w:val="Hyperlink"/>
            <w:u w:val="single"/>
          </w:rPr>
          <w:t xml:space="preserve">https://www.brainsigns.com/en/r-d/technologies/galvanic-skin-response-gsr</w:t>
        </w:r>
      </w:hyperlink>
    </w:p>
    <w:p>
      <w:pPr>
        <w:numPr>
          <w:ilvl w:val="0"/>
          <w:numId w:val="1014"/>
        </w:numPr>
        <w:pStyle w:val="BlockText"/>
      </w:pPr>
      <w:r>
        <w:t xml:space="preserve">Milstein Nir | The Gonda Multidisciplinary Brain Research Center, </w:t>
      </w:r>
      <w:hyperlink r:id="rId137">
        <w:r>
          <w:rPr>
            <w:rStyle w:val="Hyperlink"/>
            <w:u w:val="single"/>
          </w:rPr>
          <w:t xml:space="preserve">https://gondabrain.biu.ac.il/en/node/784</w:t>
        </w:r>
      </w:hyperlink>
    </w:p>
    <w:p>
      <w:pPr>
        <w:numPr>
          <w:ilvl w:val="0"/>
          <w:numId w:val="1014"/>
        </w:numPr>
        <w:pStyle w:val="BlockText"/>
      </w:pPr>
      <w:r>
        <w:t xml:space="preserve">Handbook of Emotion Regulation, Third Edition - 3rd Edition - James J. - Routledge, </w:t>
      </w:r>
      <w:hyperlink r:id="rId138">
        <w:r>
          <w:rPr>
            <w:rStyle w:val="Hyperlink"/>
            <w:u w:val="single"/>
          </w:rPr>
          <w:t xml:space="preserve">https://www.routledge.com/Handbook-of-Emotion-Regulation-Third-Edition/Gross-Ford/p/book/9781462549412</w:t>
        </w:r>
      </w:hyperlink>
    </w:p>
    <w:p>
      <w:pPr>
        <w:numPr>
          <w:ilvl w:val="0"/>
          <w:numId w:val="1014"/>
        </w:numPr>
        <w:pStyle w:val="BlockText"/>
      </w:pPr>
      <w:r>
        <w:t xml:space="preserve">The Relationship Between Autonomic Indicators of Psychological Stress: Heart Rate and Skin Conductance | Semantic Scholar, </w:t>
      </w:r>
      <w:hyperlink r:id="rId139">
        <w:r>
          <w:rPr>
            <w:rStyle w:val="Hyperlink"/>
            <w:u w:val="single"/>
          </w:rPr>
          <w:t xml:space="preserve">https://www.semanticscholar.org/paper/The-Relationship-Between-Autonomic-Indicators-of-Lazarus-Speisman/1291c232d79586ac9a958cfb855729f8851de508</w:t>
        </w:r>
      </w:hyperlink>
    </w:p>
    <w:p>
      <w:pPr>
        <w:numPr>
          <w:ilvl w:val="0"/>
          <w:numId w:val="1014"/>
        </w:numPr>
        <w:pStyle w:val="BlockText"/>
      </w:pPr>
      <w:r>
        <w:t xml:space="preserve">Paul A. Obrist's research works | University of North Carolina at Chapel Hill and other places, </w:t>
      </w:r>
      <w:hyperlink r:id="rId140">
        <w:r>
          <w:rPr>
            <w:rStyle w:val="Hyperlink"/>
            <w:u w:val="single"/>
          </w:rPr>
          <w:t xml:space="preserve">https://www.researchgate.net/scientific-contributions/Paul-A-Obrist-39798805</w:t>
        </w:r>
      </w:hyperlink>
    </w:p>
    <w:p>
      <w:pPr>
        <w:numPr>
          <w:ilvl w:val="0"/>
          <w:numId w:val="1014"/>
        </w:numPr>
        <w:pStyle w:val="BlockText"/>
      </w:pPr>
      <w:r>
        <w:t xml:space="preserve">Measures of emotion: A review - PMC, </w:t>
      </w:r>
      <w:hyperlink r:id="rId141">
        <w:r>
          <w:rPr>
            <w:rStyle w:val="Hyperlink"/>
            <w:u w:val="single"/>
          </w:rPr>
          <w:t xml:space="preserve">https://pmc.ncbi.nlm.nih.gov/articles/PMC2756702/</w:t>
        </w:r>
      </w:hyperlink>
    </w:p>
    <w:p>
      <w:pPr>
        <w:numPr>
          <w:ilvl w:val="0"/>
          <w:numId w:val="1014"/>
        </w:numPr>
        <w:pStyle w:val="BlockText"/>
      </w:pPr>
      <w:r>
        <w:t xml:space="preserve">Dr. Ilanit Gordon - The Data Science and AI Institute at Bar-Ilan University, </w:t>
      </w:r>
      <w:hyperlink r:id="rId142">
        <w:r>
          <w:rPr>
            <w:rStyle w:val="Hyperlink"/>
            <w:u w:val="single"/>
          </w:rPr>
          <w:t xml:space="preserve">https://dsai.biu.ac.il/team/dr-ilanit-gordon/</w:t>
        </w:r>
      </w:hyperlink>
    </w:p>
    <w:p>
      <w:pPr>
        <w:numPr>
          <w:ilvl w:val="0"/>
          <w:numId w:val="1014"/>
        </w:numPr>
        <w:pStyle w:val="BlockText"/>
      </w:pPr>
      <w:r>
        <w:t xml:space="preserve">Handbook of Emotion Regulation, Second Edition - James J. Gross - Google Books, </w:t>
      </w:r>
      <w:hyperlink r:id="rId143">
        <w:r>
          <w:rPr>
            <w:rStyle w:val="Hyperlink"/>
            <w:u w:val="single"/>
          </w:rPr>
          <w:t xml:space="preserve">https://books.google.com/books/about/Handbook_of_Emotion_Regulation_Second_Ed.html?id=yjkMogEACAAJ</w:t>
        </w:r>
      </w:hyperlink>
    </w:p>
    <w:p>
      <w:pPr>
        <w:numPr>
          <w:ilvl w:val="0"/>
          <w:numId w:val="1014"/>
        </w:numPr>
        <w:pStyle w:val="BlockText"/>
      </w:pPr>
      <w:r>
        <w:t xml:space="preserve">Association between respiratory sinus arrhythmia and reductions in startle responding in three independent samples - PMC, </w:t>
      </w:r>
      <w:hyperlink r:id="rId144">
        <w:r>
          <w:rPr>
            <w:rStyle w:val="Hyperlink"/>
            <w:u w:val="single"/>
          </w:rPr>
          <w:t xml:space="preserve">https://pmc.ncbi.nlm.nih.gov/articles/PMC3741613/</w:t>
        </w:r>
      </w:hyperlink>
    </w:p>
    <w:p>
      <w:pPr>
        <w:numPr>
          <w:ilvl w:val="0"/>
          <w:numId w:val="1014"/>
        </w:numPr>
        <w:pStyle w:val="BlockText"/>
      </w:pPr>
      <w:r>
        <w:t xml:space="preserve">Thayer, J. F., &amp; Lane, R. D. (2000). A Model of Neurovisceral Integration in Emotion Regulation and Dysregulation. Journal of Affective Disorders, 61, 201-216. - References - Scirp.org., </w:t>
      </w:r>
      <w:hyperlink r:id="rId145">
        <w:r>
          <w:rPr>
            <w:rStyle w:val="Hyperlink"/>
            <w:u w:val="single"/>
          </w:rPr>
          <w:t xml:space="preserve">https://www.scirp.org/reference/referencespapers?referenceid=2625413</w:t>
        </w:r>
      </w:hyperlink>
    </w:p>
    <w:p>
      <w:pPr>
        <w:numPr>
          <w:ilvl w:val="0"/>
          <w:numId w:val="1014"/>
        </w:numPr>
        <w:pStyle w:val="BlockText"/>
      </w:pPr>
      <w:r>
        <w:t xml:space="preserve">Schema Therapy (ST) - The Oxford Development Centre, </w:t>
      </w:r>
      <w:hyperlink r:id="rId146">
        <w:r>
          <w:rPr>
            <w:rStyle w:val="Hyperlink"/>
            <w:u w:val="single"/>
          </w:rPr>
          <w:t xml:space="preserve">https://www.oxforddevelopmentcentre.co.uk/schema-therapy/</w:t>
        </w:r>
      </w:hyperlink>
    </w:p>
    <w:p>
      <w:pPr>
        <w:numPr>
          <w:ilvl w:val="0"/>
          <w:numId w:val="1014"/>
        </w:numPr>
        <w:pStyle w:val="BlockText"/>
      </w:pPr>
      <w:r>
        <w:t xml:space="preserve">Sample Chapter: Schema Therapy: A Practitioner's Guide - Guilford Press, </w:t>
      </w:r>
      <w:hyperlink r:id="rId147">
        <w:r>
          <w:rPr>
            <w:rStyle w:val="Hyperlink"/>
            <w:u w:val="single"/>
          </w:rPr>
          <w:t xml:space="preserve">https://www.guilford.com/excerpts/young.pdf</w:t>
        </w:r>
      </w:hyperlink>
    </w:p>
    <w:p>
      <w:pPr>
        <w:numPr>
          <w:ilvl w:val="0"/>
          <w:numId w:val="1014"/>
        </w:numPr>
        <w:pStyle w:val="BlockText"/>
      </w:pPr>
      <w:r>
        <w:t xml:space="preserve">Schema Therapy: A Practitioner's Guide - Google Books, </w:t>
      </w:r>
      <w:hyperlink r:id="rId148">
        <w:r>
          <w:rPr>
            <w:rStyle w:val="Hyperlink"/>
            <w:u w:val="single"/>
          </w:rPr>
          <w:t xml:space="preserve">https://books.google.com/books/about/Schema_Therapy.html?id=vScjGGgJEZgC</w:t>
        </w:r>
      </w:hyperlink>
    </w:p>
    <w:p>
      <w:pPr>
        <w:numPr>
          <w:ilvl w:val="0"/>
          <w:numId w:val="1014"/>
        </w:numPr>
        <w:pStyle w:val="BlockText"/>
      </w:pPr>
      <w:r>
        <w:t xml:space="preserve">Why People Stay Stuck. And What Actually Changes Them. - Jeffrey Young Schema Therapy Association, </w:t>
      </w:r>
      <w:hyperlink r:id="rId149">
        <w:r>
          <w:rPr>
            <w:rStyle w:val="Hyperlink"/>
            <w:u w:val="single"/>
          </w:rPr>
          <w:t xml:space="preserve">https://www.schematherapyassociation.org/schema-therapy/</w:t>
        </w:r>
      </w:hyperlink>
    </w:p>
    <w:p>
      <w:pPr>
        <w:numPr>
          <w:ilvl w:val="0"/>
          <w:numId w:val="1014"/>
        </w:numPr>
        <w:pStyle w:val="BlockText"/>
      </w:pPr>
      <w:r>
        <w:t xml:space="preserve">Full article: Applications of schema therapy in young people: a systematic review, </w:t>
      </w:r>
      <w:hyperlink r:id="rId150">
        <w:r>
          <w:rPr>
            <w:rStyle w:val="Hyperlink"/>
            <w:u w:val="single"/>
          </w:rPr>
          <w:t xml:space="preserve">https://www.tandfonline.com/doi/full/10.1080/16506073.2025.2522375</w:t>
        </w:r>
      </w:hyperlink>
    </w:p>
    <w:p>
      <w:pPr>
        <w:numPr>
          <w:ilvl w:val="0"/>
          <w:numId w:val="1014"/>
        </w:numPr>
        <w:pStyle w:val="BlockText"/>
      </w:pPr>
      <w:r>
        <w:t xml:space="preserve">1 Title The psychophysiological reactivity to beaches vs. to green and urban environments: insights from a virtual reality exper, </w:t>
      </w:r>
      <w:hyperlink r:id="rId151">
        <w:r>
          <w:rPr>
            <w:rStyle w:val="Hyperlink"/>
            <w:u w:val="single"/>
          </w:rPr>
          <w:t xml:space="preserve">https://www.vliz.be/imisdocs/publications/392481.pdf</w:t>
        </w:r>
      </w:hyperlink>
    </w:p>
    <w:p>
      <w:pPr>
        <w:numPr>
          <w:ilvl w:val="0"/>
          <w:numId w:val="1014"/>
        </w:numPr>
        <w:pStyle w:val="BlockText"/>
      </w:pPr>
      <w:r>
        <w:t xml:space="preserve">Wilder's law of initial value - Wikipedia, </w:t>
      </w:r>
      <w:hyperlink r:id="rId152">
        <w:r>
          <w:rPr>
            <w:rStyle w:val="Hyperlink"/>
            <w:u w:val="single"/>
          </w:rPr>
          <w:t xml:space="preserve">https://en.wikipedia.org/wiki/Wilder%27s_law_of_initial_value</w:t>
        </w:r>
      </w:hyperlink>
    </w:p>
    <w:p>
      <w:pPr>
        <w:numPr>
          <w:ilvl w:val="0"/>
          <w:numId w:val="1014"/>
        </w:numPr>
        <w:pStyle w:val="BlockText"/>
      </w:pPr>
      <w:r>
        <w:t xml:space="preserve">Wilder's principle: pre-treatment value determines post-treatment response - Oxford Academic, </w:t>
      </w:r>
      <w:hyperlink r:id="rId153">
        <w:r>
          <w:rPr>
            <w:rStyle w:val="Hyperlink"/>
            <w:u w:val="single"/>
          </w:rPr>
          <w:t xml:space="preserve">https://academic.oup.com/eurheartj/article/36/9/576/507212</w:t>
        </w:r>
      </w:hyperlink>
    </w:p>
    <w:p>
      <w:pPr>
        <w:numPr>
          <w:ilvl w:val="0"/>
          <w:numId w:val="1014"/>
        </w:numPr>
        <w:pStyle w:val="BlockText"/>
      </w:pPr>
      <w:r>
        <w:t xml:space="preserve">Psychophysiology Concepts Explained | PDF | Vasodilation - Scribd, </w:t>
      </w:r>
      <w:hyperlink r:id="rId154">
        <w:r>
          <w:rPr>
            <w:rStyle w:val="Hyperlink"/>
            <w:u w:val="single"/>
          </w:rPr>
          <w:t xml:space="preserve">https://www.scribd.com/document/392512358/Andreassi-Concepts</w:t>
        </w:r>
      </w:hyperlink>
    </w:p>
    <w:p>
      <w:pPr>
        <w:numPr>
          <w:ilvl w:val="0"/>
          <w:numId w:val="1014"/>
        </w:numPr>
        <w:pStyle w:val="BlockText"/>
      </w:pPr>
      <w:r>
        <w:t xml:space="preserve">“What we have here, is a failure to [replicate]”: Ways to Solve a Replication Crisis in Implementation Science - PMC, </w:t>
      </w:r>
      <w:hyperlink r:id="rId155">
        <w:r>
          <w:rPr>
            <w:rStyle w:val="Hyperlink"/>
            <w:u w:val="single"/>
          </w:rPr>
          <w:t xml:space="preserve">https://pmc.ncbi.nlm.nih.gov/articles/PMC12884401/</w:t>
        </w:r>
      </w:hyperlink>
    </w:p>
    <w:bookmarkEnd w:id="156"/>
    <w:bookmarkEnd w:id="157"/>
    <w:bookmarkEnd w:id="158"/>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Title" w:type="paragraph">
    <w:name w:val="Title"/>
    <w:basedOn w:val="Normal"/>
    <w:next w:val="Normal"/>
    <w:qFormat/>
    <w:pPr>
      <w:spacing w:after="240"/>
      <w:jc w:val="left"/>
    </w:pPr>
    <w:rPr>
      <w:rFonts w:ascii="Georgia" w:cs="Georgia" w:eastAsia="Georgia" w:hAnsi="Georgia"/>
      <w:b/>
      <w:bCs/>
      <w:sz w:val="44"/>
      <w:szCs w:val="44"/>
    </w:rPr>
  </w:style>
  <w:style w:styleId="Heading1" w:type="paragraph">
    <w:name w:val="Heading 1"/>
    <w:basedOn w:val="Normal"/>
    <w:next w:val="Normal"/>
    <w:qFormat/>
    <w:pPr>
      <w:spacing w:after="160" w:before="300"/>
      <w:jc w:val="left"/>
      <w:outlineLvl w:val="0"/>
    </w:pPr>
    <w:rPr>
      <w:rFonts w:ascii="Georgia" w:cs="Georgia" w:eastAsia="Georgia" w:hAnsi="Georgia"/>
      <w:b/>
      <w:bCs/>
      <w:color w:val="2A4B7C"/>
      <w:sz w:val="34"/>
      <w:szCs w:val="34"/>
    </w:rPr>
  </w:style>
  <w:style w:styleId="Heading2" w:type="paragraph">
    <w:name w:val="Heading 2"/>
    <w:basedOn w:val="Normal"/>
    <w:next w:val="Normal"/>
    <w:qFormat/>
    <w:pPr>
      <w:spacing w:after="120" w:before="240"/>
      <w:jc w:val="left"/>
      <w:outlineLvl w:val="1"/>
    </w:pPr>
    <w:rPr>
      <w:rFonts w:ascii="Georgia" w:cs="Georgia" w:eastAsia="Georgia" w:hAnsi="Georgia"/>
      <w:b/>
      <w:bCs/>
      <w:color w:val="1C1B18"/>
      <w:sz w:val="28"/>
      <w:szCs w:val="28"/>
    </w:rPr>
  </w:style>
  <w:style w:styleId="Heading3" w:type="paragraph">
    <w:name w:val="Heading 3"/>
    <w:basedOn w:val="Normal"/>
    <w:next w:val="Normal"/>
    <w:qFormat/>
    <w:pPr>
      <w:spacing w:after="100" w:before="200"/>
      <w:jc w:val="left"/>
      <w:outlineLvl w:val="2"/>
    </w:pPr>
    <w:rPr>
      <w:rFonts w:ascii="Georgia" w:cs="Georgia" w:eastAsia="Georgia" w:hAnsi="Georgia"/>
      <w:b/>
      <w:bCs/>
      <w:color w:val="4A4840"/>
      <w:sz w:val="25"/>
      <w:szCs w:val="25"/>
    </w:rPr>
  </w:style>
  <w:style w:styleId="Heading4" w:type="paragraph">
    <w:name w:val="Heading 4"/>
    <w:basedOn w:val="Normal"/>
    <w:next w:val="Normal"/>
    <w:qFormat/>
    <w:pPr>
      <w:spacing w:after="80" w:before="160"/>
      <w:jc w:val="left"/>
      <w:outlineLvl w:val="3"/>
    </w:pPr>
    <w:rPr>
      <w:rFonts w:ascii="Georgia" w:cs="Georgia" w:eastAsia="Georgia" w:hAnsi="Georgia"/>
      <w:b/>
      <w:bCs/>
      <w:color w:val="4A4840"/>
      <w:sz w:val="23"/>
      <w:szCs w:val="23"/>
    </w:rPr>
  </w:style>
  <w:style w:styleId="Normal" w:type="paragraph">
    <w:name w:val="Normal"/>
    <w:qFormat/>
    <w:pPr>
      <w:spacing w:after="140" w:line="330"/>
      <w:jc w:val="both"/>
    </w:pPr>
    <w:rPr>
      <w:rFonts w:ascii="Georgia" w:cs="Georgia" w:eastAsia="Georgia" w:hAnsi="Georgia"/>
      <w:sz w:val="22"/>
      <w:szCs w:val="22"/>
    </w:rPr>
  </w:style>
  <w:style w:styleId="BlockText" w:type="paragraph">
    <w:name w:val="Block Text"/>
    <w:basedOn w:val="Normal"/>
    <w:next w:val="Normal"/>
    <w:pPr>
      <w:spacing w:after="140"/>
      <w:ind w:left="360"/>
      <w:jc w:val="left"/>
    </w:pPr>
    <w:rPr>
      <w:rFonts w:ascii="Georgia" w:cs="Georgia" w:eastAsia="Georgia" w:hAnsi="Georgia"/>
      <w:i/>
      <w:iCs/>
      <w:color w:val="4A4840"/>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70" Target="media/rId70.png"/><Relationship Type="http://schemas.openxmlformats.org/officeDocument/2006/relationships/image" Id="rId42" Target="media/rId42.png"/><Relationship Type="http://schemas.openxmlformats.org/officeDocument/2006/relationships/image" Id="rId20" Target="media/rId20.png"/><Relationship Type="http://schemas.openxmlformats.org/officeDocument/2006/relationships/image" Id="rId45" Target="media/rId45.png"/><Relationship Type="http://schemas.openxmlformats.org/officeDocument/2006/relationships/image" Id="rId29" Target="media/rId29.png"/><Relationship Type="http://schemas.openxmlformats.org/officeDocument/2006/relationships/image" Id="rId23" Target="media/rId23.png"/><Relationship Type="http://schemas.openxmlformats.org/officeDocument/2006/relationships/image" Id="rId26" Target="media/rId26.png"/><Relationship Type="http://schemas.openxmlformats.org/officeDocument/2006/relationships/image" Id="rId73" Target="media/rId73.png"/><Relationship Type="http://schemas.openxmlformats.org/officeDocument/2006/relationships/image" Id="rId55" Target="media/rId55.png"/><Relationship Type="http://schemas.openxmlformats.org/officeDocument/2006/relationships/image" Id="rId61" Target="media/rId61.png"/><Relationship Type="http://schemas.openxmlformats.org/officeDocument/2006/relationships/hyperlink" Id="rId110" Target="http://coachsci.sdsu.edu/csa/vol15/sayers.htm" TargetMode="External"/><Relationship Type="http://schemas.openxmlformats.org/officeDocument/2006/relationships/hyperlink" Id="rId153" Target="https://academic.oup.com/eurheartj/article/36/9/576/507212" TargetMode="External"/><Relationship Type="http://schemas.openxmlformats.org/officeDocument/2006/relationships/hyperlink" Id="rId116" Target="https://books.google.com/books/about/Descartes_Error.html?id=b6etQgAACAAJ" TargetMode="External"/><Relationship Type="http://schemas.openxmlformats.org/officeDocument/2006/relationships/hyperlink" Id="rId143" Target="https://books.google.com/books/about/Handbook_of_Emotion_Regulation_Second_Ed.html?id=yjkMogEACAAJ" TargetMode="External"/><Relationship Type="http://schemas.openxmlformats.org/officeDocument/2006/relationships/hyperlink" Id="rId148" Target="https://books.google.com/books/about/Schema_Therapy.html?id=vScjGGgJEZgC" TargetMode="External"/><Relationship Type="http://schemas.openxmlformats.org/officeDocument/2006/relationships/hyperlink" Id="rId81" Target="https://cris.biu.ac.il/en/publications/interpersonal-physiological-regulation-during-couplesupport-inter/" TargetMode="External"/><Relationship Type="http://schemas.openxmlformats.org/officeDocument/2006/relationships/hyperlink" Id="rId97" Target="https://doi.org/10.1111/j.1469-8986.1964.tb03229.x" TargetMode="External"/><Relationship Type="http://schemas.openxmlformats.org/officeDocument/2006/relationships/hyperlink" Id="rId142" Target="https://dsai.biu.ac.il/team/dr-ilanit-gordon/" TargetMode="External"/><Relationship Type="http://schemas.openxmlformats.org/officeDocument/2006/relationships/hyperlink" Id="rId95" Target="https://econtent.hogrefe.com/doi/10.1027//0269-8803.14.2.115" TargetMode="External"/><Relationship Type="http://schemas.openxmlformats.org/officeDocument/2006/relationships/hyperlink" Id="rId115" Target="https://en.wikipedia.org/wiki/Descartes%27_Error" TargetMode="External"/><Relationship Type="http://schemas.openxmlformats.org/officeDocument/2006/relationships/hyperlink" Id="rId92" Target="https://en.wikipedia.org/wiki/Electrodermal_activity" TargetMode="External"/><Relationship Type="http://schemas.openxmlformats.org/officeDocument/2006/relationships/hyperlink" Id="rId79" Target="https://en.wikipedia.org/wiki/Somatic_marker_hypothesis" TargetMode="External"/><Relationship Type="http://schemas.openxmlformats.org/officeDocument/2006/relationships/hyperlink" Id="rId152" Target="https://en.wikipedia.org/wiki/Wilder%27s_law_of_initial_value" TargetMode="External"/><Relationship Type="http://schemas.openxmlformats.org/officeDocument/2006/relationships/hyperlink" Id="rId87" Target="https://experts.arizona.edu/en/publications/claude-bernard-and-the-heart-brain-connection-further-elaboration/" TargetMode="External"/><Relationship Type="http://schemas.openxmlformats.org/officeDocument/2006/relationships/hyperlink" Id="rId105" Target="https://garfield.library.upenn.edu/classics1986/A1986C590300001.pdf" TargetMode="External"/><Relationship Type="http://schemas.openxmlformats.org/officeDocument/2006/relationships/hyperlink" Id="rId137" Target="https://gondabrain.biu.ac.il/en/node/784" TargetMode="External"/><Relationship Type="http://schemas.openxmlformats.org/officeDocument/2006/relationships/hyperlink" Id="rId88" Target="https://insightplus.mja.com.au/2026/9/polyvagal-theory-debunked-in-comprehensive-new-study" TargetMode="External"/><Relationship Type="http://schemas.openxmlformats.org/officeDocument/2006/relationships/hyperlink" Id="rId82" Target="https://massivebio.com/galvanic-skin-response-bio/" TargetMode="External"/><Relationship Type="http://schemas.openxmlformats.org/officeDocument/2006/relationships/hyperlink" Id="rId120" Target="https://people.ict.usc.edu/~gratch/CSCI534/SomaticMarkerHypothesis_AffectiveComputing_2017.pdf" TargetMode="External"/><Relationship Type="http://schemas.openxmlformats.org/officeDocument/2006/relationships/hyperlink" Id="rId155" Target="https://pmc.ncbi.nlm.nih.gov/articles/PMC12884401/" TargetMode="External"/><Relationship Type="http://schemas.openxmlformats.org/officeDocument/2006/relationships/hyperlink" Id="rId131" Target="https://pmc.ncbi.nlm.nih.gov/articles/PMC12937496/" TargetMode="External"/><Relationship Type="http://schemas.openxmlformats.org/officeDocument/2006/relationships/hyperlink" Id="rId141" Target="https://pmc.ncbi.nlm.nih.gov/articles/PMC2756702/" TargetMode="External"/><Relationship Type="http://schemas.openxmlformats.org/officeDocument/2006/relationships/hyperlink" Id="rId127" Target="https://pmc.ncbi.nlm.nih.gov/articles/PMC2848485/" TargetMode="External"/><Relationship Type="http://schemas.openxmlformats.org/officeDocument/2006/relationships/hyperlink" Id="rId113" Target="https://pmc.ncbi.nlm.nih.gov/articles/PMC2875335/" TargetMode="External"/><Relationship Type="http://schemas.openxmlformats.org/officeDocument/2006/relationships/hyperlink" Id="rId91" Target="https://pmc.ncbi.nlm.nih.gov/articles/PMC3532520/" TargetMode="External"/><Relationship Type="http://schemas.openxmlformats.org/officeDocument/2006/relationships/hyperlink" Id="rId144" Target="https://pmc.ncbi.nlm.nih.gov/articles/PMC3741613/" TargetMode="External"/><Relationship Type="http://schemas.openxmlformats.org/officeDocument/2006/relationships/hyperlink" Id="rId96" Target="https://pmc.ncbi.nlm.nih.gov/articles/PMC4041070/" TargetMode="External"/><Relationship Type="http://schemas.openxmlformats.org/officeDocument/2006/relationships/hyperlink" Id="rId112" Target="https://pmc.ncbi.nlm.nih.gov/articles/PMC6548839/" TargetMode="External"/><Relationship Type="http://schemas.openxmlformats.org/officeDocument/2006/relationships/hyperlink" Id="rId90" Target="https://pmc.ncbi.nlm.nih.gov/articles/PMC8548071/" TargetMode="External"/><Relationship Type="http://schemas.openxmlformats.org/officeDocument/2006/relationships/hyperlink" Id="rId135" Target="https://pubmed.ncbi.nlm.nih.gov/11163422/" TargetMode="External"/><Relationship Type="http://schemas.openxmlformats.org/officeDocument/2006/relationships/hyperlink" Id="rId85" Target="https://pubmed.ncbi.nlm.nih.gov/34329495/" TargetMode="External"/><Relationship Type="http://schemas.openxmlformats.org/officeDocument/2006/relationships/hyperlink" Id="rId124" Target="https://pubmed.ncbi.nlm.nih.gov/41768017/" TargetMode="External"/><Relationship Type="http://schemas.openxmlformats.org/officeDocument/2006/relationships/hyperlink" Id="rId133" Target="https://pubmed.ncbi.nlm.nih.gov/41768026/" TargetMode="External"/><Relationship Type="http://schemas.openxmlformats.org/officeDocument/2006/relationships/hyperlink" Id="rId102" Target="https://pure.port.ac.uk/ws/portalfiles/portal/100367723/TVM_PhD_Thesis_-_Psychophysiology_of_Attention.pdf" TargetMode="External"/><Relationship Type="http://schemas.openxmlformats.org/officeDocument/2006/relationships/hyperlink" Id="rId103" Target="https://research.bangor.ac.uk/portal/en/researchoutputs/quiet-heart-and-quiet-eye-cardiac-and-ocular-correlates-of-preparation-for-action(3846e672-71ab-4d2e-8ee5-5ecf1b6f228c).html" TargetMode="External"/><Relationship Type="http://schemas.openxmlformats.org/officeDocument/2006/relationships/hyperlink" Id="rId100" Target="https://s3.amazonaws.com/knowen-production/big_attachments/fdf0161367c4801ac8b5a6cc42e8413d/Attention+and+Effort+-+Kahneman.pdf" TargetMode="External"/><Relationship Type="http://schemas.openxmlformats.org/officeDocument/2006/relationships/hyperlink" Id="rId106" Target="https://sagolcenter.org.il/wp-content/uploads/2021/08/rolnick2010.pdf" TargetMode="External"/><Relationship Type="http://schemas.openxmlformats.org/officeDocument/2006/relationships/hyperlink" Id="rId134" Target="https://schematherapysociety.org/event-6354024" TargetMode="External"/><Relationship Type="http://schemas.openxmlformats.org/officeDocument/2006/relationships/hyperlink" Id="rId78" Target="https://scispace.com/papers/a-model-of-neurovisceral-integration-in-emotion-regulation-19hfnlfq8x" TargetMode="External"/><Relationship Type="http://schemas.openxmlformats.org/officeDocument/2006/relationships/hyperlink" Id="rId94" Target="https://scispace.com/pdf/discoverers-of-the-galvanic-skin-response-3oo6ekc9ok.pdf" TargetMode="External"/><Relationship Type="http://schemas.openxmlformats.org/officeDocument/2006/relationships/hyperlink" Id="rId98" Target="https://scispace.com/pdf/the-cold-pressor-test-and-autonomic-function-a-review-and-4hzk4ijzzy.pdf" TargetMode="External"/><Relationship Type="http://schemas.openxmlformats.org/officeDocument/2006/relationships/hyperlink" Id="rId118" Target="https://thedecisionlab.com/reference-guide/psychology/somatic-marker-hypothesis" TargetMode="External"/><Relationship Type="http://schemas.openxmlformats.org/officeDocument/2006/relationships/hyperlink" Id="rId109" Target="https://www.ahajournals.org/doi/10.1161/01.cir.93.5.1043" TargetMode="External"/><Relationship Type="http://schemas.openxmlformats.org/officeDocument/2006/relationships/hyperlink" Id="rId84" Target="https://www.authorea.com/doi/10.22541/au.176362227.70765825" TargetMode="External"/><Relationship Type="http://schemas.openxmlformats.org/officeDocument/2006/relationships/hyperlink" Id="rId136" Target="https://www.brainsigns.com/en/r-d/technologies/galvanic-skin-response-gsr" TargetMode="External"/><Relationship Type="http://schemas.openxmlformats.org/officeDocument/2006/relationships/hyperlink" Id="rId128" Target="https://www.clinicalneuropsychiatry.org/download/when-a-critique-becomes-untenable-a-scholarly-response-to-grossman-et-al-s-evaluation-of-polyvagal-theory/" TargetMode="External"/><Relationship Type="http://schemas.openxmlformats.org/officeDocument/2006/relationships/hyperlink" Id="rId125" Target="https://www.clinicalneuropsychiatry.org/download/why-the-polyvagal-theory-is-untenable-an-international-expert-evaluation-of-the-polyvagal-theory-and-commentary-upon-porges-s-w-2025-polyvagal-theory-current-status-clinical-applications-and/" TargetMode="External"/><Relationship Type="http://schemas.openxmlformats.org/officeDocument/2006/relationships/hyperlink" Id="rId108" Target="https://www.diva-portal.org/smash/get/diva2:345553/INSIDE01.pdf" TargetMode="External"/><Relationship Type="http://schemas.openxmlformats.org/officeDocument/2006/relationships/hyperlink" Id="rId111" Target="https://www.dsu.univr.it/documenti/OccorrenzaIns/matdid/matdid513108.pdf" TargetMode="External"/><Relationship Type="http://schemas.openxmlformats.org/officeDocument/2006/relationships/hyperlink" Id="rId89" Target="https://www.frontiersin.org/journals/behavioral-neuroscience/articles/10.3389/fnbeh.2025.1659083/full" TargetMode="External"/><Relationship Type="http://schemas.openxmlformats.org/officeDocument/2006/relationships/hyperlink" Id="rId77" Target="https://www.frontiersin.org/journals/neuroscience/articles/10.3389/fnins.2019.00500/full" TargetMode="External"/><Relationship Type="http://schemas.openxmlformats.org/officeDocument/2006/relationships/hyperlink" Id="rId83" Target="https://www.frontiersin.org/journals/physiology/articles/10.3389/fphys.2011.00086/full" TargetMode="External"/><Relationship Type="http://schemas.openxmlformats.org/officeDocument/2006/relationships/hyperlink" Id="rId119" Target="https://www.frontiersin.org/journals/psychology/articles/10.3389/fpsyg.2022.848603/full" TargetMode="External"/><Relationship Type="http://schemas.openxmlformats.org/officeDocument/2006/relationships/hyperlink" Id="rId117" Target="https://www.goodreads.com/fr/book/show/103867" TargetMode="External"/><Relationship Type="http://schemas.openxmlformats.org/officeDocument/2006/relationships/hyperlink" Id="rId107" Target="https://www.guilford.com/excerpts/schwartz.pdf" TargetMode="External"/><Relationship Type="http://schemas.openxmlformats.org/officeDocument/2006/relationships/hyperlink" Id="rId147" Target="https://www.guilford.com/excerpts/young.pdf" TargetMode="External"/><Relationship Type="http://schemas.openxmlformats.org/officeDocument/2006/relationships/hyperlink" Id="rId122" Target="https://www.journals.uchicago.edu/doi/10.1093/bjps/axm045" TargetMode="External"/><Relationship Type="http://schemas.openxmlformats.org/officeDocument/2006/relationships/hyperlink" Id="rId93" Target="https://www.monash.edu/__data/assets/pdf_file/0003/956451/6.-Dokumentov_GSR.pdf" TargetMode="External"/><Relationship Type="http://schemas.openxmlformats.org/officeDocument/2006/relationships/hyperlink" Id="rId86" Target="https://www.oatext.com/The%20Human%20Heart%20Rate%20Variability%20Neurobiology%20of%20Psychophysiological%20well%20being%20and%20Planetary%20Resonance.php" TargetMode="External"/><Relationship Type="http://schemas.openxmlformats.org/officeDocument/2006/relationships/hyperlink" Id="rId146" Target="https://www.oxforddevelopmentcentre.co.uk/schema-therapy/" TargetMode="External"/><Relationship Type="http://schemas.openxmlformats.org/officeDocument/2006/relationships/hyperlink" Id="rId129" Target="https://www.polyvagalinstitute.org/criticaldiscussionofpolyvagaltheory" TargetMode="External"/><Relationship Type="http://schemas.openxmlformats.org/officeDocument/2006/relationships/hyperlink" Id="rId123" Target="https://www.praxis-psychologie-berlin.de/en/wikiblog-english/articles/the-polyvagal-theory-under-fire-according-to-paul-grossman-it-is-on-the-whole-probably-incorrect-and-has-been-disproved" TargetMode="External"/><Relationship Type="http://schemas.openxmlformats.org/officeDocument/2006/relationships/hyperlink" Id="rId130" Target="https://www.researchgate.net/profile/Paul-Grossman/publication/400718181_THE_POLYVAGAL_THEORY_IS_UNTENABLE_An_international_expert_evaluation_of_the_polyvagal_theory_and_commentary_upon_Porges/links/698def9112f837212a1a47f2/THE-POLYVAGAL-THEORY-IS-UNTENABLE-An-international-expert-evaluation-of-the-polyvagal-theory-and-commentary-upon-Porges.pdf" TargetMode="External"/><Relationship Type="http://schemas.openxmlformats.org/officeDocument/2006/relationships/hyperlink" Id="rId104" Target="https://www.researchgate.net/publication/16733476_Cardiac-somatic_coupling_during_the_foreperiod_of_a_simple_reaction_time_task" TargetMode="External"/><Relationship Type="http://schemas.openxmlformats.org/officeDocument/2006/relationships/hyperlink" Id="rId76" Target="https://www.researchgate.net/publication/266136436_Psychophysiology" TargetMode="External"/><Relationship Type="http://schemas.openxmlformats.org/officeDocument/2006/relationships/hyperlink" Id="rId101" Target="https://www.researchgate.net/publication/271957560_Heart_rate_and_skin_conductance_responding_during_three_attention-direction_tasks" TargetMode="External"/><Relationship Type="http://schemas.openxmlformats.org/officeDocument/2006/relationships/hyperlink" Id="rId121" Target="https://www.researchgate.net/publication/31029473_The_Somatic_Marker_Hypotheses_and_What_the_Iowa_Gambling_Task_Does_and_Does_not_Show" TargetMode="External"/><Relationship Type="http://schemas.openxmlformats.org/officeDocument/2006/relationships/hyperlink" Id="rId132" Target="https://www.researchgate.net/publication/401474807_When_A_Critique_Becomes_Untenable_A_Scholarly_Response_To_Grossman_Et_Al'S_Evaluation_Of_Polyvagal_Theory" TargetMode="External"/><Relationship Type="http://schemas.openxmlformats.org/officeDocument/2006/relationships/hyperlink" Id="rId114" Target="https://www.researchgate.net/publication/6148858_Evidence_for_differentiation_of_arousal_and_activation_in_normal_adults" TargetMode="External"/><Relationship Type="http://schemas.openxmlformats.org/officeDocument/2006/relationships/hyperlink" Id="rId140" Target="https://www.researchgate.net/scientific-contributions/Paul-A-Obrist-39798805" TargetMode="External"/><Relationship Type="http://schemas.openxmlformats.org/officeDocument/2006/relationships/hyperlink" Id="rId138" Target="https://www.routledge.com/Handbook-of-Emotion-Regulation-Third-Edition/Gross-Ford/p/book/9781462549412" TargetMode="External"/><Relationship Type="http://schemas.openxmlformats.org/officeDocument/2006/relationships/hyperlink" Id="rId149" Target="https://www.schematherapyassociation.org/schema-therapy/" TargetMode="External"/><Relationship Type="http://schemas.openxmlformats.org/officeDocument/2006/relationships/hyperlink" Id="rId145" Target="https://www.scirp.org/reference/referencespapers?referenceid=2625413" TargetMode="External"/><Relationship Type="http://schemas.openxmlformats.org/officeDocument/2006/relationships/hyperlink" Id="rId154" Target="https://www.scribd.com/document/392512358/Andreassi-Concepts" TargetMode="External"/><Relationship Type="http://schemas.openxmlformats.org/officeDocument/2006/relationships/hyperlink" Id="rId80" Target="https://www.semanticscholar.org/paper/A-model-of-neurovisceral-integration-in-emotion-and-Thayer-Lane/c920d9042207280712a25acd53a71ab1ab86c316" TargetMode="External"/><Relationship Type="http://schemas.openxmlformats.org/officeDocument/2006/relationships/hyperlink" Id="rId99" Target="https://www.semanticscholar.org/paper/Somatic-response-patterning-and-stress-%3A-some-of-Lacey/a244602a4d0580cc999bf458acf7463d3d830cbe" TargetMode="External"/><Relationship Type="http://schemas.openxmlformats.org/officeDocument/2006/relationships/hyperlink" Id="rId139" Target="https://www.semanticscholar.org/paper/The-Relationship-Between-Autonomic-Indicators-of-Lazarus-Speisman/1291c232d79586ac9a958cfb855729f8851de508" TargetMode="External"/><Relationship Type="http://schemas.openxmlformats.org/officeDocument/2006/relationships/hyperlink" Id="rId150" Target="https://www.tandfonline.com/doi/full/10.1080/16506073.2025.2522375" TargetMode="External"/><Relationship Type="http://schemas.openxmlformats.org/officeDocument/2006/relationships/hyperlink" Id="rId126" Target="https://www.traumatherapistinstitute.com/trauma-therapist-institute-blog/blog/response-to-grossman-polyvagal-theory-critique" TargetMode="External"/><Relationship Type="http://schemas.openxmlformats.org/officeDocument/2006/relationships/hyperlink" Id="rId151" Target="https://www.vliz.be/imisdocs/publications/392481.pdf"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110" Target="http://coachsci.sdsu.edu/csa/vol15/sayers.htm" TargetMode="External"/><Relationship Type="http://schemas.openxmlformats.org/officeDocument/2006/relationships/hyperlink" Id="rId153" Target="https://academic.oup.com/eurheartj/article/36/9/576/507212" TargetMode="External"/><Relationship Type="http://schemas.openxmlformats.org/officeDocument/2006/relationships/hyperlink" Id="rId116" Target="https://books.google.com/books/about/Descartes_Error.html?id=b6etQgAACAAJ" TargetMode="External"/><Relationship Type="http://schemas.openxmlformats.org/officeDocument/2006/relationships/hyperlink" Id="rId143" Target="https://books.google.com/books/about/Handbook_of_Emotion_Regulation_Second_Ed.html?id=yjkMogEACAAJ" TargetMode="External"/><Relationship Type="http://schemas.openxmlformats.org/officeDocument/2006/relationships/hyperlink" Id="rId148" Target="https://books.google.com/books/about/Schema_Therapy.html?id=vScjGGgJEZgC" TargetMode="External"/><Relationship Type="http://schemas.openxmlformats.org/officeDocument/2006/relationships/hyperlink" Id="rId81" Target="https://cris.biu.ac.il/en/publications/interpersonal-physiological-regulation-during-couplesupport-inter/" TargetMode="External"/><Relationship Type="http://schemas.openxmlformats.org/officeDocument/2006/relationships/hyperlink" Id="rId97" Target="https://doi.org/10.1111/j.1469-8986.1964.tb03229.x" TargetMode="External"/><Relationship Type="http://schemas.openxmlformats.org/officeDocument/2006/relationships/hyperlink" Id="rId142" Target="https://dsai.biu.ac.il/team/dr-ilanit-gordon/" TargetMode="External"/><Relationship Type="http://schemas.openxmlformats.org/officeDocument/2006/relationships/hyperlink" Id="rId95" Target="https://econtent.hogrefe.com/doi/10.1027//0269-8803.14.2.115" TargetMode="External"/><Relationship Type="http://schemas.openxmlformats.org/officeDocument/2006/relationships/hyperlink" Id="rId115" Target="https://en.wikipedia.org/wiki/Descartes%27_Error" TargetMode="External"/><Relationship Type="http://schemas.openxmlformats.org/officeDocument/2006/relationships/hyperlink" Id="rId92" Target="https://en.wikipedia.org/wiki/Electrodermal_activity" TargetMode="External"/><Relationship Type="http://schemas.openxmlformats.org/officeDocument/2006/relationships/hyperlink" Id="rId79" Target="https://en.wikipedia.org/wiki/Somatic_marker_hypothesis" TargetMode="External"/><Relationship Type="http://schemas.openxmlformats.org/officeDocument/2006/relationships/hyperlink" Id="rId152" Target="https://en.wikipedia.org/wiki/Wilder%27s_law_of_initial_value" TargetMode="External"/><Relationship Type="http://schemas.openxmlformats.org/officeDocument/2006/relationships/hyperlink" Id="rId87" Target="https://experts.arizona.edu/en/publications/claude-bernard-and-the-heart-brain-connection-further-elaboration/" TargetMode="External"/><Relationship Type="http://schemas.openxmlformats.org/officeDocument/2006/relationships/hyperlink" Id="rId105" Target="https://garfield.library.upenn.edu/classics1986/A1986C590300001.pdf" TargetMode="External"/><Relationship Type="http://schemas.openxmlformats.org/officeDocument/2006/relationships/hyperlink" Id="rId137" Target="https://gondabrain.biu.ac.il/en/node/784" TargetMode="External"/><Relationship Type="http://schemas.openxmlformats.org/officeDocument/2006/relationships/hyperlink" Id="rId88" Target="https://insightplus.mja.com.au/2026/9/polyvagal-theory-debunked-in-comprehensive-new-study" TargetMode="External"/><Relationship Type="http://schemas.openxmlformats.org/officeDocument/2006/relationships/hyperlink" Id="rId82" Target="https://massivebio.com/galvanic-skin-response-bio/" TargetMode="External"/><Relationship Type="http://schemas.openxmlformats.org/officeDocument/2006/relationships/hyperlink" Id="rId120" Target="https://people.ict.usc.edu/~gratch/CSCI534/SomaticMarkerHypothesis_AffectiveComputing_2017.pdf" TargetMode="External"/><Relationship Type="http://schemas.openxmlformats.org/officeDocument/2006/relationships/hyperlink" Id="rId155" Target="https://pmc.ncbi.nlm.nih.gov/articles/PMC12884401/" TargetMode="External"/><Relationship Type="http://schemas.openxmlformats.org/officeDocument/2006/relationships/hyperlink" Id="rId131" Target="https://pmc.ncbi.nlm.nih.gov/articles/PMC12937496/" TargetMode="External"/><Relationship Type="http://schemas.openxmlformats.org/officeDocument/2006/relationships/hyperlink" Id="rId141" Target="https://pmc.ncbi.nlm.nih.gov/articles/PMC2756702/" TargetMode="External"/><Relationship Type="http://schemas.openxmlformats.org/officeDocument/2006/relationships/hyperlink" Id="rId127" Target="https://pmc.ncbi.nlm.nih.gov/articles/PMC2848485/" TargetMode="External"/><Relationship Type="http://schemas.openxmlformats.org/officeDocument/2006/relationships/hyperlink" Id="rId113" Target="https://pmc.ncbi.nlm.nih.gov/articles/PMC2875335/" TargetMode="External"/><Relationship Type="http://schemas.openxmlformats.org/officeDocument/2006/relationships/hyperlink" Id="rId91" Target="https://pmc.ncbi.nlm.nih.gov/articles/PMC3532520/" TargetMode="External"/><Relationship Type="http://schemas.openxmlformats.org/officeDocument/2006/relationships/hyperlink" Id="rId144" Target="https://pmc.ncbi.nlm.nih.gov/articles/PMC3741613/" TargetMode="External"/><Relationship Type="http://schemas.openxmlformats.org/officeDocument/2006/relationships/hyperlink" Id="rId96" Target="https://pmc.ncbi.nlm.nih.gov/articles/PMC4041070/" TargetMode="External"/><Relationship Type="http://schemas.openxmlformats.org/officeDocument/2006/relationships/hyperlink" Id="rId112" Target="https://pmc.ncbi.nlm.nih.gov/articles/PMC6548839/" TargetMode="External"/><Relationship Type="http://schemas.openxmlformats.org/officeDocument/2006/relationships/hyperlink" Id="rId90" Target="https://pmc.ncbi.nlm.nih.gov/articles/PMC8548071/" TargetMode="External"/><Relationship Type="http://schemas.openxmlformats.org/officeDocument/2006/relationships/hyperlink" Id="rId135" Target="https://pubmed.ncbi.nlm.nih.gov/11163422/" TargetMode="External"/><Relationship Type="http://schemas.openxmlformats.org/officeDocument/2006/relationships/hyperlink" Id="rId85" Target="https://pubmed.ncbi.nlm.nih.gov/34329495/" TargetMode="External"/><Relationship Type="http://schemas.openxmlformats.org/officeDocument/2006/relationships/hyperlink" Id="rId124" Target="https://pubmed.ncbi.nlm.nih.gov/41768017/" TargetMode="External"/><Relationship Type="http://schemas.openxmlformats.org/officeDocument/2006/relationships/hyperlink" Id="rId133" Target="https://pubmed.ncbi.nlm.nih.gov/41768026/" TargetMode="External"/><Relationship Type="http://schemas.openxmlformats.org/officeDocument/2006/relationships/hyperlink" Id="rId102" Target="https://pure.port.ac.uk/ws/portalfiles/portal/100367723/TVM_PhD_Thesis_-_Psychophysiology_of_Attention.pdf" TargetMode="External"/><Relationship Type="http://schemas.openxmlformats.org/officeDocument/2006/relationships/hyperlink" Id="rId103" Target="https://research.bangor.ac.uk/portal/en/researchoutputs/quiet-heart-and-quiet-eye-cardiac-and-ocular-correlates-of-preparation-for-action(3846e672-71ab-4d2e-8ee5-5ecf1b6f228c).html" TargetMode="External"/><Relationship Type="http://schemas.openxmlformats.org/officeDocument/2006/relationships/hyperlink" Id="rId100" Target="https://s3.amazonaws.com/knowen-production/big_attachments/fdf0161367c4801ac8b5a6cc42e8413d/Attention+and+Effort+-+Kahneman.pdf" TargetMode="External"/><Relationship Type="http://schemas.openxmlformats.org/officeDocument/2006/relationships/hyperlink" Id="rId106" Target="https://sagolcenter.org.il/wp-content/uploads/2021/08/rolnick2010.pdf" TargetMode="External"/><Relationship Type="http://schemas.openxmlformats.org/officeDocument/2006/relationships/hyperlink" Id="rId134" Target="https://schematherapysociety.org/event-6354024" TargetMode="External"/><Relationship Type="http://schemas.openxmlformats.org/officeDocument/2006/relationships/hyperlink" Id="rId78" Target="https://scispace.com/papers/a-model-of-neurovisceral-integration-in-emotion-regulation-19hfnlfq8x" TargetMode="External"/><Relationship Type="http://schemas.openxmlformats.org/officeDocument/2006/relationships/hyperlink" Id="rId94" Target="https://scispace.com/pdf/discoverers-of-the-galvanic-skin-response-3oo6ekc9ok.pdf" TargetMode="External"/><Relationship Type="http://schemas.openxmlformats.org/officeDocument/2006/relationships/hyperlink" Id="rId98" Target="https://scispace.com/pdf/the-cold-pressor-test-and-autonomic-function-a-review-and-4hzk4ijzzy.pdf" TargetMode="External"/><Relationship Type="http://schemas.openxmlformats.org/officeDocument/2006/relationships/hyperlink" Id="rId118" Target="https://thedecisionlab.com/reference-guide/psychology/somatic-marker-hypothesis" TargetMode="External"/><Relationship Type="http://schemas.openxmlformats.org/officeDocument/2006/relationships/hyperlink" Id="rId109" Target="https://www.ahajournals.org/doi/10.1161/01.cir.93.5.1043" TargetMode="External"/><Relationship Type="http://schemas.openxmlformats.org/officeDocument/2006/relationships/hyperlink" Id="rId84" Target="https://www.authorea.com/doi/10.22541/au.176362227.70765825" TargetMode="External"/><Relationship Type="http://schemas.openxmlformats.org/officeDocument/2006/relationships/hyperlink" Id="rId136" Target="https://www.brainsigns.com/en/r-d/technologies/galvanic-skin-response-gsr" TargetMode="External"/><Relationship Type="http://schemas.openxmlformats.org/officeDocument/2006/relationships/hyperlink" Id="rId128" Target="https://www.clinicalneuropsychiatry.org/download/when-a-critique-becomes-untenable-a-scholarly-response-to-grossman-et-al-s-evaluation-of-polyvagal-theory/" TargetMode="External"/><Relationship Type="http://schemas.openxmlformats.org/officeDocument/2006/relationships/hyperlink" Id="rId125" Target="https://www.clinicalneuropsychiatry.org/download/why-the-polyvagal-theory-is-untenable-an-international-expert-evaluation-of-the-polyvagal-theory-and-commentary-upon-porges-s-w-2025-polyvagal-theory-current-status-clinical-applications-and/" TargetMode="External"/><Relationship Type="http://schemas.openxmlformats.org/officeDocument/2006/relationships/hyperlink" Id="rId108" Target="https://www.diva-portal.org/smash/get/diva2:345553/INSIDE01.pdf" TargetMode="External"/><Relationship Type="http://schemas.openxmlformats.org/officeDocument/2006/relationships/hyperlink" Id="rId111" Target="https://www.dsu.univr.it/documenti/OccorrenzaIns/matdid/matdid513108.pdf" TargetMode="External"/><Relationship Type="http://schemas.openxmlformats.org/officeDocument/2006/relationships/hyperlink" Id="rId89" Target="https://www.frontiersin.org/journals/behavioral-neuroscience/articles/10.3389/fnbeh.2025.1659083/full" TargetMode="External"/><Relationship Type="http://schemas.openxmlformats.org/officeDocument/2006/relationships/hyperlink" Id="rId77" Target="https://www.frontiersin.org/journals/neuroscience/articles/10.3389/fnins.2019.00500/full" TargetMode="External"/><Relationship Type="http://schemas.openxmlformats.org/officeDocument/2006/relationships/hyperlink" Id="rId83" Target="https://www.frontiersin.org/journals/physiology/articles/10.3389/fphys.2011.00086/full" TargetMode="External"/><Relationship Type="http://schemas.openxmlformats.org/officeDocument/2006/relationships/hyperlink" Id="rId119" Target="https://www.frontiersin.org/journals/psychology/articles/10.3389/fpsyg.2022.848603/full" TargetMode="External"/><Relationship Type="http://schemas.openxmlformats.org/officeDocument/2006/relationships/hyperlink" Id="rId117" Target="https://www.goodreads.com/fr/book/show/103867" TargetMode="External"/><Relationship Type="http://schemas.openxmlformats.org/officeDocument/2006/relationships/hyperlink" Id="rId107" Target="https://www.guilford.com/excerpts/schwartz.pdf" TargetMode="External"/><Relationship Type="http://schemas.openxmlformats.org/officeDocument/2006/relationships/hyperlink" Id="rId147" Target="https://www.guilford.com/excerpts/young.pdf" TargetMode="External"/><Relationship Type="http://schemas.openxmlformats.org/officeDocument/2006/relationships/hyperlink" Id="rId122" Target="https://www.journals.uchicago.edu/doi/10.1093/bjps/axm045" TargetMode="External"/><Relationship Type="http://schemas.openxmlformats.org/officeDocument/2006/relationships/hyperlink" Id="rId93" Target="https://www.monash.edu/__data/assets/pdf_file/0003/956451/6.-Dokumentov_GSR.pdf" TargetMode="External"/><Relationship Type="http://schemas.openxmlformats.org/officeDocument/2006/relationships/hyperlink" Id="rId86" Target="https://www.oatext.com/The%20Human%20Heart%20Rate%20Variability%20Neurobiology%20of%20Psychophysiological%20well%20being%20and%20Planetary%20Resonance.php" TargetMode="External"/><Relationship Type="http://schemas.openxmlformats.org/officeDocument/2006/relationships/hyperlink" Id="rId146" Target="https://www.oxforddevelopmentcentre.co.uk/schema-therapy/" TargetMode="External"/><Relationship Type="http://schemas.openxmlformats.org/officeDocument/2006/relationships/hyperlink" Id="rId129" Target="https://www.polyvagalinstitute.org/criticaldiscussionofpolyvagaltheory" TargetMode="External"/><Relationship Type="http://schemas.openxmlformats.org/officeDocument/2006/relationships/hyperlink" Id="rId123" Target="https://www.praxis-psychologie-berlin.de/en/wikiblog-english/articles/the-polyvagal-theory-under-fire-according-to-paul-grossman-it-is-on-the-whole-probably-incorrect-and-has-been-disproved" TargetMode="External"/><Relationship Type="http://schemas.openxmlformats.org/officeDocument/2006/relationships/hyperlink" Id="rId130" Target="https://www.researchgate.net/profile/Paul-Grossman/publication/400718181_THE_POLYVAGAL_THEORY_IS_UNTENABLE_An_international_expert_evaluation_of_the_polyvagal_theory_and_commentary_upon_Porges/links/698def9112f837212a1a47f2/THE-POLYVAGAL-THEORY-IS-UNTENABLE-An-international-expert-evaluation-of-the-polyvagal-theory-and-commentary-upon-Porges.pdf" TargetMode="External"/><Relationship Type="http://schemas.openxmlformats.org/officeDocument/2006/relationships/hyperlink" Id="rId104" Target="https://www.researchgate.net/publication/16733476_Cardiac-somatic_coupling_during_the_foreperiod_of_a_simple_reaction_time_task" TargetMode="External"/><Relationship Type="http://schemas.openxmlformats.org/officeDocument/2006/relationships/hyperlink" Id="rId76" Target="https://www.researchgate.net/publication/266136436_Psychophysiology" TargetMode="External"/><Relationship Type="http://schemas.openxmlformats.org/officeDocument/2006/relationships/hyperlink" Id="rId101" Target="https://www.researchgate.net/publication/271957560_Heart_rate_and_skin_conductance_responding_during_three_attention-direction_tasks" TargetMode="External"/><Relationship Type="http://schemas.openxmlformats.org/officeDocument/2006/relationships/hyperlink" Id="rId121" Target="https://www.researchgate.net/publication/31029473_The_Somatic_Marker_Hypotheses_and_What_the_Iowa_Gambling_Task_Does_and_Does_not_Show" TargetMode="External"/><Relationship Type="http://schemas.openxmlformats.org/officeDocument/2006/relationships/hyperlink" Id="rId132" Target="https://www.researchgate.net/publication/401474807_When_A_Critique_Becomes_Untenable_A_Scholarly_Response_To_Grossman_Et_Al'S_Evaluation_Of_Polyvagal_Theory" TargetMode="External"/><Relationship Type="http://schemas.openxmlformats.org/officeDocument/2006/relationships/hyperlink" Id="rId114" Target="https://www.researchgate.net/publication/6148858_Evidence_for_differentiation_of_arousal_and_activation_in_normal_adults" TargetMode="External"/><Relationship Type="http://schemas.openxmlformats.org/officeDocument/2006/relationships/hyperlink" Id="rId140" Target="https://www.researchgate.net/scientific-contributions/Paul-A-Obrist-39798805" TargetMode="External"/><Relationship Type="http://schemas.openxmlformats.org/officeDocument/2006/relationships/hyperlink" Id="rId138" Target="https://www.routledge.com/Handbook-of-Emotion-Regulation-Third-Edition/Gross-Ford/p/book/9781462549412" TargetMode="External"/><Relationship Type="http://schemas.openxmlformats.org/officeDocument/2006/relationships/hyperlink" Id="rId149" Target="https://www.schematherapyassociation.org/schema-therapy/" TargetMode="External"/><Relationship Type="http://schemas.openxmlformats.org/officeDocument/2006/relationships/hyperlink" Id="rId145" Target="https://www.scirp.org/reference/referencespapers?referenceid=2625413" TargetMode="External"/><Relationship Type="http://schemas.openxmlformats.org/officeDocument/2006/relationships/hyperlink" Id="rId154" Target="https://www.scribd.com/document/392512358/Andreassi-Concepts" TargetMode="External"/><Relationship Type="http://schemas.openxmlformats.org/officeDocument/2006/relationships/hyperlink" Id="rId80" Target="https://www.semanticscholar.org/paper/A-model-of-neurovisceral-integration-in-emotion-and-Thayer-Lane/c920d9042207280712a25acd53a71ab1ab86c316" TargetMode="External"/><Relationship Type="http://schemas.openxmlformats.org/officeDocument/2006/relationships/hyperlink" Id="rId99" Target="https://www.semanticscholar.org/paper/Somatic-response-patterning-and-stress-%3A-some-of-Lacey/a244602a4d0580cc999bf458acf7463d3d830cbe" TargetMode="External"/><Relationship Type="http://schemas.openxmlformats.org/officeDocument/2006/relationships/hyperlink" Id="rId139" Target="https://www.semanticscholar.org/paper/The-Relationship-Between-Autonomic-Indicators-of-Lazarus-Speisman/1291c232d79586ac9a958cfb855729f8851de508" TargetMode="External"/><Relationship Type="http://schemas.openxmlformats.org/officeDocument/2006/relationships/hyperlink" Id="rId150" Target="https://www.tandfonline.com/doi/full/10.1080/16506073.2025.2522375" TargetMode="External"/><Relationship Type="http://schemas.openxmlformats.org/officeDocument/2006/relationships/hyperlink" Id="rId126" Target="https://www.traumatherapistinstitute.com/trauma-therapist-institute-blog/blog/response-to-grossman-polyvagal-theory-critique" TargetMode="External"/><Relationship Type="http://schemas.openxmlformats.org/officeDocument/2006/relationships/hyperlink" Id="rId151" Target="https://www.vliz.be/imisdocs/publications/39248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2026-06-27T14:42:26Z</dcterms:created>
  <dcterms:modified xsi:type="dcterms:W3CDTF">2026-06-27T14:42:26Z</dcterms:modified>
</cp:coreProperties>
</file>

<file path=docProps/custom.xml><?xml version="1.0" encoding="utf-8"?>
<Properties xmlns="http://schemas.openxmlformats.org/officeDocument/2006/custom-properties" xmlns:vt="http://schemas.openxmlformats.org/officeDocument/2006/docPropsVTypes"/>
</file>