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48b706405607c486a51b7bb65ebeaa43567840d"/>
    <w:p>
      <w:pPr>
        <w:pStyle w:val="Heading1"/>
      </w:pPr>
      <w:r>
        <w:t xml:space="preserve">Historical and Conceptual Foundations of Psychophysiology for Clinical Psychology Research</w:t>
      </w:r>
    </w:p>
    <w:bookmarkStart w:id="23" w:name="what-psychophysiology-is"/>
    <w:p>
      <w:pPr>
        <w:pStyle w:val="Heading2"/>
      </w:pPr>
      <w:r>
        <w:t xml:space="preserve">What psychophysiology is</w:t>
      </w:r>
    </w:p>
    <w:p>
      <w:pPr>
        <w:pStyle w:val="FirstParagraph"/>
      </w:pPr>
      <w:r>
        <w:t xml:space="preserve">Psychophysiology is best understood as the disciplined study of lawful relationships between psychological processes and physiological events in the intact, functioning organism. The Society for Psychophysiological Research defines its mission around research on the interrelationships between physiological and psychological aspects of behavior, while the</w:t>
      </w:r>
      <w:r>
        <w:t xml:space="preserve"> </w:t>
      </w:r>
      <w:r>
        <w:rPr>
          <w:iCs/>
          <w:i/>
        </w:rPr>
        <w:t xml:space="preserve">Handbook of Psychophysiology</w:t>
      </w:r>
      <w:r>
        <w:t xml:space="preserve"> </w:t>
      </w:r>
      <w:r>
        <w:t xml:space="preserve">defines psychophysiology as the scientific study of social, psychological, and behavioral phenomena as related to and revealed through physiological principles and events in functional organisms. Andreassi’s textbook offers a compatible formulation: psychophysiology studies relations between psychological manipulations and resulting physiological responses in living organisms in order to clarify mind-body relations (Andreassi, 2007; Cacioppo et al., 2007). In other words, the field is neither “psychology plus gadgets” nor “physiology applied to emotions.” Its core object is the patterned coupling between persons’ experience, behavior, and bodily regulation.</w:t>
      </w:r>
      <w:r>
        <w:t xml:space="preserve"> </w:t>
      </w:r>
      <w:hyperlink r:id="rId20">
        <w:r>
          <w:rPr>
            <w:rStyle w:val="Hyperlink"/>
          </w:rPr>
          <w:t xml:space="preserve">[1]</w:t>
        </w:r>
      </w:hyperlink>
    </w:p>
    <w:p>
      <w:pPr>
        <w:pStyle w:val="BodyText"/>
      </w:pPr>
      <w:r>
        <w:t xml:space="preserve">Within the broader landscape of psychology and neuroscience, psychophysiology occupies an intermediate but distinctive position. It overlaps with biopsychology and behavioral neuroscience, yet its analytic focus is different. Cacioppo and colleagues argued that psychobiology typically proceeds “bottom-up,” emphasizing physiological structures and mechanisms, whereas psychophysiology more often proceeds “top-down,” using physiological data to illuminate psychological functions in organism-environment transactions (Cacioppo et al., 2007). Andreassi similarly notes that psychophysiology historically differentiated itself by examining physiological responses to psychological manipulations, even though the borders with physiological psychology are now partly blurred (Andreassi, 2007). The field therefore belongs within human neuroscience, but it is not exhausted by brain-centered neuroscience.</w:t>
      </w:r>
      <w:r>
        <w:t xml:space="preserve"> </w:t>
      </w:r>
      <w:hyperlink r:id="rId21">
        <w:r>
          <w:rPr>
            <w:rStyle w:val="Hyperlink"/>
          </w:rPr>
          <w:t xml:space="preserve">[2]</w:t>
        </w:r>
      </w:hyperlink>
    </w:p>
    <w:p>
      <w:pPr>
        <w:pStyle w:val="BodyText"/>
      </w:pPr>
      <w:r>
        <w:t xml:space="preserve">This makes psychophysiology importantly different from neighboring disciplines. Clinical neurophysiology is a medical specialty oriented toward evaluating nervous system function and dysfunction for diagnosis and treatment of neurological disorders; its reference point is pathology and lesion localization, not primarily normal psychological process (International Federation of Clinical Neurophysiology, n.d.). Biopsychology and behavioral neuroscience focus strongly on the biological bases of behavior, especially brain systems, neurotransmission, lesions, and central mechanisms (APA Dictionary of Psychology, n.d.). Neuroimaging methods such as fMRI and PET also differ in emphasis: they measure central activity and, especially in structural and functional imaging, are designed to localize brain substrates of behavior. Andreassi explicitly groups PET, fMRI, and related methods with approaches aimed at identifying brain structure and function rather than the dynamics of bodily response in everyday action. Health psychology, by contrast, is primarily organized around health, illness, prevention, treatment, and disease outcomes, even when it uses psychophysiological concepts (APA Dictionary of Psychology, n.d.). Psychophysiology is unique because it treats peripheral physiology not merely as a clinical sign or biomedical endpoint but as a window into how psychological processes unfold in embodied time.</w:t>
      </w:r>
      <w:r>
        <w:t xml:space="preserve"> </w:t>
      </w:r>
      <w:hyperlink r:id="rId22">
        <w:r>
          <w:rPr>
            <w:rStyle w:val="Hyperlink"/>
          </w:rPr>
          <w:t xml:space="preserve">[3]</w:t>
        </w:r>
      </w:hyperlink>
    </w:p>
    <w:p>
      <w:pPr>
        <w:pStyle w:val="BodyText"/>
      </w:pPr>
      <w:r>
        <w:t xml:space="preserve">What is special about peripheral physiology is not that it is “closer to the truth” than self-report or behavior, but that it tracks bodily mobilization, orienting, regulatory effort, and recovery as they happen. Peripheral measures such as electrodermal activity, cardiac chronotropy, and vagally mediated variability are coupled to action readiness, attention, interpersonal engagement, and stress regulation at a temporal scale often unavailable to interviews or questionnaires. They are also more portable than most brain-imaging methods and can therefore be studied not only in highly controlled laboratory tasks but increasingly in natural environments. For a clinical psychology lab interested in emotion and relationships, this is crucial: peripheral physiology lets researchers follow how a person’s body enters, sustains, and exits emotionally significant states.</w:t>
      </w:r>
      <w:r>
        <w:t xml:space="preserve"> </w:t>
      </w:r>
      <w:hyperlink r:id="rId21">
        <w:r>
          <w:rPr>
            <w:rStyle w:val="Hyperlink"/>
          </w:rPr>
          <w:t xml:space="preserve">[4]</w:t>
        </w:r>
      </w:hyperlink>
    </w:p>
    <w:p>
      <w:pPr>
        <w:pStyle w:val="BodyText"/>
      </w:pPr>
      <w:r>
        <w:t xml:space="preserve">The field’s core epistemological assumption is that psychological states leave systematic, measurable traces in the body’s periphery. Cacioppo and colleagues formulate this as an embodiment premise: perception, thought, emotion, and action are embodied phenomena, so measurements of physical processes can inform scientific understanding of mind. That assumption is warranted not by metaphysical commitment but by repeated evidence that psychological manipulations reliably modulate autonomic, endocrine, neural, and motor outputs. Yet the same authors are equally clear that physiology does not wear its psychological meaning on its face. Knowledge of a physiological system is neither necessary nor sufficient for assigning psychological meaning to a recorded response; psychological interpretation depends on experimental design, psychometric quality, appropriate analysis, and theory (Cacioppo et al., 2007).</w:t>
      </w:r>
      <w:r>
        <w:t xml:space="preserve"> </w:t>
      </w:r>
      <w:hyperlink r:id="rId21">
        <w:r>
          <w:rPr>
            <w:rStyle w:val="Hyperlink"/>
          </w:rPr>
          <w:t xml:space="preserve">[5]</w:t>
        </w:r>
      </w:hyperlink>
    </w:p>
    <w:p>
      <w:pPr>
        <w:pStyle w:val="BodyText"/>
      </w:pPr>
      <w:r>
        <w:t xml:space="preserve">This is the “logic of psychophysiological inference.” A physiological observation can stand in several relations to a psychological state: one-to-one, one-to-many, many-to-one, many-to-many, or null. Cacioppo and Tassinary showed that reverse interpretation from physiology to psychology is strongest only when specificity is high enough to approach one-to-one or at least many-to-one mapping, or when experimental design sharply narrows the competing psychological hypotheses. Otherwise, the same physiological event may support several plausible psychological interpretations. Their general lesson remains foundational: a change in skin conductance, heart rate, or respiratory sinus arrhythmia is not itself an emotion, motive, or schema. It is evidence whose meaning depends on context, measurement quality, and converging theoretical constraints (Cacioppo et al., 2007).</w:t>
      </w:r>
      <w:r>
        <w:t xml:space="preserve"> </w:t>
      </w:r>
      <w:hyperlink r:id="rId21">
        <w:r>
          <w:rPr>
            <w:rStyle w:val="Hyperlink"/>
          </w:rPr>
          <w:t xml:space="preserve">[6]</w:t>
        </w:r>
      </w:hyperlink>
    </w:p>
    <w:bookmarkEnd w:id="23"/>
    <w:bookmarkStart w:id="42" w:name="Xed9b7d75c80c57281aa792f757e06648e1596ee"/>
    <w:p>
      <w:pPr>
        <w:pStyle w:val="Heading2"/>
      </w:pPr>
      <w:r>
        <w:t xml:space="preserve">Historical development from electricity to digital psychophysiology</w:t>
      </w:r>
    </w:p>
    <w:p>
      <w:pPr>
        <w:pStyle w:val="FirstParagraph"/>
      </w:pPr>
      <w:r>
        <w:t xml:space="preserve">The prehistory of psychophysiology began before the field had a name. In 1849, Emil du Bois-Reymond described electrical phenomena at the skin surface while studying animal electricity and muscular physiology. What he observed was real, but he interpreted it through the conceptual vocabulary available to him: the electrical effects were initially understood as muscular or purely physiological, not yet as indicators of psychological state. Only later, after work linking skin electricity to sweat glands and emotional stimulation, did these observations acquire psychological significance. This lag is historically important. It shows that psychophysiology did not emerge simply because instruments existed; it emerged when investigators learned how to interpret bodily signals as functionally related to perception, attention, and emotion.</w:t>
      </w:r>
      <w:r>
        <w:t xml:space="preserve"> </w:t>
      </w:r>
      <w:hyperlink r:id="rId24">
        <w:r>
          <w:rPr>
            <w:rStyle w:val="Hyperlink"/>
          </w:rPr>
          <w:t xml:space="preserve">[7]</w:t>
        </w:r>
      </w:hyperlink>
    </w:p>
    <w:p>
      <w:pPr>
        <w:pStyle w:val="BodyText"/>
      </w:pPr>
      <w:r>
        <w:t xml:space="preserve">Darwin’s</w:t>
      </w:r>
      <w:r>
        <w:t xml:space="preserve"> </w:t>
      </w:r>
      <w:r>
        <w:rPr>
          <w:iCs/>
          <w:i/>
        </w:rPr>
        <w:t xml:space="preserve">The Expression of the Emotions in Man and Animals</w:t>
      </w:r>
      <w:r>
        <w:t xml:space="preserve"> </w:t>
      </w:r>
      <w:r>
        <w:t xml:space="preserve">(1872) supplied one of the conceptual bridges that made later psychophysiology possible. Darwin argued that emotional expressions are not arbitrary cultural ornaments but evolved, species-connected patterns with adaptive histories. Facial movements, posture, blushing, and other bodily signs were therefore legitimate scientific objects. Modern psychophysiology does not simply repeat Darwin, but it inherits his central move: emotions can be studied through their embodied manifestations because those manifestations are part of the emotion process rather than mere after-effects. Darwin’s continuity thesis - that human emotional expression stands in lawful relation to animal expression and to evolutionary function - helped naturalize the study of emotion and place body changes at the center of explanation.</w:t>
      </w:r>
      <w:r>
        <w:t xml:space="preserve"> </w:t>
      </w:r>
      <w:hyperlink r:id="rId25">
        <w:r>
          <w:rPr>
            <w:rStyle w:val="Hyperlink"/>
          </w:rPr>
          <w:t xml:space="preserve">[8]</w:t>
        </w:r>
      </w:hyperlink>
    </w:p>
    <w:p>
      <w:pPr>
        <w:pStyle w:val="BodyText"/>
      </w:pPr>
      <w:r>
        <w:t xml:space="preserve">William James radicalized that move in 1884. In “What Is an Emotion?” he argued, against common sense, that bodily changes follow directly from perception of the exciting fact and that the feeling of those bodily changes is the emotion. James’s claim was revolutionary because it inverted the ordinary sequence. We do not tremble because we are afraid; in an important sense, we feel afraid because we perceive ourselves trembling. The importance of the paper is not that contemporary emotion science accepts every detail of James’s theory. It is that James made bodily feedback conceptually indispensable. He forced psychology to confront the possibility that mind is not a spectator of bodily arousal but partly constituted through it. That intellectual shock reverberates through later work on interoception, autonomic patterning, somatic markers, and contemporary embodied emotion research.</w:t>
      </w:r>
      <w:r>
        <w:t xml:space="preserve"> </w:t>
      </w:r>
      <w:hyperlink r:id="rId26">
        <w:r>
          <w:rPr>
            <w:rStyle w:val="Hyperlink"/>
          </w:rPr>
          <w:t xml:space="preserve">[9]</w:t>
        </w:r>
      </w:hyperlink>
    </w:p>
    <w:p>
      <w:pPr>
        <w:pStyle w:val="BodyText"/>
      </w:pPr>
      <w:r>
        <w:t xml:space="preserve">In the late 1880s and 1890s, Charles Féré and Alfred Binet helped convert scattered observations into systematic electrodermal research. Historical reviews show that Féré’s work on skin resistance under emotional and sensory stimulation laid foundations for later electrodermal recording, while related early studies began to connect skin electrical changes to psychological significance rather than only tissue properties. What mattered here was methodological stabilization. Once electrodermal responses could be elicited and recorded systematically, the body’s periphery became a repeatable laboratory object. That, in turn, made the skin one of the first privileged sites where mind-body covariation could be studied experimentally.</w:t>
      </w:r>
      <w:r>
        <w:t xml:space="preserve"> </w:t>
      </w:r>
      <w:hyperlink r:id="rId27">
        <w:r>
          <w:rPr>
            <w:rStyle w:val="Hyperlink"/>
          </w:rPr>
          <w:t xml:space="preserve">[10]</w:t>
        </w:r>
      </w:hyperlink>
    </w:p>
    <w:p>
      <w:pPr>
        <w:pStyle w:val="BodyText"/>
      </w:pPr>
      <w:r>
        <w:t xml:space="preserve">Walter Cannon provided the first major twentieth-century counterweight to James. In</w:t>
      </w:r>
      <w:r>
        <w:t xml:space="preserve"> </w:t>
      </w:r>
      <w:r>
        <w:rPr>
          <w:iCs/>
          <w:i/>
        </w:rPr>
        <w:t xml:space="preserve">Bodily Changes in Pain, Hunger, Fear and Rage</w:t>
      </w:r>
      <w:r>
        <w:t xml:space="preserve"> </w:t>
      </w:r>
      <w:r>
        <w:t xml:space="preserve">(1915), Cannon synthesized evidence that fear, rage, pain, and intense excitement mobilize the sympathetic-adrenal system for emergency action - the famous fight-or-flight response. In</w:t>
      </w:r>
      <w:r>
        <w:t xml:space="preserve"> </w:t>
      </w:r>
      <w:r>
        <w:rPr>
          <w:iCs/>
          <w:i/>
        </w:rPr>
        <w:t xml:space="preserve">The Wisdom of the Body</w:t>
      </w:r>
      <w:r>
        <w:t xml:space="preserve"> </w:t>
      </w:r>
      <w:r>
        <w:t xml:space="preserve">(1932), he generalized this logic into homeostasis: the organism actively regulates internal constancy in the face of disturbance. Cannon’s contribution was decisive because it made autonomic physiology central to theories of adaptation and emotion. At the same time, Cannon’s 1927 critique of James-Lange argued that viscera are too slow, too undifferentiated, and too insensitive to generate the richness of emotional feeling. That critique was historically powerful, and some parts were right: many autonomic responses are indeed nonspecific, and bodily measures rarely map neatly onto discrete emotions. Still, modern evidence suggests Cannon was partly wrong in treating bodily feedback as too crude to matter. Reviews of emotion physiology and interoception show that some patterned autonomic differences across emotions exist, although they are not perfectly specific, and that bodily feedback contributes importantly to emotional intensity, salience, and conscious feeling. Thus modern work vindicates neither a simple James-Lange nor a pure Cannonian centralism, but a more reciprocal body-brain model.</w:t>
      </w:r>
      <w:r>
        <w:t xml:space="preserve"> </w:t>
      </w:r>
      <w:hyperlink r:id="rId28">
        <w:r>
          <w:rPr>
            <w:rStyle w:val="Hyperlink"/>
          </w:rPr>
          <w:t xml:space="preserve">[11]</w:t>
        </w:r>
      </w:hyperlink>
    </w:p>
    <w:p>
      <w:pPr>
        <w:pStyle w:val="BodyText"/>
      </w:pPr>
      <w:r>
        <w:t xml:space="preserve">Two developments around 1929 widened the scientific horizon. Hans Berger’s first EEG paper demonstrated that electrical activity of the human brain could be recorded noninvasively, inaugurating a different branch of human neuroscience focused on central electrical dynamics. Walter Rudolf Hess’s work, recognized by the 1949 Nobel Prize, mapped diencephalic and hypothalamic control of internal organs and clarified central organization of autonomic function. Together they matter for psychophysiology because they sharpened a distinction that still structures the field today: measuring the brain is not the same as measuring the body, even though both are parts of one organismic system. Berger made central recording visible; Hess showed that peripheral autonomic outputs are centrally organized. Psychophysiology would later thrive in the conceptual space between those insights.</w:t>
      </w:r>
      <w:r>
        <w:t xml:space="preserve"> </w:t>
      </w:r>
      <w:hyperlink r:id="rId29">
        <w:r>
          <w:rPr>
            <w:rStyle w:val="Hyperlink"/>
          </w:rPr>
          <w:t xml:space="preserve">[12]</w:t>
        </w:r>
      </w:hyperlink>
    </w:p>
    <w:p>
      <w:pPr>
        <w:pStyle w:val="BodyText"/>
      </w:pPr>
      <w:r>
        <w:t xml:space="preserve">From the 1930s through the 1970s, psychophysiology became a coherent discipline. No figure was more important to this institutional and conceptual consolidation than John I. Lacey. Working with Beatrice Lacey, he challenged the then-dominant idea of a unitary “general arousal” that should rise and fall in parallel across physiological systems. Their data suggested instead that individuals show characteristic response profiles - “individual response stereotypy” - and that situations themselves also evoke distinct configurations - “situational stereotypy.” This was a profound shift. It implied that autonomic activity cannot be reduced to one scalar dimension of arousal and that psychological meaning may lie in patterned coordination across systems rather than the size of a single response. It also helped move psychosomatic medicine away from vague typologies toward empirically testable response profiles.</w:t>
      </w:r>
      <w:r>
        <w:t xml:space="preserve"> </w:t>
      </w:r>
      <w:hyperlink r:id="rId30">
        <w:r>
          <w:rPr>
            <w:rStyle w:val="Hyperlink"/>
          </w:rPr>
          <w:t xml:space="preserve">[13]</w:t>
        </w:r>
      </w:hyperlink>
    </w:p>
    <w:p>
      <w:pPr>
        <w:pStyle w:val="BodyText"/>
      </w:pPr>
      <w:r>
        <w:t xml:space="preserve">Lacey’s best-known theoretical advance was directional fractionation. Andreassi’s summary remains useful: some tasks produce simultaneous increases in one physiological variable and decreases in another, for example increased skin conductance with heart-rate deceleration. Lacey interpreted these patterns in terms of “intake” versus “rejection” of stimulation. Tasks emphasizing perceptual intake and orienting were associated with cardiac slowing, whereas internally demanding or input-rejecting tasks tended toward acceleration. He later extended this into a cardiac-somatic and baroreceptor-based account in which cardiovascular activity feeds back to influence cortical processing. These proposals were controversial because they directly defied simple activation theory and because their mechanism was difficult to prove. Yet later reassessments concluded that Lacey had seen something real: there is no single autonomic signature of arousal, and heart rate cannot be interpreted without considering task demands, motor preparation, vagal control, and bodily feedback. In hindsight, Lacey was controversial because he was early.</w:t>
      </w:r>
      <w:r>
        <w:t xml:space="preserve"> </w:t>
      </w:r>
      <w:hyperlink r:id="rId31">
        <w:r>
          <w:rPr>
            <w:rStyle w:val="Hyperlink"/>
          </w:rPr>
          <w:t xml:space="preserve">[14]</w:t>
        </w:r>
      </w:hyperlink>
    </w:p>
    <w:p>
      <w:pPr>
        <w:pStyle w:val="BodyText"/>
      </w:pPr>
      <w:r>
        <w:t xml:space="preserve">The controversy sharpened when Paul Obrist proposed that many heart-rate changes could be explained through cardiosomatic coupling - the integration of heart rate with somatomotor activity and metabolic preparation - rather than through Lacey’s baroreceptor-centered cortical theory. The eventual judgment was not that one side won outright, but that both exposed different layers of organization. The empirical record suggested that some heart-rate effects during attention and stress reflect motor-metabolic coupling, while others implicate vagal and baroreflex mechanisms and more complex body-to-brain regulation. That partial reconciliation is historically significant because it moved cardiovascular psychophysiology toward more mechanistic precision.</w:t>
      </w:r>
      <w:r>
        <w:t xml:space="preserve"> </w:t>
      </w:r>
      <w:hyperlink r:id="rId32">
        <w:r>
          <w:rPr>
            <w:rStyle w:val="Hyperlink"/>
          </w:rPr>
          <w:t xml:space="preserve">[15]</w:t>
        </w:r>
      </w:hyperlink>
    </w:p>
    <w:p>
      <w:pPr>
        <w:pStyle w:val="BodyText"/>
      </w:pPr>
      <w:r>
        <w:t xml:space="preserve">The field’s institutionalization followed. The Society for Psychophysiological Research was founded in 1960, and its journal</w:t>
      </w:r>
      <w:r>
        <w:t xml:space="preserve"> </w:t>
      </w:r>
      <w:r>
        <w:rPr>
          <w:iCs/>
          <w:i/>
        </w:rPr>
        <w:t xml:space="preserve">Psychophysiology</w:t>
      </w:r>
      <w:r>
        <w:t xml:space="preserve"> </w:t>
      </w:r>
      <w:r>
        <w:t xml:space="preserve">began in 1964. These developments gave the field a professional identity, shared methodological standards, and a dedicated publication venue. Retrospective bibliometric work shows that the journal became a central node through which cognitive, affective, developmental, and clinical psychophysiology could increasingly interact. Institutionalization mattered not only administratively but epistemically: it made psychophysiology a cumulative discipline rather than a scattering of isolated techniques.</w:t>
      </w:r>
      <w:r>
        <w:t xml:space="preserve"> </w:t>
      </w:r>
      <w:hyperlink r:id="rId20">
        <w:r>
          <w:rPr>
            <w:rStyle w:val="Hyperlink"/>
          </w:rPr>
          <w:t xml:space="preserve">[16]</w:t>
        </w:r>
      </w:hyperlink>
    </w:p>
    <w:p>
      <w:pPr>
        <w:pStyle w:val="BodyText"/>
      </w:pPr>
      <w:r>
        <w:t xml:space="preserve">The biofeedback movement of the late 1960s and early 1970s was the field’s most dramatic episode of overreach and correction. Neal Miller argued in 1969 that visceral and glandular responses could be learned instrumentally, even in curarized rats, apparently challenging the old dogma that autonomic processes were beyond voluntary influence. Elmer and Alyce Green, Gary Schwartz, and others extended the optimism, suggesting that individuals might learn to regulate internal states in clinically meaningful ways. For a time, the implications seemed enormous: perhaps anxiety, hypertension, migraine, and even deeply autonomic processes could be reshaped through reinforcement and feedback. But replications proved uneven. Repeated failures to reproduce key curarized-rat findings forced the field to reconsider how much “voluntary control” had really been shown and whether some effects were mediated by subtle somatic channels or task strategies rather than direct access to the autonomic system. The enduring lesson was not that biofeedback was useless - many applications survived - but that autonomic control is constrained, channel-specific, and easily overinterpreted.</w:t>
      </w:r>
      <w:r>
        <w:t xml:space="preserve"> </w:t>
      </w:r>
      <w:hyperlink r:id="rId33">
        <w:r>
          <w:rPr>
            <w:rStyle w:val="Hyperlink"/>
          </w:rPr>
          <w:t xml:space="preserve">[17]</w:t>
        </w:r>
      </w:hyperlink>
    </w:p>
    <w:p>
      <w:pPr>
        <w:pStyle w:val="BodyText"/>
      </w:pPr>
      <w:r>
        <w:t xml:space="preserve">Heart-rate variability research opened another path. Sayers’s early 1970s work showed that beat-to-beat heart period fluctuations contain meaningful rhythmic components related to respiration and other control systems, and later spectral analysis transformed those fluctuations into quantitative indices of short-term cardiovascular regulation. This was a turning point because it redefined “noise” as signal. Variability itself became psychologically and physiologically informative. The door opened from there to modern HRV, RSA, and models of autonomic flexibility that would become central to affective and clinical psychophysiology.</w:t>
      </w:r>
      <w:r>
        <w:t xml:space="preserve"> </w:t>
      </w:r>
      <w:hyperlink r:id="rId34">
        <w:r>
          <w:rPr>
            <w:rStyle w:val="Hyperlink"/>
          </w:rPr>
          <w:t xml:space="preserve">[18]</w:t>
        </w:r>
      </w:hyperlink>
    </w:p>
    <w:p>
      <w:pPr>
        <w:pStyle w:val="BodyText"/>
      </w:pPr>
      <w:r>
        <w:t xml:space="preserve">The digital turn of the 1980s changed the field practically and conceptually. Computer-based acquisition replaced pen-on-paper traces, allowing continuous multichannel recording, precise event marking, digital filtering, spectral decomposition, larger datasets, and more complex within-person analyses. Stern, Ray, and Quigley later described this as a transformation in available equipment and signal-processing possibilities compared with the pre-digital era. The scientific consequence was not only convenience. Digitization made it possible to study temporal dynamics, coupling across systems, and subtle response morphology in ways earlier analog methods could barely support. Modern psychophysiology is inconceivable without this infrastructural shift.</w:t>
      </w:r>
      <w:r>
        <w:t xml:space="preserve"> </w:t>
      </w:r>
      <w:hyperlink r:id="rId35">
        <w:r>
          <w:rPr>
            <w:rStyle w:val="Hyperlink"/>
          </w:rPr>
          <w:t xml:space="preserve">[19]</w:t>
        </w:r>
      </w:hyperlink>
    </w:p>
    <w:p>
      <w:pPr>
        <w:pStyle w:val="BodyText"/>
      </w:pPr>
      <w:r>
        <w:t xml:space="preserve">Antonio Damasio’s</w:t>
      </w:r>
      <w:r>
        <w:t xml:space="preserve"> </w:t>
      </w:r>
      <w:r>
        <w:rPr>
          <w:iCs/>
          <w:i/>
        </w:rPr>
        <w:t xml:space="preserve">Descartes’ Error</w:t>
      </w:r>
      <w:r>
        <w:t xml:space="preserve"> </w:t>
      </w:r>
      <w:r>
        <w:t xml:space="preserve">(1994) brought psychophysiological ideas into mainstream cognitive neuroscience by proposing the somatic marker hypothesis. Drawing on cases such as Phineas Gage and especially the patient EVR/Elliot, Damasio argued that ventromedial prefrontal damage can spare conventional intelligence while devastating real-life decision making and social judgment. The key claim was that bodily signals linked to prior outcomes bias decision-making under uncertainty. Bechara and colleagues operationalized this with the Iowa Gambling Task, showing that patients with ventromedial prefrontal damage were insensitive to future consequences and later failed to show anticipatory autonomic markers associated with advantageous choice. The theory was influential because it rehabilitated emotion and bodily feedback as components of rationality rather than enemies of reason. Yet it has remained contested. Dunn and colleagues concluded that empirical support was mixed, and Maia and McClelland argued that participants often know more about the task contingencies than early reports suggested. Bechara and colleagues replied that the hypothesis concerns the interface between knowledge, affective biasing, and behavior rather than the total absence of explicit knowledge. The most balanced conclusion is that Damasio helped re-legitimate embodied decision-making, but the exact causal role of peripheral “somatic markers” remains unsettled.</w:t>
      </w:r>
      <w:r>
        <w:t xml:space="preserve"> </w:t>
      </w:r>
      <w:hyperlink r:id="rId36">
        <w:r>
          <w:rPr>
            <w:rStyle w:val="Hyperlink"/>
          </w:rPr>
          <w:t xml:space="preserve">[20]</w:t>
        </w:r>
      </w:hyperlink>
    </w:p>
    <w:p>
      <w:pPr>
        <w:pStyle w:val="BodyText"/>
      </w:pPr>
      <w:r>
        <w:t xml:space="preserve">Stephen Porges’s Polyvagal Theory became one of the most clinically influential and scientifically disputed frameworks in modern psychophysiology. In the mid-1990s and 2001, Porges proposed that autonomic regulation in vertebrates reflects an evolutionary hierarchy: an older unmyelinated vagal system associated with immobilization, a sympathetic mobilization system associated with fight-flight, and a mammalian myelinated ventral vagal system associated with social engagement. In this account, the ventral vagal complex coordinates facial expression, vocalization, listening, and cardiac regulation into a social engagement system, and respiratory sinus arrhythmia serves as a peripheral index of vagal tone and, more specifically in Porges’s formulation, ventral vagal function. The theory’s appeal to clinicians is obvious: it offers a biologically resonant language of safety, connection, defense, and regulation. It also aligns well with relational and trauma-focused therapies.</w:t>
      </w:r>
      <w:r>
        <w:t xml:space="preserve"> </w:t>
      </w:r>
      <w:hyperlink r:id="rId37">
        <w:r>
          <w:rPr>
            <w:rStyle w:val="Hyperlink"/>
          </w:rPr>
          <w:t xml:space="preserve">[21]</w:t>
        </w:r>
      </w:hyperlink>
    </w:p>
    <w:p>
      <w:pPr>
        <w:pStyle w:val="BodyText"/>
      </w:pPr>
      <w:r>
        <w:t xml:space="preserve">At the same time, the strongest scientific critiques have targeted the very claims that made the theory distinctive. Grossman and Taylor argued in 2007 that RSA is often treated too simplistically as a direct measure of vagal tone, because respiration, physical activity, and other factors substantially affect it. Grossman’s 2023 critique went further, contending that key polyvagal premises about distinct vagal pathways, RSA interpretation, and phylogenetic claims are poorly supported or contradicted by comparative neuroanatomy and cardiovascular physiology. Porges and allied commentators have responded that critics misread the theory’s scope, especially the linkage between autonomic state regulation and social engagement, and that its clinical utility should not be reduced to a single measurement claim. A fair conclusion for new researchers is therefore twofold: Polyvagal Theory has been highly generative clinically and heuristically, but its specific anatomical and measurement claims remain scientifically contested. It should be used as a source of hypotheses, not as settled fact.</w:t>
      </w:r>
      <w:r>
        <w:t xml:space="preserve"> </w:t>
      </w:r>
      <w:hyperlink r:id="rId38">
        <w:r>
          <w:rPr>
            <w:rStyle w:val="Hyperlink"/>
          </w:rPr>
          <w:t xml:space="preserve">[22]</w:t>
        </w:r>
      </w:hyperlink>
    </w:p>
    <w:p>
      <w:pPr>
        <w:pStyle w:val="BodyText"/>
      </w:pPr>
      <w:r>
        <w:t xml:space="preserve">After 2000, the field’s center of gravity moved outward from the laboratory. Ambulatory assessment and ecological momentary assessment brought psychophysiology into daily life, combining in-the-moment reports with portable physiological monitoring. Fahrenberg and later Wilhelm and Grossman argued that this shift promised higher ecological validity, less retrospective bias, and the possibility of linking physiology to naturally occurring social and emotional contexts rather than only to laboratory surrogates. The paradigm shift was conceptual as much as technical: researchers could now ask not only “What does stress do in the lab?” but “When, with whom, and under what conditions does stress arise in everyday life?”</w:t>
      </w:r>
      <w:r>
        <w:t xml:space="preserve"> </w:t>
      </w:r>
      <w:hyperlink r:id="rId39">
        <w:r>
          <w:rPr>
            <w:rStyle w:val="Hyperlink"/>
          </w:rPr>
          <w:t xml:space="preserve">[23]</w:t>
        </w:r>
      </w:hyperlink>
    </w:p>
    <w:p>
      <w:pPr>
        <w:pStyle w:val="BodyText"/>
      </w:pPr>
      <w:r>
        <w:t xml:space="preserve">Wearables accelerated this change in the 2010s. Devices such as the Empatica E4 and Shimmer systems made it feasible to collect electrodermal, photoplethysmographic, thermal, movement, and sometimes ECG-related signals with relatively low participant burden. The Empatica E4 was explicitly marketed as a research-grade ambulatory device providing EDA, PPG-derived interbeat interval information, accelerometry, and temperature, and validation studies found it useful under low-movement conditions, though daily-life valid data rates and agreement with laboratory standards are lower than in controlled settings. Shimmer platforms offered flexible research configurations, including finger-based GSR/EDA and pulse sensing, and thus supported studies that needed either more controlled wearable sensing or hybrid lab-field designs. These tools enabled questions about stress, interpersonal contact, therapy processes, sleep, and daily emotion that earlier bench-top systems could scarcely address. Their limitation is equally important: convenience does not erase motion artifacts, sampling constraints, or the psychometric challenge of translating consumer-like platforms into defensible scientific measurements.</w:t>
      </w:r>
      <w:r>
        <w:t xml:space="preserve"> </w:t>
      </w:r>
      <w:hyperlink r:id="rId40">
        <w:r>
          <w:rPr>
            <w:rStyle w:val="Hyperlink"/>
          </w:rPr>
          <w:t xml:space="preserve">[24]</w:t>
        </w:r>
      </w:hyperlink>
    </w:p>
    <w:p>
      <w:pPr>
        <w:pStyle w:val="BodyText"/>
      </w:pPr>
      <w:r>
        <w:t xml:space="preserve">From roughly 2020 to 2025, machine learning became a major growth area in psychophysiology. Three applications dominate. First, algorithms are increasingly used for artifact detection and signal decomposition, especially for EDA collected “in the wild.” Second, supervised models classify affective or stress states from multimodal physiological data, often with impressive within-dataset accuracy. Third, researchers are exploring digital biomarkers for mental health and clinical risk using passive physiological signals from wearables. Recent reviews are cautiously optimistic: machine learning can extract regularities from high-dimensional physiological time series that would be difficult to model manually, but generalization remains the central problem. Many datasets are small, demographically narrow, weakly labeled, or collected under artificial induction paradigms. Accordingly, claims about clinical biomarkers should still be treated as provisional rather than mature translational achievements.</w:t>
      </w:r>
      <w:r>
        <w:t xml:space="preserve"> </w:t>
      </w:r>
      <w:hyperlink r:id="rId41">
        <w:r>
          <w:rPr>
            <w:rStyle w:val="Hyperlink"/>
          </w:rPr>
          <w:t xml:space="preserve">[25]</w:t>
        </w:r>
      </w:hyperlink>
    </w:p>
    <w:bookmarkEnd w:id="42"/>
    <w:bookmarkStart w:id="45" w:name="why-measure-the-body"/>
    <w:p>
      <w:pPr>
        <w:pStyle w:val="Heading2"/>
      </w:pPr>
      <w:r>
        <w:t xml:space="preserve">Why measure the body</w:t>
      </w:r>
    </w:p>
    <w:p>
      <w:pPr>
        <w:pStyle w:val="FirstParagraph"/>
      </w:pPr>
      <w:r>
        <w:t xml:space="preserve">The rationale for psychophysiological measurement in clinical psychology is strongest when physiology is treated as complementary to, rather than a replacement for, self-report and behavior. Its first advantage is temporal resolution. Physiological measures can provide continuous second-by-second traces of mobilization, orienting, recovery, and oscillation. By contrast, retrospective self-report compresses an extended process into a later judgment shaped by memory, narrative, and demand characteristics. Ambulatory pioneers emphasized that daily-life assessment can minimize recall bias, while Wilhelm and Grossman argued that physiology can capture the unfolding of emotional episodes in real time and in real contexts. For emotion-regulation research, this matters because regulation is not merely whether a person says they “felt stressed,” but how rapidly their system activates, whether it remains stuck, and how efficiently it returns toward baseline.</w:t>
      </w:r>
      <w:r>
        <w:t xml:space="preserve"> </w:t>
      </w:r>
      <w:hyperlink r:id="rId39">
        <w:r>
          <w:rPr>
            <w:rStyle w:val="Hyperlink"/>
          </w:rPr>
          <w:t xml:space="preserve">[26]</w:t>
        </w:r>
      </w:hyperlink>
    </w:p>
    <w:p>
      <w:pPr>
        <w:pStyle w:val="BodyText"/>
      </w:pPr>
      <w:r>
        <w:t xml:space="preserve">A second advantage is access to implicit or partially inaccessible processes. Contemporary emotion-regulation frameworks distinguish explicit, conscious, goal-directed regulation from more implicit, automatic, and often nonverbal processes. Physiological activity is useful here because a person may not fully notice, correctly label, or voluntarily disclose the early bodily components of their emotional state. This does not mean physiology reveals a hidden “true emotion” while self-report merely distorts it. Rather, it provides access to a different level of the process - often one that precedes articulable awareness or diverges from what a person is willing or able to say. Clinical populations are especially relevant here, because alexithymia, dissociation, habitual suppression, or intense affect may all weaken the link between felt experience and verbal report.</w:t>
      </w:r>
      <w:r>
        <w:t xml:space="preserve"> </w:t>
      </w:r>
      <w:hyperlink r:id="rId43">
        <w:r>
          <w:rPr>
            <w:rStyle w:val="Hyperlink"/>
          </w:rPr>
          <w:t xml:space="preserve">[27]</w:t>
        </w:r>
      </w:hyperlink>
    </w:p>
    <w:p>
      <w:pPr>
        <w:pStyle w:val="BodyText"/>
      </w:pPr>
      <w:r>
        <w:t xml:space="preserve">The common claim that physiological measures are harder to suppress or fake than self-report is partly right, but only partly. Direct questionnaires are unquestionably vulnerable to social desirability, self-presentation, and motivated distortion, especially for sensitive topics. That is one reason health and personality researchers worry about socially desirable responding. A racing heart or increased skin conductance cannot be edited after the fact in the way a survey answer can. However, physiology is not unfakeable. Breathing, posture, movement, attention, imagery, and learned strategies can all alter peripheral signals; the biofeedback literature exists precisely because some autonomic channels can be modified with practice, though not without limits. Thus the accurate claim is modest: physiological measures are often less directly under propositional control than self-report, but they remain strategically influenceable and context-sensitive. They reduce one class of bias while introducing others.</w:t>
      </w:r>
      <w:r>
        <w:t xml:space="preserve"> </w:t>
      </w:r>
      <w:hyperlink r:id="rId44">
        <w:r>
          <w:rPr>
            <w:rStyle w:val="Hyperlink"/>
          </w:rPr>
          <w:t xml:space="preserve">[28]</w:t>
        </w:r>
      </w:hyperlink>
    </w:p>
    <w:p>
      <w:pPr>
        <w:pStyle w:val="BodyText"/>
      </w:pPr>
      <w:r>
        <w:t xml:space="preserve">The inference problem follows directly from this. An increase in EDA does not mean “the person felt anxious.” It indicates heightened sympathetic cholinergic activation at the sweat glands, which might accompany anxiety, effort, novelty, excitement, pain, surprise, or emotionally significant attention. Cacioppo, Tassinary, and Berntson’s framework remains the correct response to this problem: researchers strengthen interpretation by designing tasks that sharply differentiate competing hypotheses, by using measures with known psychometric properties, by constraining context, and by combining measures so that a many-to-one mapping becomes more informative. In practice, this means physiology is most interpretable when embedded in theory-driven experiments or well-sampled naturalistic designs, not when treated as a free-floating emotional thermometer.</w:t>
      </w:r>
      <w:r>
        <w:t xml:space="preserve"> </w:t>
      </w:r>
      <w:hyperlink r:id="rId21">
        <w:r>
          <w:rPr>
            <w:rStyle w:val="Hyperlink"/>
          </w:rPr>
          <w:t xml:space="preserve">[29]</w:t>
        </w:r>
      </w:hyperlink>
    </w:p>
    <w:p>
      <w:pPr>
        <w:pStyle w:val="BodyText"/>
      </w:pPr>
      <w:r>
        <w:t xml:space="preserve">The deepest value of physiology, then, lies in complementarity. Self-report captures experience and appraisal. Behavioral observation captures expression, performance, and interpersonal action. Peripheral physiology captures embodied regulation and action readiness. Neural measures capture central representation and control. None of these alone is the phenomenon. Their nonidentity is exactly why multimethod research is powerful. When subjective distress, avoidance behavior, and autonomic arousal converge, a construct is strengthened. When they diverge, the divergence is theoretically informative rather than embarrassing. Psychophysiology is therefore valuable not because it replaces psychology with biology, but because it helps psychology measure processes that are whole-body, dynamic, and only partly verbalizable.</w:t>
      </w:r>
      <w:r>
        <w:t xml:space="preserve"> </w:t>
      </w:r>
      <w:hyperlink r:id="rId21">
        <w:r>
          <w:rPr>
            <w:rStyle w:val="Hyperlink"/>
          </w:rPr>
          <w:t xml:space="preserve">[30]</w:t>
        </w:r>
      </w:hyperlink>
    </w:p>
    <w:bookmarkEnd w:id="45"/>
    <w:bookmarkStart w:id="49" w:name="emotion-regulation-and-schema-therapy"/>
    <w:p>
      <w:pPr>
        <w:pStyle w:val="Heading2"/>
      </w:pPr>
      <w:r>
        <w:t xml:space="preserve">Emotion regulation and Schema Therapy</w:t>
      </w:r>
    </w:p>
    <w:p>
      <w:pPr>
        <w:pStyle w:val="FirstParagraph"/>
      </w:pPr>
      <w:r>
        <w:t xml:space="preserve">Emotion theories have long assigned the body a constitutive role, even when they disagree about exactly how. James-Lange placed bodily change first. Appraisal traditions usually treat emotion as arising from the organism’s evaluation of significance, but still describe emotion as a coordinated response tendency involving experience, action, physiology, and expression. Gross’s process model similarly characterizes emotions as unfolding tendencies that include physiological response components and that can be modulated at different points in the generative sequence. Across these traditions, physiology is not peripheral in the colloquial sense of “unimportant.” It is peripheral anatomically but central theoretically, because emotion is consistently modeled as an embodied event rather than a purely cognitive proposition (Gross, 1998; Gross &amp; Thompson, 2007).</w:t>
      </w:r>
      <w:r>
        <w:t xml:space="preserve"> </w:t>
      </w:r>
      <w:hyperlink r:id="rId46">
        <w:r>
          <w:rPr>
            <w:rStyle w:val="Hyperlink"/>
          </w:rPr>
          <w:t xml:space="preserve">[31]</w:t>
        </w:r>
      </w:hyperlink>
    </w:p>
    <w:p>
      <w:pPr>
        <w:pStyle w:val="BodyText"/>
      </w:pPr>
      <w:r>
        <w:t xml:space="preserve">This is why emotion regulation has been linked to autonomic flexibility. Thayer and Lane’s neurovisceral integration model proposed that flexible coordination among central and autonomic systems supports adaptive regulation of affect and attention. Beauchaine argued that cardiac vagal regulation is especially relevant as a marker of emotion regulation and psychopathology. Gross and Thompson likewise emphasized that emotions are dynamic, multicomponential processes that must be modulated across time, not merely “felt more” or “felt less.” From this standpoint, good regulation is not low arousal per se. It is the capacity to mobilize when circumstances require it and to down-regulate when mobilization is no longer adaptive. Clinical dysfunction often appears not as too much physiology in the abstract, but as inflexibility, poor recovery, chronic hyperactivation, or maladaptive shutdown.</w:t>
      </w:r>
      <w:r>
        <w:t xml:space="preserve"> </w:t>
      </w:r>
      <w:hyperlink r:id="rId47">
        <w:r>
          <w:rPr>
            <w:rStyle w:val="Hyperlink"/>
          </w:rPr>
          <w:t xml:space="preserve">[32]</w:t>
        </w:r>
      </w:hyperlink>
    </w:p>
    <w:p>
      <w:pPr>
        <w:pStyle w:val="BodyText"/>
      </w:pPr>
      <w:r>
        <w:t xml:space="preserve">Schema Therapy can be summarized briefly. Young and colleagues define Early Maladaptive Schemas as broad, pervasive themes or patterns regarding oneself and relationships with others, developed during childhood or adolescence, elaborated across life, and dysfunctional to a significant degree. Schema modes are momentary states - combinations of affect, cognition, motivation, and behavior - that become active in particular situations. Contemporary schema-therapy writing emphasizes that modes are experiential states, not just beliefs. On that basis, it is theoretically coherent to say that schemas are “embodied”: when a schema or mode is activated, it should involve not only thoughts and feelings but bodily organization, including arousal, vigilance, withdrawal, or soothing. A physiological signature of a schema would therefore mean a reproducible bodily pattern associated with its activation or regulation, not a simplistic one-to-one biomarker.</w:t>
      </w:r>
      <w:r>
        <w:t xml:space="preserve"> </w:t>
      </w:r>
      <w:hyperlink r:id="rId48">
        <w:r>
          <w:rPr>
            <w:rStyle w:val="Hyperlink"/>
          </w:rPr>
          <w:t xml:space="preserve">[33]</w:t>
        </w:r>
      </w:hyperlink>
    </w:p>
    <w:p>
      <w:pPr>
        <w:pStyle w:val="BodyText"/>
      </w:pPr>
      <w:r>
        <w:t xml:space="preserve">That last point is especially important for a lab studying Schema Therapy with EDA and RSA. There are still relatively few direct schema-therapy psychophysiology studies, so the strongest justification is theoretical rather than purely empirical. If schema activation is understood as the rapid triggering of threat-laden meanings, attachment expectations, and coping modes in emotionally significant contexts, then it should plausibly recruit autonomic arousal systems. On first principles, one would expect schema activation - especially modes organized around vulnerability, mistrust, defectiveness, abandonment, punitive self-attack, or crisis coping - to increase vigilance and mobilization. EDA is an especially plausible index at this stage because it tracks sympathetic activation linked to arousal and salience, regardless of whether the subjective label is fear, shame, anger, or intense effort.</w:t>
      </w:r>
      <w:r>
        <w:t xml:space="preserve"> </w:t>
      </w:r>
      <w:hyperlink r:id="rId21">
        <w:r>
          <w:rPr>
            <w:rStyle w:val="Hyperlink"/>
          </w:rPr>
          <w:t xml:space="preserve">[34]</w:t>
        </w:r>
      </w:hyperlink>
    </w:p>
    <w:p>
      <w:pPr>
        <w:pStyle w:val="BodyText"/>
      </w:pPr>
      <w:r>
        <w:t xml:space="preserve">Conversely, therapy progress in Schema Therapy is not well conceptualized as simply “reduced arousal.” The Healthy Adult mode, as described in schema-therapy formulations, involves reflective capacity, integration, perspective taking, affect tolerance, and flexible coping. Those features align closely with the broader psychophysiological literature on regulatory flexibility. From that literature, one can derive a principled hypothesis that successful therapy should be associated less with flat reactivity than with improved autonomic flexibility - more context-appropriate engagement and more efficient recovery. RSA or broader HRV measures therefore fit conceptually not because they directly measure the Healthy Adult mode, but because they index one bodily aspect of flexible regulation that a strengthened Healthy Adult mode should support. For a new lab, this is the right theoretical bridge: EDA as a candidate signal of schema-linked autonomic arousal, and RSA/HRV as candidate indicators of flexible regulation that may accompany therapeutic integration and relational safety.</w:t>
      </w:r>
      <w:r>
        <w:t xml:space="preserve"> </w:t>
      </w:r>
      <w:hyperlink r:id="rId47">
        <w:r>
          <w:rPr>
            <w:rStyle w:val="Hyperlink"/>
          </w:rPr>
          <w:t xml:space="preserve">[35]</w:t>
        </w:r>
      </w:hyperlink>
    </w:p>
    <w:bookmarkEnd w:id="49"/>
    <w:bookmarkStart w:id="54" w:name="challenges-and-limitations"/>
    <w:p>
      <w:pPr>
        <w:pStyle w:val="Heading2"/>
      </w:pPr>
      <w:r>
        <w:t xml:space="preserve">Challenges and limitations</w:t>
      </w:r>
    </w:p>
    <w:p>
      <w:pPr>
        <w:pStyle w:val="FirstParagraph"/>
      </w:pPr>
      <w:r>
        <w:t xml:space="preserve">The field’s strengths are inseparable from its limitations. The first is individual response specificity. Lacey’s work showed that people differ systematically in how they respond across autonomic channels; one person may show marked cardiovascular reactivity under stress, another stronger electrodermal change, and a third a mixed profile. This means there is no universally privileged measure of “stress response” for every person or every task. For clinical researchers, the implication is sobering and useful: a null effect in one physiological channel does not necessarily mean “nothing happened,” and between-person comparisons are often more interpretable when anchored in repeated within-person patterns.</w:t>
      </w:r>
      <w:r>
        <w:t xml:space="preserve"> </w:t>
      </w:r>
      <w:hyperlink r:id="rId30">
        <w:r>
          <w:rPr>
            <w:rStyle w:val="Hyperlink"/>
          </w:rPr>
          <w:t xml:space="preserve">[13]</w:t>
        </w:r>
      </w:hyperlink>
    </w:p>
    <w:p>
      <w:pPr>
        <w:pStyle w:val="BodyText"/>
      </w:pPr>
      <w:r>
        <w:t xml:space="preserve">A second limitation is the baseline problem. Physiological measures are almost always interpreted relative to baseline, yet baseline itself is not a neutral zero. Wilder’s law of initial values states, in rough form, that response magnitude and sometimes even direction depend strongly on prestimulus level: high initial values may constrain further increases, whereas low initial values may permit larger responses. Later statistical work also warned that some apparent baseline-response relations can be inflated by methodological artifacts if change scores are handled naively. The practical implication is that psychophysiological interpretation requires careful attention to resting state, adaptation period, context, and analytic strategy. Baseline is not just a housekeeping step; it is part of the theory of the response.</w:t>
      </w:r>
      <w:r>
        <w:t xml:space="preserve"> </w:t>
      </w:r>
      <w:hyperlink r:id="rId50">
        <w:r>
          <w:rPr>
            <w:rStyle w:val="Hyperlink"/>
          </w:rPr>
          <w:t xml:space="preserve">[36]</w:t>
        </w:r>
      </w:hyperlink>
    </w:p>
    <w:p>
      <w:pPr>
        <w:pStyle w:val="BodyText"/>
      </w:pPr>
      <w:r>
        <w:t xml:space="preserve">A third limitation is signal artifact. Movement, poor electrode contact, skin-electrode changes, environmental electrical noise, and physiology unrelated to the target psychological process can all contaminate recordings. With wearables, these problems often worsen outside the lab. Recent daily-life validation work found lower valid-data rates in ambulatory settings than in laboratory settings, and practical guides to EDA analysis emphasize just how vulnerable these signals are to movement and contact disturbances. This is not a merely technical nuisance. Artifact can distort estimates of both state changes and individual differences, thereby undermining inference at exactly the point where researchers may be most tempted to overinterpret a visually dramatic waveform.</w:t>
      </w:r>
      <w:r>
        <w:t xml:space="preserve"> </w:t>
      </w:r>
      <w:hyperlink r:id="rId51">
        <w:r>
          <w:rPr>
            <w:rStyle w:val="Hyperlink"/>
          </w:rPr>
          <w:t xml:space="preserve">[37]</w:t>
        </w:r>
      </w:hyperlink>
    </w:p>
    <w:p>
      <w:pPr>
        <w:pStyle w:val="BodyText"/>
      </w:pPr>
      <w:r>
        <w:t xml:space="preserve">The specificity problem remains fundamental. The same physiological response can support multiple psychological interpretations. Elevated EDA may reflect anxiety, effort, novelty, anger, or engagement. Reduced RSA may reflect stress, physical activity, respiratory changes, cognitive load, or measurement confounds rather than a single emotional meaning. Contemporary reviews of autonomic specificity conclude that there is some patterned consistency across emotional states, but not enough to justify naive one-signal-one-emotion inference in most settings. This is exactly why theory, design, and multimethod convergence remain nonoptional in good psychophysiology.</w:t>
      </w:r>
      <w:r>
        <w:t xml:space="preserve"> </w:t>
      </w:r>
      <w:hyperlink r:id="rId21">
        <w:r>
          <w:rPr>
            <w:rStyle w:val="Hyperlink"/>
          </w:rPr>
          <w:t xml:space="preserve">[38]</w:t>
        </w:r>
      </w:hyperlink>
    </w:p>
    <w:p>
      <w:pPr>
        <w:pStyle w:val="BodyText"/>
      </w:pPr>
      <w:r>
        <w:t xml:space="preserve">Lab studies and real-life studies pose a further trade-off. Laboratory paradigms offer control, timing precision, and cleaner signal quality, which strengthens causal inference. Ambulatory studies offer ecological validity, within-person context sampling, and access to everyday processes, but they sacrifice a great deal of control and often data quality. Wilhelm and Grossman explicitly framed advanced ambulatory assessment as a way to move beyond the lab without pretending the lab has become obsolete. The best contemporary position is therefore dialectical: laboratory tasks are indispensable for interpretation, but real-world assessment is indispensable for generalization. A clinically relevant psychophysiology program needs both.</w:t>
      </w:r>
      <w:r>
        <w:t xml:space="preserve"> </w:t>
      </w:r>
      <w:hyperlink r:id="rId52">
        <w:r>
          <w:rPr>
            <w:rStyle w:val="Hyperlink"/>
          </w:rPr>
          <w:t xml:space="preserve">[39]</w:t>
        </w:r>
      </w:hyperlink>
    </w:p>
    <w:p>
      <w:pPr>
        <w:pStyle w:val="BodyText"/>
      </w:pPr>
      <w:r>
        <w:t xml:space="preserve">Finally, psychophysiology is not insulated from the replication crisis. Open-science reviews in the field identify familiar risks: small samples, low statistical power, undisclosed analytic flexibility, heterogeneous preprocessing pipelines, and weak attention to reliability and validity. Clayson recently argued that psychophysiology has urgently needed a “psychometric upgrade,” and open-science workshops within the field have made similar points. Historically, the biofeedback episode offers a clear cautionary tale, as some of the most exciting early findings on visceral learning proved difficult to reproduce. More broadly, many prominent psychophysiological effects remain less settled than textbook summaries imply, especially when they rely on narrow preprocessing choices or poorly estimated individual differences. For new researchers, this is not a counsel of despair. It is an argument for preregistration where possible, transparent preprocessing, careful reliability assessment, adequate sampling, and humility about what a single study can establish.</w:t>
      </w:r>
      <w:r>
        <w:t xml:space="preserve"> </w:t>
      </w:r>
      <w:hyperlink r:id="rId53">
        <w:r>
          <w:rPr>
            <w:rStyle w:val="Hyperlink"/>
          </w:rPr>
          <w:t xml:space="preserve">[40]</w:t>
        </w:r>
      </w:hyperlink>
    </w:p>
    <w:bookmarkEnd w:id="54"/>
    <w:bookmarkStart w:id="56" w:name="references"/>
    <w:p>
      <w:pPr>
        <w:pStyle w:val="Heading2"/>
      </w:pPr>
      <w:r>
        <w:t xml:space="preserve">References</w:t>
      </w:r>
    </w:p>
    <w:p>
      <w:pPr>
        <w:pStyle w:val="FirstParagraph"/>
      </w:pPr>
      <w:r>
        <w:t xml:space="preserve">Andreassi, J. L. (2007).</w:t>
      </w:r>
      <w:r>
        <w:t xml:space="preserve"> </w:t>
      </w:r>
      <w:r>
        <w:rPr>
          <w:iCs/>
          <w:i/>
        </w:rPr>
        <w:t xml:space="preserve">Psychophysiology: Human behavior and physiological response</w:t>
      </w:r>
      <w:r>
        <w:t xml:space="preserve"> </w:t>
      </w:r>
      <w:r>
        <w:t xml:space="preserve">(5th ed.). Lawrence Erlbaum.</w:t>
      </w:r>
    </w:p>
    <w:p>
      <w:pPr>
        <w:pStyle w:val="BodyText"/>
      </w:pPr>
      <w:r>
        <w:t xml:space="preserve">APA Dictionary of Psychology. (n.d.).</w:t>
      </w:r>
      <w:r>
        <w:t xml:space="preserve"> </w:t>
      </w:r>
      <w:r>
        <w:rPr>
          <w:iCs/>
          <w:i/>
        </w:rPr>
        <w:t xml:space="preserve">Biological psychology</w:t>
      </w:r>
      <w:r>
        <w:t xml:space="preserve">. American Psychological Association.</w:t>
      </w:r>
    </w:p>
    <w:p>
      <w:pPr>
        <w:pStyle w:val="BodyText"/>
      </w:pPr>
      <w:r>
        <w:t xml:space="preserve">APA Dictionary of Psychology. (n.d.).</w:t>
      </w:r>
      <w:r>
        <w:t xml:space="preserve"> </w:t>
      </w:r>
      <w:r>
        <w:rPr>
          <w:iCs/>
          <w:i/>
        </w:rPr>
        <w:t xml:space="preserve">Health psychology</w:t>
      </w:r>
      <w:r>
        <w:t xml:space="preserve">. American Psychological Association.</w:t>
      </w:r>
    </w:p>
    <w:p>
      <w:pPr>
        <w:pStyle w:val="BodyText"/>
      </w:pPr>
      <w:r>
        <w:t xml:space="preserve">Barrett, L. F., Quigley, K. S., Bliss-Moreau, E., &amp; Aronson, K. R. (2004). Interoceptive sensitivity and self-reports of emotional experience.</w:t>
      </w:r>
      <w:r>
        <w:t xml:space="preserve"> </w:t>
      </w:r>
      <w:r>
        <w:rPr>
          <w:iCs/>
          <w:i/>
        </w:rPr>
        <w:t xml:space="preserve">Journal of Personality and Social Psychology, 87</w:t>
      </w:r>
      <w:r>
        <w:t xml:space="preserve">(5), 684-697.</w:t>
      </w:r>
    </w:p>
    <w:p>
      <w:pPr>
        <w:pStyle w:val="BodyText"/>
      </w:pPr>
      <w:r>
        <w:t xml:space="preserve">Beauchaine, T. P. (2001). Vagal tone, development, and Gray’s motivational theory: Toward an integrated model of autonomic nervous system functioning in psychopathology.</w:t>
      </w:r>
      <w:r>
        <w:t xml:space="preserve"> </w:t>
      </w:r>
      <w:r>
        <w:rPr>
          <w:iCs/>
          <w:i/>
        </w:rPr>
        <w:t xml:space="preserve">Development and Psychopathology, 13</w:t>
      </w:r>
      <w:r>
        <w:t xml:space="preserve">(2), 183-214.</w:t>
      </w:r>
    </w:p>
    <w:p>
      <w:pPr>
        <w:pStyle w:val="BodyText"/>
      </w:pPr>
      <w:r>
        <w:t xml:space="preserve">Bechara, A., Damasio, A. R., Damasio, H., &amp; Anderson, S. W. (1994). Insensitivity to future consequences following damage to human prefrontal cortex.</w:t>
      </w:r>
      <w:r>
        <w:t xml:space="preserve"> </w:t>
      </w:r>
      <w:r>
        <w:rPr>
          <w:iCs/>
          <w:i/>
        </w:rPr>
        <w:t xml:space="preserve">Cognition, 50</w:t>
      </w:r>
      <w:r>
        <w:t xml:space="preserve">(1-3), 7-15.</w:t>
      </w:r>
    </w:p>
    <w:p>
      <w:pPr>
        <w:pStyle w:val="BodyText"/>
      </w:pPr>
      <w:r>
        <w:t xml:space="preserve">Bechara, A., Damasio, H., Tranel, D., &amp; Damasio, A. R. (1997). Deciding advantageously before knowing the advantageous strategy.</w:t>
      </w:r>
      <w:r>
        <w:t xml:space="preserve"> </w:t>
      </w:r>
      <w:r>
        <w:rPr>
          <w:iCs/>
          <w:i/>
        </w:rPr>
        <w:t xml:space="preserve">Science, 275</w:t>
      </w:r>
      <w:r>
        <w:t xml:space="preserve">(5304), 1293-1295.</w:t>
      </w:r>
    </w:p>
    <w:p>
      <w:pPr>
        <w:pStyle w:val="BodyText"/>
      </w:pPr>
      <w:r>
        <w:t xml:space="preserve">Bechara, A., Damasio, H., Tranel, D., &amp; Damasio, A. R. (2005). The Iowa Gambling Task and the somatic marker hypothesis: Some questions and answers.</w:t>
      </w:r>
      <w:r>
        <w:t xml:space="preserve"> </w:t>
      </w:r>
      <w:r>
        <w:rPr>
          <w:iCs/>
          <w:i/>
        </w:rPr>
        <w:t xml:space="preserve">Trends in Cognitive Sciences, 9</w:t>
      </w:r>
      <w:r>
        <w:t xml:space="preserve">(4), 159-162.</w:t>
      </w:r>
    </w:p>
    <w:p>
      <w:pPr>
        <w:pStyle w:val="BodyText"/>
      </w:pPr>
      <w:r>
        <w:t xml:space="preserve">Berger, H. (1929). Über das Elektrenkephalogramm des Menschen.</w:t>
      </w:r>
      <w:r>
        <w:t xml:space="preserve"> </w:t>
      </w:r>
      <w:r>
        <w:rPr>
          <w:iCs/>
          <w:i/>
        </w:rPr>
        <w:t xml:space="preserve">Archiv für Psychiatrie und Nervenkrankheiten, 87</w:t>
      </w:r>
      <w:r>
        <w:t xml:space="preserve">, 527-570.</w:t>
      </w:r>
    </w:p>
    <w:p>
      <w:pPr>
        <w:pStyle w:val="BodyText"/>
      </w:pPr>
      <w:r>
        <w:t xml:space="preserve">Cacioppo, J. T., Tassinary, L. G., &amp; Berntson, G. G. (2007). Psychophysiological science: Interdisciplinary approaches to classic questions about the mind. In J. T. Cacioppo, L. G. Tassinary, &amp; G. G. Berntson (Eds.),</w:t>
      </w:r>
      <w:r>
        <w:t xml:space="preserve"> </w:t>
      </w:r>
      <w:r>
        <w:rPr>
          <w:iCs/>
          <w:i/>
        </w:rPr>
        <w:t xml:space="preserve">Handbook of psychophysiology</w:t>
      </w:r>
      <w:r>
        <w:t xml:space="preserve"> </w:t>
      </w:r>
      <w:r>
        <w:t xml:space="preserve">(3rd ed., pp. 1-26). Cambridge University Press.</w:t>
      </w:r>
    </w:p>
    <w:p>
      <w:pPr>
        <w:pStyle w:val="BodyText"/>
      </w:pPr>
      <w:r>
        <w:t xml:space="preserve">Cannon, W. B. (1915).</w:t>
      </w:r>
      <w:r>
        <w:t xml:space="preserve"> </w:t>
      </w:r>
      <w:r>
        <w:rPr>
          <w:iCs/>
          <w:i/>
        </w:rPr>
        <w:t xml:space="preserve">Bodily changes in pain, hunger, fear and rage</w:t>
      </w:r>
      <w:r>
        <w:t xml:space="preserve">. D. Appleton.</w:t>
      </w:r>
    </w:p>
    <w:p>
      <w:pPr>
        <w:pStyle w:val="BodyText"/>
      </w:pPr>
      <w:r>
        <w:t xml:space="preserve">Cannon, W. B. (1927). The James-Lange theory of emotions: A critical examination and an alternative theory.</w:t>
      </w:r>
      <w:r>
        <w:t xml:space="preserve"> </w:t>
      </w:r>
      <w:r>
        <w:rPr>
          <w:iCs/>
          <w:i/>
        </w:rPr>
        <w:t xml:space="preserve">American Journal of Psychology, 39</w:t>
      </w:r>
      <w:r>
        <w:t xml:space="preserve">(1/4), 106-124.</w:t>
      </w:r>
    </w:p>
    <w:p>
      <w:pPr>
        <w:pStyle w:val="BodyText"/>
      </w:pPr>
      <w:r>
        <w:t xml:space="preserve">Cannon, W. B. (1932).</w:t>
      </w:r>
      <w:r>
        <w:t xml:space="preserve"> </w:t>
      </w:r>
      <w:r>
        <w:rPr>
          <w:iCs/>
          <w:i/>
        </w:rPr>
        <w:t xml:space="preserve">The wisdom of the body</w:t>
      </w:r>
      <w:r>
        <w:t xml:space="preserve">. W. W. Norton.</w:t>
      </w:r>
    </w:p>
    <w:p>
      <w:pPr>
        <w:pStyle w:val="BodyText"/>
      </w:pPr>
      <w:r>
        <w:t xml:space="preserve">Darwin, C. (1872).</w:t>
      </w:r>
      <w:r>
        <w:t xml:space="preserve"> </w:t>
      </w:r>
      <w:r>
        <w:rPr>
          <w:iCs/>
          <w:i/>
        </w:rPr>
        <w:t xml:space="preserve">The expression of the emotions in man and animals</w:t>
      </w:r>
      <w:r>
        <w:t xml:space="preserve">. John Murray.</w:t>
      </w:r>
    </w:p>
    <w:p>
      <w:pPr>
        <w:pStyle w:val="BodyText"/>
      </w:pPr>
      <w:r>
        <w:t xml:space="preserve">Dawson, M. E., Schell, A. M., &amp; Filion, D. L. (2017). The electrodermal system. In J. T. Cacioppo, L. G. Tassinary, &amp; G. G. Berntson (Eds.),</w:t>
      </w:r>
      <w:r>
        <w:t xml:space="preserve"> </w:t>
      </w:r>
      <w:r>
        <w:rPr>
          <w:iCs/>
          <w:i/>
        </w:rPr>
        <w:t xml:space="preserve">Handbook of psychophysiology</w:t>
      </w:r>
      <w:r>
        <w:t xml:space="preserve"> </w:t>
      </w:r>
      <w:r>
        <w:t xml:space="preserve">(4th ed.). Cambridge University Press.</w:t>
      </w:r>
    </w:p>
    <w:p>
      <w:pPr>
        <w:pStyle w:val="BodyText"/>
      </w:pPr>
      <w:r>
        <w:t xml:space="preserve">Dunn, B. D., Dalgleish, T., &amp; Lawrence, A. D. (2006). The somatic marker hypothesis: A critical evaluation.</w:t>
      </w:r>
      <w:r>
        <w:t xml:space="preserve"> </w:t>
      </w:r>
      <w:r>
        <w:rPr>
          <w:iCs/>
          <w:i/>
        </w:rPr>
        <w:t xml:space="preserve">Neuroscience and Biobehavioral Reviews, 30</w:t>
      </w:r>
      <w:r>
        <w:t xml:space="preserve">(2), 239-271.</w:t>
      </w:r>
    </w:p>
    <w:p>
      <w:pPr>
        <w:pStyle w:val="BodyText"/>
      </w:pPr>
      <w:r>
        <w:t xml:space="preserve">Edwards, D. J. A. (2021). Using schema modes for case conceptualization in schema therapy: An applied clinical approach.</w:t>
      </w:r>
      <w:r>
        <w:t xml:space="preserve"> </w:t>
      </w:r>
      <w:r>
        <w:rPr>
          <w:iCs/>
          <w:i/>
        </w:rPr>
        <w:t xml:space="preserve">Frontiers in Psychology, 12</w:t>
      </w:r>
      <w:r>
        <w:t xml:space="preserve">, Article 763670.</w:t>
      </w:r>
    </w:p>
    <w:p>
      <w:pPr>
        <w:pStyle w:val="BodyText"/>
      </w:pPr>
      <w:r>
        <w:t xml:space="preserve">Eslinger, P. J., &amp; Damasio, A. R. (1985). Severe disturbance of higher cognition after bilateral frontal lobe ablation: Patient EVR.</w:t>
      </w:r>
      <w:r>
        <w:t xml:space="preserve"> </w:t>
      </w:r>
      <w:r>
        <w:rPr>
          <w:iCs/>
          <w:i/>
        </w:rPr>
        <w:t xml:space="preserve">Neurology, 35</w:t>
      </w:r>
      <w:r>
        <w:t xml:space="preserve">(12), 1731-1741.</w:t>
      </w:r>
    </w:p>
    <w:p>
      <w:pPr>
        <w:pStyle w:val="BodyText"/>
      </w:pPr>
      <w:r>
        <w:t xml:space="preserve">Fahrenberg, J. (1996). Ambulatory assessment: Issues and perspectives. In J. Fahrenberg &amp; M. Myrtek (Eds.),</w:t>
      </w:r>
      <w:r>
        <w:t xml:space="preserve"> </w:t>
      </w:r>
      <w:r>
        <w:rPr>
          <w:iCs/>
          <w:i/>
        </w:rPr>
        <w:t xml:space="preserve">Ambulatory assessment: Computer-assisted psychological and psychophysiological methods in monitoring and field studies</w:t>
      </w:r>
      <w:r>
        <w:t xml:space="preserve"> </w:t>
      </w:r>
      <w:r>
        <w:t xml:space="preserve">(pp. 3-20). Hogrefe &amp; Huber.</w:t>
      </w:r>
    </w:p>
    <w:p>
      <w:pPr>
        <w:pStyle w:val="BodyText"/>
      </w:pPr>
      <w:r>
        <w:t xml:space="preserve">Gross, J. J. (1998). The emerging field of emotion regulation: An integrative review.</w:t>
      </w:r>
      <w:r>
        <w:t xml:space="preserve"> </w:t>
      </w:r>
      <w:r>
        <w:rPr>
          <w:iCs/>
          <w:i/>
        </w:rPr>
        <w:t xml:space="preserve">Review of General Psychology, 2</w:t>
      </w:r>
      <w:r>
        <w:t xml:space="preserve">(3), 271-299.</w:t>
      </w:r>
    </w:p>
    <w:p>
      <w:pPr>
        <w:pStyle w:val="BodyText"/>
      </w:pPr>
      <w:r>
        <w:t xml:space="preserve">Gross, J. J., &amp; Thompson, R. A. (2007). Emotion regulation: Conceptual foundations. In J. J. Gross (Ed.),</w:t>
      </w:r>
      <w:r>
        <w:t xml:space="preserve"> </w:t>
      </w:r>
      <w:r>
        <w:rPr>
          <w:iCs/>
          <w:i/>
        </w:rPr>
        <w:t xml:space="preserve">Handbook of emotion regulation</w:t>
      </w:r>
      <w:r>
        <w:t xml:space="preserve"> </w:t>
      </w:r>
      <w:r>
        <w:t xml:space="preserve">(pp. 3-24). Guilford Press.</w:t>
      </w:r>
    </w:p>
    <w:p>
      <w:pPr>
        <w:pStyle w:val="BodyText"/>
      </w:pPr>
      <w:r>
        <w:t xml:space="preserve">Grossman, P. (2023). Respiratory sinus arrhythmia, vagal tone and biobehavioral integration: Beyond parasympathetic function.</w:t>
      </w:r>
      <w:r>
        <w:t xml:space="preserve"> </w:t>
      </w:r>
      <w:r>
        <w:rPr>
          <w:iCs/>
          <w:i/>
        </w:rPr>
        <w:t xml:space="preserve">Biological Psychology, 184</w:t>
      </w:r>
      <w:r>
        <w:t xml:space="preserve">, Article 108589.</w:t>
      </w:r>
    </w:p>
    <w:p>
      <w:pPr>
        <w:pStyle w:val="BodyText"/>
      </w:pPr>
      <w:r>
        <w:t xml:space="preserve">Grossman, P., &amp; Taylor, E. W. (2007). Toward understanding respiratory sinus arrhythmia: Relations to cardiac vagal tone, evolution and biobehavioral functions.</w:t>
      </w:r>
      <w:r>
        <w:t xml:space="preserve"> </w:t>
      </w:r>
      <w:r>
        <w:rPr>
          <w:iCs/>
          <w:i/>
        </w:rPr>
        <w:t xml:space="preserve">Biological Psychology, 74</w:t>
      </w:r>
      <w:r>
        <w:t xml:space="preserve">(2), 263-285.</w:t>
      </w:r>
    </w:p>
    <w:p>
      <w:pPr>
        <w:pStyle w:val="BodyText"/>
      </w:pPr>
      <w:r>
        <w:t xml:space="preserve">Gyurak, A., Gross, J. J., &amp; Etkin, A. (2011). Explicit and implicit emotion regulation: A dual-process framework.</w:t>
      </w:r>
      <w:r>
        <w:t xml:space="preserve"> </w:t>
      </w:r>
      <w:r>
        <w:rPr>
          <w:iCs/>
          <w:i/>
        </w:rPr>
        <w:t xml:space="preserve">Cognition and Emotion, 25</w:t>
      </w:r>
      <w:r>
        <w:t xml:space="preserve">(3), 400-412.</w:t>
      </w:r>
    </w:p>
    <w:p>
      <w:pPr>
        <w:pStyle w:val="BodyText"/>
      </w:pPr>
      <w:r>
        <w:t xml:space="preserve">Hess, W. R. (1949). Nobel lecture: Diencephalon and autonomic functions. In</w:t>
      </w:r>
      <w:r>
        <w:t xml:space="preserve"> </w:t>
      </w:r>
      <w:r>
        <w:rPr>
          <w:iCs/>
          <w:i/>
        </w:rPr>
        <w:t xml:space="preserve">Nobel lectures in physiology or medicine</w:t>
      </w:r>
      <w:r>
        <w:t xml:space="preserve">. Nobel Foundation.</w:t>
      </w:r>
    </w:p>
    <w:p>
      <w:pPr>
        <w:pStyle w:val="BodyText"/>
      </w:pPr>
      <w:r>
        <w:t xml:space="preserve">International Federation of Clinical Neurophysiology. (n.d.).</w:t>
      </w:r>
      <w:r>
        <w:t xml:space="preserve"> </w:t>
      </w:r>
      <w:r>
        <w:rPr>
          <w:iCs/>
          <w:i/>
        </w:rPr>
        <w:t xml:space="preserve">Clinical neurophysiology</w:t>
      </w:r>
      <w:r>
        <w:t xml:space="preserve">. IFCN.</w:t>
      </w:r>
    </w:p>
    <w:p>
      <w:pPr>
        <w:pStyle w:val="BodyText"/>
      </w:pPr>
      <w:r>
        <w:t xml:space="preserve">James, W. (1884). What is an emotion?</w:t>
      </w:r>
      <w:r>
        <w:t xml:space="preserve"> </w:t>
      </w:r>
      <w:r>
        <w:rPr>
          <w:iCs/>
          <w:i/>
        </w:rPr>
        <w:t xml:space="preserve">Mind, 9</w:t>
      </w:r>
      <w:r>
        <w:t xml:space="preserve">(34), 188-205.</w:t>
      </w:r>
    </w:p>
    <w:p>
      <w:pPr>
        <w:pStyle w:val="BodyText"/>
      </w:pPr>
      <w:r>
        <w:t xml:space="preserve">Jennings, J. R., &amp; Coles, M. G. H. (2006). John I. Lacey 1915-2004. In</w:t>
      </w:r>
      <w:r>
        <w:t xml:space="preserve"> </w:t>
      </w:r>
      <w:r>
        <w:rPr>
          <w:iCs/>
          <w:i/>
        </w:rPr>
        <w:t xml:space="preserve">Biographical memoirs</w:t>
      </w:r>
      <w:r>
        <w:t xml:space="preserve"> </w:t>
      </w:r>
      <w:r>
        <w:t xml:space="preserve">(Vol. 88). National Academy of Sciences.</w:t>
      </w:r>
    </w:p>
    <w:p>
      <w:pPr>
        <w:pStyle w:val="BodyText"/>
      </w:pPr>
      <w:r>
        <w:t xml:space="preserve">Lacey, J. I. (1967). Somatic response patterning and stress: Some revisions of activation theory. In M. H. Appley &amp; R. Trumbull (Eds.),</w:t>
      </w:r>
      <w:r>
        <w:t xml:space="preserve"> </w:t>
      </w:r>
      <w:r>
        <w:rPr>
          <w:iCs/>
          <w:i/>
        </w:rPr>
        <w:t xml:space="preserve">Psychological stress: Issues in research</w:t>
      </w:r>
      <w:r>
        <w:t xml:space="preserve"> </w:t>
      </w:r>
      <w:r>
        <w:t xml:space="preserve">(pp. 14-37). Appleton-Century-Crofts.</w:t>
      </w:r>
    </w:p>
    <w:p>
      <w:pPr>
        <w:pStyle w:val="BodyText"/>
      </w:pPr>
      <w:r>
        <w:t xml:space="preserve">Maia, T. V., &amp; McClelland, J. L. (2004). A reexamination of the evidence for the somatic marker hypothesis: What participants really know in the Iowa Gambling Task.</w:t>
      </w:r>
      <w:r>
        <w:t xml:space="preserve"> </w:t>
      </w:r>
      <w:r>
        <w:rPr>
          <w:iCs/>
          <w:i/>
        </w:rPr>
        <w:t xml:space="preserve">Proceedings of the National Academy of Sciences of the United States of America, 101</w:t>
      </w:r>
      <w:r>
        <w:t xml:space="preserve">(45), 16075-16080.</w:t>
      </w:r>
    </w:p>
    <w:p>
      <w:pPr>
        <w:pStyle w:val="BodyText"/>
      </w:pPr>
      <w:r>
        <w:t xml:space="preserve">Neal Miller, N. E. (1969). Learning of visceral and glandular responses.</w:t>
      </w:r>
      <w:r>
        <w:t xml:space="preserve"> </w:t>
      </w:r>
      <w:r>
        <w:rPr>
          <w:iCs/>
          <w:i/>
        </w:rPr>
        <w:t xml:space="preserve">Science, 163</w:t>
      </w:r>
      <w:r>
        <w:t xml:space="preserve">(3866), 434-445.</w:t>
      </w:r>
    </w:p>
    <w:p>
      <w:pPr>
        <w:pStyle w:val="BodyText"/>
      </w:pPr>
      <w:r>
        <w:t xml:space="preserve">Obrist, P. A. (1981). The cardiac-somatic relationship. In</w:t>
      </w:r>
      <w:r>
        <w:t xml:space="preserve"> </w:t>
      </w:r>
      <w:r>
        <w:rPr>
          <w:iCs/>
          <w:i/>
        </w:rPr>
        <w:t xml:space="preserve">Cardiovascular psychophysiology</w:t>
      </w:r>
      <w:r>
        <w:t xml:space="preserve"> </w:t>
      </w:r>
      <w:r>
        <w:t xml:space="preserve">(pp. 47-81). Plenum Press.</w:t>
      </w:r>
    </w:p>
    <w:p>
      <w:pPr>
        <w:pStyle w:val="BodyText"/>
      </w:pPr>
      <w:r>
        <w:t xml:space="preserve">Porges, S. W. (1995). Orienting in a defensive world: Mammalian modifications of our evolutionary heritage. A Polyvagal Theory.</w:t>
      </w:r>
      <w:r>
        <w:t xml:space="preserve"> </w:t>
      </w:r>
      <w:r>
        <w:rPr>
          <w:iCs/>
          <w:i/>
        </w:rPr>
        <w:t xml:space="preserve">Psychophysiology, 32</w:t>
      </w:r>
      <w:r>
        <w:t xml:space="preserve">(4), 301-318.</w:t>
      </w:r>
    </w:p>
    <w:p>
      <w:pPr>
        <w:pStyle w:val="BodyText"/>
      </w:pPr>
      <w:r>
        <w:t xml:space="preserve">Porges, S. W. (2001). The polyvagal theory: Phylogenetic substrates of a social nervous system.</w:t>
      </w:r>
      <w:r>
        <w:t xml:space="preserve"> </w:t>
      </w:r>
      <w:r>
        <w:rPr>
          <w:iCs/>
          <w:i/>
        </w:rPr>
        <w:t xml:space="preserve">International Journal of Psychophysiology, 42</w:t>
      </w:r>
      <w:r>
        <w:t xml:space="preserve">(2), 123-146.</w:t>
      </w:r>
    </w:p>
    <w:p>
      <w:pPr>
        <w:pStyle w:val="BodyText"/>
      </w:pPr>
      <w:r>
        <w:t xml:space="preserve">Porges, S. W. (2011).</w:t>
      </w:r>
      <w:r>
        <w:t xml:space="preserve"> </w:t>
      </w:r>
      <w:r>
        <w:rPr>
          <w:iCs/>
          <w:i/>
        </w:rPr>
        <w:t xml:space="preserve">The polyvagal theory: Neurophysiological foundations of emotions, attachment, communication, and self-regulation</w:t>
      </w:r>
      <w:r>
        <w:t xml:space="preserve">. W. W. Norton.</w:t>
      </w:r>
    </w:p>
    <w:p>
      <w:pPr>
        <w:pStyle w:val="BodyText"/>
      </w:pPr>
      <w:r>
        <w:t xml:space="preserve">Sayers, B. M. (1973). Analysis of heart rate variability.</w:t>
      </w:r>
      <w:r>
        <w:t xml:space="preserve"> </w:t>
      </w:r>
      <w:r>
        <w:rPr>
          <w:iCs/>
          <w:i/>
        </w:rPr>
        <w:t xml:space="preserve">Ergonomics, 16</w:t>
      </w:r>
      <w:r>
        <w:t xml:space="preserve">(1), 17-32.</w:t>
      </w:r>
    </w:p>
    <w:p>
      <w:pPr>
        <w:pStyle w:val="BodyText"/>
      </w:pPr>
      <w:r>
        <w:t xml:space="preserve">Society for Psychophysiological Research. (n.d.).</w:t>
      </w:r>
      <w:r>
        <w:t xml:space="preserve"> </w:t>
      </w:r>
      <w:r>
        <w:rPr>
          <w:iCs/>
          <w:i/>
        </w:rPr>
        <w:t xml:space="preserve">History</w:t>
      </w:r>
      <w:r>
        <w:t xml:space="preserve">. SPR.</w:t>
      </w:r>
    </w:p>
    <w:p>
      <w:pPr>
        <w:pStyle w:val="BodyText"/>
      </w:pPr>
      <w:r>
        <w:t xml:space="preserve">Society for Psychophysiological Research. (n.d.).</w:t>
      </w:r>
      <w:r>
        <w:t xml:space="preserve"> </w:t>
      </w:r>
      <w:r>
        <w:rPr>
          <w:iCs/>
          <w:i/>
        </w:rPr>
        <w:t xml:space="preserve">Psychophysiology journal: Aims and scope</w:t>
      </w:r>
      <w:r>
        <w:t xml:space="preserve">. SPR.</w:t>
      </w:r>
    </w:p>
    <w:p>
      <w:pPr>
        <w:pStyle w:val="BodyText"/>
      </w:pPr>
      <w:r>
        <w:t xml:space="preserve">Thayer, J. F., &amp; Lane, R. D. (2000). A model of neurovisceral integration in emotion regulation and dysregulation.</w:t>
      </w:r>
      <w:r>
        <w:t xml:space="preserve"> </w:t>
      </w:r>
      <w:r>
        <w:rPr>
          <w:iCs/>
          <w:i/>
        </w:rPr>
        <w:t xml:space="preserve">Journal of Affective Disorders, 61</w:t>
      </w:r>
      <w:r>
        <w:t xml:space="preserve">(3), 201-216.</w:t>
      </w:r>
    </w:p>
    <w:p>
      <w:pPr>
        <w:pStyle w:val="BodyText"/>
      </w:pPr>
      <w:r>
        <w:t xml:space="preserve">Widacki, J. (2015). Discoverers of the galvanic skin response.</w:t>
      </w:r>
      <w:r>
        <w:t xml:space="preserve"> </w:t>
      </w:r>
      <w:r>
        <w:rPr>
          <w:iCs/>
          <w:i/>
        </w:rPr>
        <w:t xml:space="preserve">European Polygraph, 9</w:t>
      </w:r>
      <w:r>
        <w:t xml:space="preserve">(4), 165-173.</w:t>
      </w:r>
    </w:p>
    <w:p>
      <w:pPr>
        <w:pStyle w:val="BodyText"/>
      </w:pPr>
      <w:r>
        <w:t xml:space="preserve">Wilhelm, F. H., &amp; Grossman, P. (2010). Emotions beyond the laboratory: Theoretical fundaments, study design, and analytic strategies for advanced ambulatory assessment.</w:t>
      </w:r>
      <w:r>
        <w:t xml:space="preserve"> </w:t>
      </w:r>
      <w:r>
        <w:rPr>
          <w:iCs/>
          <w:i/>
        </w:rPr>
        <w:t xml:space="preserve">Biological Psychology, 84</w:t>
      </w:r>
      <w:r>
        <w:t xml:space="preserve">(3), 552-569.</w:t>
      </w:r>
    </w:p>
    <w:p>
      <w:pPr>
        <w:pStyle w:val="BodyText"/>
      </w:pPr>
      <w:r>
        <w:t xml:space="preserve">Wilder, J. (1962). Basimetric approach (law of initial value) to biological rhythms.</w:t>
      </w:r>
      <w:r>
        <w:t xml:space="preserve"> </w:t>
      </w:r>
      <w:r>
        <w:rPr>
          <w:iCs/>
          <w:i/>
        </w:rPr>
        <w:t xml:space="preserve">Annals of the New York Academy of Sciences, 98</w:t>
      </w:r>
      <w:r>
        <w:t xml:space="preserve">(4), 1211-1220.</w:t>
      </w:r>
    </w:p>
    <w:p>
      <w:pPr>
        <w:pStyle w:val="BodyText"/>
      </w:pPr>
      <w:r>
        <w:t xml:space="preserve">Young, J. E., Klosko, J. S., &amp; Weishaar, M. E. (2003).</w:t>
      </w:r>
      <w:r>
        <w:t xml:space="preserve"> </w:t>
      </w:r>
      <w:r>
        <w:rPr>
          <w:iCs/>
          <w:i/>
        </w:rPr>
        <w:t xml:space="preserve">Schema therapy: A practitioner’s guide</w:t>
      </w:r>
      <w:r>
        <w:t xml:space="preserve">. Guilford Press.</w:t>
      </w:r>
    </w:p>
    <w:p>
      <w:pPr>
        <w:pStyle w:val="BodyText"/>
      </w:pPr>
      <w:r>
        <w:t xml:space="preserve">Open questions remain at the edges of this history. The early du Bois-Reymond-Féré chronology still depends partly on later historical reconstruction because some foundational texts are difficult to access in English, and the exact scientific standing of Polyvagal Theory differs sharply across clinical and physiological literatures. Those uncertainties do not weaken the main conclusion of this section: psychophysiology has developed through a long argument about how much the body reveals, under what conditions, and with what inferential safeguards.</w:t>
      </w:r>
      <w:r>
        <w:t xml:space="preserve"> </w:t>
      </w:r>
      <w:hyperlink r:id="rId55">
        <w:r>
          <w:rPr>
            <w:rStyle w:val="Hyperlink"/>
          </w:rPr>
          <w:t xml:space="preserve">[41]</w:t>
        </w:r>
      </w:hyperlink>
    </w:p>
    <w:p>
      <w:pPr>
        <w:pStyle w:val="BodyText"/>
      </w:pPr>
      <w:hyperlink r:id="rId20">
        <w:r>
          <w:rPr>
            <w:rStyle w:val="Hyperlink"/>
          </w:rPr>
          <w:t xml:space="preserve">[1]</w:t>
        </w:r>
      </w:hyperlink>
      <w:r>
        <w:t xml:space="preserve"> </w:t>
      </w:r>
      <w:hyperlink r:id="rId20">
        <w:r>
          <w:rPr>
            <w:rStyle w:val="Hyperlink"/>
          </w:rPr>
          <w:t xml:space="preserve">[16]</w:t>
        </w:r>
      </w:hyperlink>
      <w:r>
        <w:t xml:space="preserve"> </w:t>
      </w:r>
      <w:r>
        <w:t xml:space="preserve">https://sprweb.org/history/</w:t>
      </w:r>
    </w:p>
    <w:p>
      <w:pPr>
        <w:pStyle w:val="BodyText"/>
      </w:pPr>
      <w:hyperlink r:id="rId20">
        <w:r>
          <w:rPr>
            <w:rStyle w:val="Hyperlink"/>
          </w:rPr>
          <w:t xml:space="preserve">https://sprweb.org/history/</w:t>
        </w:r>
      </w:hyperlink>
    </w:p>
    <w:p>
      <w:pPr>
        <w:pStyle w:val="BodyText"/>
      </w:pPr>
      <w:hyperlink r:id="rId21">
        <w:r>
          <w:rPr>
            <w:rStyle w:val="Hyperlink"/>
          </w:rPr>
          <w:t xml:space="preserve">[2]</w:t>
        </w:r>
      </w:hyperlink>
      <w:r>
        <w:t xml:space="preserve"> </w:t>
      </w:r>
      <w:hyperlink r:id="rId21">
        <w:r>
          <w:rPr>
            <w:rStyle w:val="Hyperlink"/>
          </w:rPr>
          <w:t xml:space="preserve">[4]</w:t>
        </w:r>
      </w:hyperlink>
      <w:r>
        <w:t xml:space="preserve"> </w:t>
      </w:r>
      <w:hyperlink r:id="rId21">
        <w:r>
          <w:rPr>
            <w:rStyle w:val="Hyperlink"/>
          </w:rPr>
          <w:t xml:space="preserve">[5]</w:t>
        </w:r>
      </w:hyperlink>
      <w:r>
        <w:t xml:space="preserve"> </w:t>
      </w:r>
      <w:hyperlink r:id="rId21">
        <w:r>
          <w:rPr>
            <w:rStyle w:val="Hyperlink"/>
          </w:rPr>
          <w:t xml:space="preserve">[6]</w:t>
        </w:r>
      </w:hyperlink>
      <w:r>
        <w:t xml:space="preserve"> </w:t>
      </w:r>
      <w:hyperlink r:id="rId21">
        <w:r>
          <w:rPr>
            <w:rStyle w:val="Hyperlink"/>
          </w:rPr>
          <w:t xml:space="preserve">[29]</w:t>
        </w:r>
      </w:hyperlink>
      <w:r>
        <w:t xml:space="preserve"> </w:t>
      </w:r>
      <w:hyperlink r:id="rId21">
        <w:r>
          <w:rPr>
            <w:rStyle w:val="Hyperlink"/>
          </w:rPr>
          <w:t xml:space="preserve">[30]</w:t>
        </w:r>
      </w:hyperlink>
      <w:r>
        <w:t xml:space="preserve"> </w:t>
      </w:r>
      <w:hyperlink r:id="rId21">
        <w:r>
          <w:rPr>
            <w:rStyle w:val="Hyperlink"/>
          </w:rPr>
          <w:t xml:space="preserve">[34]</w:t>
        </w:r>
      </w:hyperlink>
      <w:r>
        <w:t xml:space="preserve"> </w:t>
      </w:r>
      <w:hyperlink r:id="rId21">
        <w:r>
          <w:rPr>
            <w:rStyle w:val="Hyperlink"/>
          </w:rPr>
          <w:t xml:space="preserve">[38]</w:t>
        </w:r>
      </w:hyperlink>
      <w:r>
        <w:t xml:space="preserve"> </w:t>
      </w:r>
      <w:r>
        <w:t xml:space="preserve">https://api.pageplace.de/preview/DT0400.9781316728581_A28992329/preview-9781316728581_A28992329.pdf</w:t>
      </w:r>
    </w:p>
    <w:p>
      <w:pPr>
        <w:pStyle w:val="BodyText"/>
      </w:pPr>
      <w:hyperlink r:id="rId21">
        <w:r>
          <w:rPr>
            <w:rStyle w:val="Hyperlink"/>
          </w:rPr>
          <w:t xml:space="preserve">https://api.pageplace.de/preview/DT0400.9781316728581_A28992329/preview-9781316728581_A28992329.pdf</w:t>
        </w:r>
      </w:hyperlink>
    </w:p>
    <w:p>
      <w:pPr>
        <w:pStyle w:val="BodyText"/>
      </w:pPr>
      <w:hyperlink r:id="rId22">
        <w:r>
          <w:rPr>
            <w:rStyle w:val="Hyperlink"/>
          </w:rPr>
          <w:t xml:space="preserve">[3]</w:t>
        </w:r>
      </w:hyperlink>
      <w:r>
        <w:t xml:space="preserve"> </w:t>
      </w:r>
      <w:r>
        <w:t xml:space="preserve">https://www.ifcn.info/</w:t>
      </w:r>
    </w:p>
    <w:p>
      <w:pPr>
        <w:pStyle w:val="BodyText"/>
      </w:pPr>
      <w:hyperlink r:id="rId22">
        <w:r>
          <w:rPr>
            <w:rStyle w:val="Hyperlink"/>
          </w:rPr>
          <w:t xml:space="preserve">https://www.ifcn.info/</w:t>
        </w:r>
      </w:hyperlink>
    </w:p>
    <w:p>
      <w:pPr>
        <w:pStyle w:val="BodyText"/>
      </w:pPr>
      <w:hyperlink r:id="rId24">
        <w:r>
          <w:rPr>
            <w:rStyle w:val="Hyperlink"/>
          </w:rPr>
          <w:t xml:space="preserve">[7]</w:t>
        </w:r>
      </w:hyperlink>
      <w:r>
        <w:t xml:space="preserve"> </w:t>
      </w:r>
      <w:r>
        <w:t xml:space="preserve">https://archive.org/details/bub_gb_AtkPAAAAQAAJ</w:t>
      </w:r>
    </w:p>
    <w:p>
      <w:pPr>
        <w:pStyle w:val="BodyText"/>
      </w:pPr>
      <w:hyperlink r:id="rId24">
        <w:r>
          <w:rPr>
            <w:rStyle w:val="Hyperlink"/>
          </w:rPr>
          <w:t xml:space="preserve">https://archive.org/details/bub_gb_AtkPAAAAQAAJ</w:t>
        </w:r>
      </w:hyperlink>
    </w:p>
    <w:p>
      <w:pPr>
        <w:pStyle w:val="BodyText"/>
      </w:pPr>
      <w:hyperlink r:id="rId25">
        <w:r>
          <w:rPr>
            <w:rStyle w:val="Hyperlink"/>
          </w:rPr>
          <w:t xml:space="preserve">[8]</w:t>
        </w:r>
      </w:hyperlink>
      <w:r>
        <w:t xml:space="preserve"> </w:t>
      </w:r>
      <w:r>
        <w:t xml:space="preserve">https://darwin-online.org.uk/converted/pdf/1897_Expression_F1152.pdf</w:t>
      </w:r>
    </w:p>
    <w:p>
      <w:pPr>
        <w:pStyle w:val="BodyText"/>
      </w:pPr>
      <w:hyperlink r:id="rId25">
        <w:r>
          <w:rPr>
            <w:rStyle w:val="Hyperlink"/>
          </w:rPr>
          <w:t xml:space="preserve">https://darwin-online.org.uk/converted/pdf/1897_Expression_F1152.pdf</w:t>
        </w:r>
      </w:hyperlink>
    </w:p>
    <w:p>
      <w:pPr>
        <w:pStyle w:val="BodyText"/>
      </w:pPr>
      <w:hyperlink r:id="rId26">
        <w:r>
          <w:rPr>
            <w:rStyle w:val="Hyperlink"/>
          </w:rPr>
          <w:t xml:space="preserve">[9]</w:t>
        </w:r>
      </w:hyperlink>
      <w:r>
        <w:t xml:space="preserve"> </w:t>
      </w:r>
      <w:r>
        <w:t xml:space="preserve">https://gruberpeplab.com/3131/James_1884_WhatisanEmotion.pdf</w:t>
      </w:r>
    </w:p>
    <w:p>
      <w:pPr>
        <w:pStyle w:val="BodyText"/>
      </w:pPr>
      <w:hyperlink r:id="rId26">
        <w:r>
          <w:rPr>
            <w:rStyle w:val="Hyperlink"/>
          </w:rPr>
          <w:t xml:space="preserve">https://gruberpeplab.com/3131/James_1884_WhatisanEmotion.pdf</w:t>
        </w:r>
      </w:hyperlink>
    </w:p>
    <w:p>
      <w:pPr>
        <w:pStyle w:val="BodyText"/>
      </w:pPr>
      <w:hyperlink r:id="rId27">
        <w:r>
          <w:rPr>
            <w:rStyle w:val="Hyperlink"/>
          </w:rPr>
          <w:t xml:space="preserve">[10]</w:t>
        </w:r>
      </w:hyperlink>
      <w:r>
        <w:t xml:space="preserve"> </w:t>
      </w:r>
      <w:r>
        <w:t xml:space="preserve">https://scielo.isciii.es/pdf/ap/v37n3/1695-2294-ap-37-03-406.pdf</w:t>
      </w:r>
    </w:p>
    <w:p>
      <w:pPr>
        <w:pStyle w:val="BodyText"/>
      </w:pPr>
      <w:hyperlink r:id="rId27">
        <w:r>
          <w:rPr>
            <w:rStyle w:val="Hyperlink"/>
          </w:rPr>
          <w:t xml:space="preserve">https://scielo.isciii.es/pdf/ap/v37n3/1695-2294-ap-37-03-406.pdf</w:t>
        </w:r>
      </w:hyperlink>
    </w:p>
    <w:p>
      <w:pPr>
        <w:pStyle w:val="BodyText"/>
      </w:pPr>
      <w:hyperlink r:id="rId28">
        <w:r>
          <w:rPr>
            <w:rStyle w:val="Hyperlink"/>
          </w:rPr>
          <w:t xml:space="preserve">[11]</w:t>
        </w:r>
      </w:hyperlink>
      <w:r>
        <w:t xml:space="preserve"> </w:t>
      </w:r>
      <w:r>
        <w:t xml:space="preserve">https://www.gutenberg.org/files/73932/73932-h/73932-h.htm</w:t>
      </w:r>
    </w:p>
    <w:p>
      <w:pPr>
        <w:pStyle w:val="BodyText"/>
      </w:pPr>
      <w:hyperlink r:id="rId28">
        <w:r>
          <w:rPr>
            <w:rStyle w:val="Hyperlink"/>
          </w:rPr>
          <w:t xml:space="preserve">https://www.gutenberg.org/files/73932/73932-h/73932-h.htm</w:t>
        </w:r>
      </w:hyperlink>
    </w:p>
    <w:p>
      <w:pPr>
        <w:pStyle w:val="BodyText"/>
      </w:pPr>
      <w:hyperlink r:id="rId29">
        <w:r>
          <w:rPr>
            <w:rStyle w:val="Hyperlink"/>
          </w:rPr>
          <w:t xml:space="preserve">[12]</w:t>
        </w:r>
      </w:hyperlink>
      <w:r>
        <w:t xml:space="preserve"> </w:t>
      </w:r>
      <w:r>
        <w:t xml:space="preserve">https://link.springer.com/article/10.1007/BF01797193</w:t>
      </w:r>
    </w:p>
    <w:p>
      <w:pPr>
        <w:pStyle w:val="BodyText"/>
      </w:pPr>
      <w:hyperlink r:id="rId29">
        <w:r>
          <w:rPr>
            <w:rStyle w:val="Hyperlink"/>
          </w:rPr>
          <w:t xml:space="preserve">https://link.springer.com/article/10.1007/BF01797193</w:t>
        </w:r>
      </w:hyperlink>
    </w:p>
    <w:p>
      <w:pPr>
        <w:pStyle w:val="BodyText"/>
      </w:pPr>
      <w:hyperlink r:id="rId30">
        <w:r>
          <w:rPr>
            <w:rStyle w:val="Hyperlink"/>
          </w:rPr>
          <w:t xml:space="preserve">[13]</w:t>
        </w:r>
      </w:hyperlink>
      <w:r>
        <w:t xml:space="preserve"> </w:t>
      </w:r>
      <w:r>
        <w:t xml:space="preserve">https://www.nasonline.org/wp-content/uploads/2024/06/lacey-john.pdf</w:t>
      </w:r>
    </w:p>
    <w:p>
      <w:pPr>
        <w:pStyle w:val="BodyText"/>
      </w:pPr>
      <w:hyperlink r:id="rId30">
        <w:r>
          <w:rPr>
            <w:rStyle w:val="Hyperlink"/>
          </w:rPr>
          <w:t xml:space="preserve">https://www.nasonline.org/wp-content/uploads/2024/06/lacey-john.pdf</w:t>
        </w:r>
      </w:hyperlink>
    </w:p>
    <w:p>
      <w:pPr>
        <w:pStyle w:val="BodyText"/>
      </w:pPr>
      <w:hyperlink r:id="rId31">
        <w:r>
          <w:rPr>
            <w:rStyle w:val="Hyperlink"/>
          </w:rPr>
          <w:t xml:space="preserve">[14]</w:t>
        </w:r>
      </w:hyperlink>
      <w:r>
        <w:t xml:space="preserve"> </w:t>
      </w:r>
      <w:r>
        <w:t xml:space="preserve">https://api.pageplace.de/preview/DT0400.9781135613082_A25031967/preview-9781135613082_A25031967.pdf</w:t>
      </w:r>
    </w:p>
    <w:p>
      <w:pPr>
        <w:pStyle w:val="BodyText"/>
      </w:pPr>
      <w:hyperlink r:id="rId31">
        <w:r>
          <w:rPr>
            <w:rStyle w:val="Hyperlink"/>
          </w:rPr>
          <w:t xml:space="preserve">https://api.pageplace.de/preview/DT0400.9781135613082_A25031967/preview-9781135613082_A25031967.pdf</w:t>
        </w:r>
      </w:hyperlink>
    </w:p>
    <w:p>
      <w:pPr>
        <w:pStyle w:val="BodyText"/>
      </w:pPr>
      <w:hyperlink r:id="rId32">
        <w:r>
          <w:rPr>
            <w:rStyle w:val="Hyperlink"/>
          </w:rPr>
          <w:t xml:space="preserve">[15]</w:t>
        </w:r>
      </w:hyperlink>
      <w:r>
        <w:t xml:space="preserve"> </w:t>
      </w:r>
      <w:r>
        <w:t xml:space="preserve">https://link.springer.com/content/pdf/10.1007/978-1-4684-8491-5_3.pdf</w:t>
      </w:r>
    </w:p>
    <w:p>
      <w:pPr>
        <w:pStyle w:val="BodyText"/>
      </w:pPr>
      <w:hyperlink r:id="rId32">
        <w:r>
          <w:rPr>
            <w:rStyle w:val="Hyperlink"/>
          </w:rPr>
          <w:t xml:space="preserve">https://link.springer.com/content/pdf/10.1007/978-1-4684-8491-5_3.pdf</w:t>
        </w:r>
      </w:hyperlink>
    </w:p>
    <w:p>
      <w:pPr>
        <w:pStyle w:val="BodyText"/>
      </w:pPr>
      <w:hyperlink r:id="rId33">
        <w:r>
          <w:rPr>
            <w:rStyle w:val="Hyperlink"/>
          </w:rPr>
          <w:t xml:space="preserve">[17]</w:t>
        </w:r>
      </w:hyperlink>
      <w:r>
        <w:t xml:space="preserve"> </w:t>
      </w:r>
      <w:r>
        <w:t xml:space="preserve">https://www.jstor.org/stable/pdf/1724803.pdf</w:t>
      </w:r>
    </w:p>
    <w:p>
      <w:pPr>
        <w:pStyle w:val="BodyText"/>
      </w:pPr>
      <w:hyperlink r:id="rId33">
        <w:r>
          <w:rPr>
            <w:rStyle w:val="Hyperlink"/>
          </w:rPr>
          <w:t xml:space="preserve">https://www.jstor.org/stable/pdf/1724803.pdf</w:t>
        </w:r>
      </w:hyperlink>
    </w:p>
    <w:p>
      <w:pPr>
        <w:pStyle w:val="BodyText"/>
      </w:pPr>
      <w:hyperlink r:id="rId34">
        <w:r>
          <w:rPr>
            <w:rStyle w:val="Hyperlink"/>
          </w:rPr>
          <w:t xml:space="preserve">[18]</w:t>
        </w:r>
      </w:hyperlink>
      <w:r>
        <w:t xml:space="preserve"> </w:t>
      </w:r>
      <w:r>
        <w:t xml:space="preserve">https://consensus.app/papers/analysis-of-heart-rate-variability-sayers/8544a1645edb5d08b3dec1e0c59cf99e/</w:t>
      </w:r>
    </w:p>
    <w:p>
      <w:pPr>
        <w:pStyle w:val="BodyText"/>
      </w:pPr>
      <w:hyperlink r:id="rId34">
        <w:r>
          <w:rPr>
            <w:rStyle w:val="Hyperlink"/>
          </w:rPr>
          <w:t xml:space="preserve">https://consensus.app/papers/analysis-of-heart-rate-variability-sayers/8544a1645edb5d08b3dec1e0c59cf99e/</w:t>
        </w:r>
      </w:hyperlink>
    </w:p>
    <w:p>
      <w:pPr>
        <w:pStyle w:val="BodyText"/>
      </w:pPr>
      <w:hyperlink r:id="rId35">
        <w:r>
          <w:rPr>
            <w:rStyle w:val="Hyperlink"/>
          </w:rPr>
          <w:t xml:space="preserve">[19]</w:t>
        </w:r>
      </w:hyperlink>
      <w:r>
        <w:t xml:space="preserve"> </w:t>
      </w:r>
      <w:r>
        <w:t xml:space="preserve">https://academic.oup.com/book/3230</w:t>
      </w:r>
    </w:p>
    <w:p>
      <w:pPr>
        <w:pStyle w:val="BodyText"/>
      </w:pPr>
      <w:hyperlink r:id="rId35">
        <w:r>
          <w:rPr>
            <w:rStyle w:val="Hyperlink"/>
          </w:rPr>
          <w:t xml:space="preserve">https://academic.oup.com/book/3230</w:t>
        </w:r>
      </w:hyperlink>
    </w:p>
    <w:p>
      <w:pPr>
        <w:pStyle w:val="BodyText"/>
      </w:pPr>
      <w:hyperlink r:id="rId36">
        <w:r>
          <w:rPr>
            <w:rStyle w:val="Hyperlink"/>
          </w:rPr>
          <w:t xml:space="preserve">[20]</w:t>
        </w:r>
      </w:hyperlink>
      <w:r>
        <w:t xml:space="preserve"> </w:t>
      </w:r>
      <w:r>
        <w:t xml:space="preserve">https://europepmc.org/article/MED/4069365</w:t>
      </w:r>
    </w:p>
    <w:p>
      <w:pPr>
        <w:pStyle w:val="BodyText"/>
      </w:pPr>
      <w:hyperlink r:id="rId36">
        <w:r>
          <w:rPr>
            <w:rStyle w:val="Hyperlink"/>
          </w:rPr>
          <w:t xml:space="preserve">https://europepmc.org/article/MED/4069365</w:t>
        </w:r>
      </w:hyperlink>
    </w:p>
    <w:p>
      <w:pPr>
        <w:pStyle w:val="BodyText"/>
      </w:pPr>
      <w:hyperlink r:id="rId37">
        <w:r>
          <w:rPr>
            <w:rStyle w:val="Hyperlink"/>
          </w:rPr>
          <w:t xml:space="preserve">[21]</w:t>
        </w:r>
      </w:hyperlink>
      <w:r>
        <w:t xml:space="preserve"> </w:t>
      </w:r>
      <w:r>
        <w:t xml:space="preserve">https://condor.depaul.edu/~dallbrit/extra/psy588/Orienting%20in%20a%20Defensive%20World.pdf</w:t>
      </w:r>
    </w:p>
    <w:p>
      <w:pPr>
        <w:pStyle w:val="BodyText"/>
      </w:pPr>
      <w:hyperlink r:id="rId37">
        <w:r>
          <w:rPr>
            <w:rStyle w:val="Hyperlink"/>
          </w:rPr>
          <w:t xml:space="preserve">https://condor.depaul.edu/~dallbrit/extra/psy588/Orienting%20in%20a%20Defensive%20World.pdf</w:t>
        </w:r>
      </w:hyperlink>
    </w:p>
    <w:p>
      <w:pPr>
        <w:pStyle w:val="BodyText"/>
      </w:pPr>
      <w:hyperlink r:id="rId38">
        <w:r>
          <w:rPr>
            <w:rStyle w:val="Hyperlink"/>
          </w:rPr>
          <w:t xml:space="preserve">[22]</w:t>
        </w:r>
      </w:hyperlink>
      <w:r>
        <w:t xml:space="preserve"> </w:t>
      </w:r>
      <w:r>
        <w:t xml:space="preserve">https://docslib.org/doc/9276723/toward-understanding-respiratory-sinus-arrhythmia-relations-to-cardiac-vagal-tone-evolution-and-biobehavioral-functions-paul-grossman-a-edwin-w</w:t>
      </w:r>
    </w:p>
    <w:p>
      <w:pPr>
        <w:pStyle w:val="BodyText"/>
      </w:pPr>
      <w:hyperlink r:id="rId38">
        <w:r>
          <w:rPr>
            <w:rStyle w:val="Hyperlink"/>
          </w:rPr>
          <w:t xml:space="preserve">https://docslib.org/doc/9276723/toward-understanding-respiratory-sinus-arrhythmia-relations-to-cardiac-vagal-tone-evolution-and-biobehavioral-functions-paul-grossman-a-edwin-w</w:t>
        </w:r>
      </w:hyperlink>
    </w:p>
    <w:p>
      <w:pPr>
        <w:pStyle w:val="BodyText"/>
      </w:pPr>
      <w:hyperlink r:id="rId39">
        <w:r>
          <w:rPr>
            <w:rStyle w:val="Hyperlink"/>
          </w:rPr>
          <w:t xml:space="preserve">[23]</w:t>
        </w:r>
      </w:hyperlink>
      <w:r>
        <w:t xml:space="preserve"> </w:t>
      </w:r>
      <w:hyperlink r:id="rId39">
        <w:r>
          <w:rPr>
            <w:rStyle w:val="Hyperlink"/>
          </w:rPr>
          <w:t xml:space="preserve">[26]</w:t>
        </w:r>
      </w:hyperlink>
      <w:r>
        <w:t xml:space="preserve"> </w:t>
      </w:r>
      <w:r>
        <w:t xml:space="preserve">https://jochen-fahrenberg.de/uploads/media/Ambulatory_Assessment_Monitoring_Behavior_in_Daily_Life_Settings.pdf</w:t>
      </w:r>
    </w:p>
    <w:p>
      <w:pPr>
        <w:pStyle w:val="BodyText"/>
      </w:pPr>
      <w:hyperlink r:id="rId39">
        <w:r>
          <w:rPr>
            <w:rStyle w:val="Hyperlink"/>
          </w:rPr>
          <w:t xml:space="preserve">https://jochen-fahrenberg.de/uploads/media/Ambulatory_Assessment_Monitoring_Behavior_in_Daily_Life_Settings.pdf</w:t>
        </w:r>
      </w:hyperlink>
    </w:p>
    <w:p>
      <w:pPr>
        <w:pStyle w:val="BodyText"/>
      </w:pPr>
      <w:hyperlink r:id="rId40">
        <w:r>
          <w:rPr>
            <w:rStyle w:val="Hyperlink"/>
          </w:rPr>
          <w:t xml:space="preserve">[24]</w:t>
        </w:r>
      </w:hyperlink>
      <w:r>
        <w:t xml:space="preserve"> </w:t>
      </w:r>
      <w:r>
        <w:t xml:space="preserve">https://www.empatica.com/research/e4/</w:t>
      </w:r>
    </w:p>
    <w:p>
      <w:pPr>
        <w:pStyle w:val="BodyText"/>
      </w:pPr>
      <w:hyperlink r:id="rId40">
        <w:r>
          <w:rPr>
            <w:rStyle w:val="Hyperlink"/>
          </w:rPr>
          <w:t xml:space="preserve">https://www.empatica.com/research/e4/</w:t>
        </w:r>
      </w:hyperlink>
    </w:p>
    <w:p>
      <w:pPr>
        <w:pStyle w:val="BodyText"/>
      </w:pPr>
      <w:hyperlink r:id="rId41">
        <w:r>
          <w:rPr>
            <w:rStyle w:val="Hyperlink"/>
          </w:rPr>
          <w:t xml:space="preserve">[25]</w:t>
        </w:r>
      </w:hyperlink>
      <w:r>
        <w:t xml:space="preserve"> </w:t>
      </w:r>
      <w:r>
        <w:t xml:space="preserve">https://www.mdpi.com/2076-3417/15/21/11777</w:t>
      </w:r>
    </w:p>
    <w:p>
      <w:pPr>
        <w:pStyle w:val="BodyText"/>
      </w:pPr>
      <w:hyperlink r:id="rId41">
        <w:r>
          <w:rPr>
            <w:rStyle w:val="Hyperlink"/>
          </w:rPr>
          <w:t xml:space="preserve">https://www.mdpi.com/2076-3417/15/21/11777</w:t>
        </w:r>
      </w:hyperlink>
    </w:p>
    <w:p>
      <w:pPr>
        <w:pStyle w:val="BodyText"/>
      </w:pPr>
      <w:hyperlink r:id="rId43">
        <w:r>
          <w:rPr>
            <w:rStyle w:val="Hyperlink"/>
          </w:rPr>
          <w:t xml:space="preserve">[27]</w:t>
        </w:r>
      </w:hyperlink>
      <w:r>
        <w:t xml:space="preserve"> </w:t>
      </w:r>
      <w:r>
        <w:t xml:space="preserve">https://academic.oup.com/scan/article/12/10/1545/4158838</w:t>
      </w:r>
    </w:p>
    <w:p>
      <w:pPr>
        <w:pStyle w:val="BodyText"/>
      </w:pPr>
      <w:hyperlink r:id="rId43">
        <w:r>
          <w:rPr>
            <w:rStyle w:val="Hyperlink"/>
          </w:rPr>
          <w:t xml:space="preserve">https://academic.oup.com/scan/article/12/10/1545/4158838</w:t>
        </w:r>
      </w:hyperlink>
    </w:p>
    <w:p>
      <w:pPr>
        <w:pStyle w:val="BodyText"/>
      </w:pPr>
      <w:hyperlink r:id="rId44">
        <w:r>
          <w:rPr>
            <w:rStyle w:val="Hyperlink"/>
          </w:rPr>
          <w:t xml:space="preserve">[28]</w:t>
        </w:r>
      </w:hyperlink>
      <w:r>
        <w:t xml:space="preserve"> </w:t>
      </w:r>
      <w:r>
        <w:t xml:space="preserve">https://dictionary.apa.org/health-psychology</w:t>
      </w:r>
    </w:p>
    <w:p>
      <w:pPr>
        <w:pStyle w:val="BodyText"/>
      </w:pPr>
      <w:hyperlink r:id="rId44">
        <w:r>
          <w:rPr>
            <w:rStyle w:val="Hyperlink"/>
          </w:rPr>
          <w:t xml:space="preserve">https://dictionary.apa.org/health-psychology</w:t>
        </w:r>
      </w:hyperlink>
    </w:p>
    <w:p>
      <w:pPr>
        <w:pStyle w:val="BodyText"/>
      </w:pPr>
      <w:hyperlink r:id="rId46">
        <w:r>
          <w:rPr>
            <w:rStyle w:val="Hyperlink"/>
          </w:rPr>
          <w:t xml:space="preserve">[31]</w:t>
        </w:r>
      </w:hyperlink>
      <w:r>
        <w:t xml:space="preserve"> </w:t>
      </w:r>
      <w:r>
        <w:t xml:space="preserve">https://www.elaborer.org/psy1045d/cours/Gross%281998%29.pdf</w:t>
      </w:r>
    </w:p>
    <w:p>
      <w:pPr>
        <w:pStyle w:val="BodyText"/>
      </w:pPr>
      <w:hyperlink r:id="rId46">
        <w:r>
          <w:rPr>
            <w:rStyle w:val="Hyperlink"/>
          </w:rPr>
          <w:t xml:space="preserve">https://www.elaborer.org/psy1045d/cours/Gross%281998%29.pdf</w:t>
        </w:r>
      </w:hyperlink>
    </w:p>
    <w:p>
      <w:pPr>
        <w:pStyle w:val="BodyText"/>
      </w:pPr>
      <w:hyperlink r:id="rId47">
        <w:r>
          <w:rPr>
            <w:rStyle w:val="Hyperlink"/>
          </w:rPr>
          <w:t xml:space="preserve">[32]</w:t>
        </w:r>
      </w:hyperlink>
      <w:r>
        <w:t xml:space="preserve"> </w:t>
      </w:r>
      <w:hyperlink r:id="rId47">
        <w:r>
          <w:rPr>
            <w:rStyle w:val="Hyperlink"/>
          </w:rPr>
          <w:t xml:space="preserve">[35]</w:t>
        </w:r>
      </w:hyperlink>
      <w:r>
        <w:t xml:space="preserve"> </w:t>
      </w:r>
      <w:r>
        <w:t xml:space="preserve">https://zenodo.org/records/1259859/files/article.pdf</w:t>
      </w:r>
    </w:p>
    <w:p>
      <w:pPr>
        <w:pStyle w:val="BodyText"/>
      </w:pPr>
      <w:hyperlink r:id="rId47">
        <w:r>
          <w:rPr>
            <w:rStyle w:val="Hyperlink"/>
          </w:rPr>
          <w:t xml:space="preserve">https://zenodo.org/records/1259859/files/article.pdf</w:t>
        </w:r>
      </w:hyperlink>
    </w:p>
    <w:p>
      <w:pPr>
        <w:pStyle w:val="BodyText"/>
      </w:pPr>
      <w:hyperlink r:id="rId48">
        <w:r>
          <w:rPr>
            <w:rStyle w:val="Hyperlink"/>
          </w:rPr>
          <w:t xml:space="preserve">[33]</w:t>
        </w:r>
      </w:hyperlink>
      <w:r>
        <w:t xml:space="preserve"> </w:t>
      </w:r>
      <w:r>
        <w:t xml:space="preserve">https://www.loc.gov/item/2002153858/</w:t>
      </w:r>
    </w:p>
    <w:p>
      <w:pPr>
        <w:pStyle w:val="BodyText"/>
      </w:pPr>
      <w:hyperlink r:id="rId48">
        <w:r>
          <w:rPr>
            <w:rStyle w:val="Hyperlink"/>
          </w:rPr>
          <w:t xml:space="preserve">https://www.loc.gov/item/2002153858/</w:t>
        </w:r>
      </w:hyperlink>
    </w:p>
    <w:p>
      <w:pPr>
        <w:pStyle w:val="BodyText"/>
      </w:pPr>
      <w:hyperlink r:id="rId50">
        <w:r>
          <w:rPr>
            <w:rStyle w:val="Hyperlink"/>
          </w:rPr>
          <w:t xml:space="preserve">[36]</w:t>
        </w:r>
      </w:hyperlink>
      <w:r>
        <w:t xml:space="preserve"> </w:t>
      </w:r>
      <w:r>
        <w:t xml:space="preserve">https://api.pageplace.de/preview/DT0400.9781483195452_A23862353/preview-9781483195452_A23862353.pdf</w:t>
      </w:r>
    </w:p>
    <w:p>
      <w:pPr>
        <w:pStyle w:val="BodyText"/>
      </w:pPr>
      <w:hyperlink r:id="rId50">
        <w:r>
          <w:rPr>
            <w:rStyle w:val="Hyperlink"/>
          </w:rPr>
          <w:t xml:space="preserve">https://api.pageplace.de/preview/DT0400.9781483195452_A23862353/preview-9781483195452_A23862353.pdf</w:t>
        </w:r>
      </w:hyperlink>
    </w:p>
    <w:p>
      <w:pPr>
        <w:pStyle w:val="BodyText"/>
      </w:pPr>
      <w:hyperlink r:id="rId51">
        <w:r>
          <w:rPr>
            <w:rStyle w:val="Hyperlink"/>
          </w:rPr>
          <w:t xml:space="preserve">[37]</w:t>
        </w:r>
      </w:hyperlink>
      <w:r>
        <w:t xml:space="preserve"> </w:t>
      </w:r>
      <w:r>
        <w:t xml:space="preserve">https://www.birmingham.ac.uk/Documents/college-les/psych/saal/guide-electrodermal-activity.pdf</w:t>
      </w:r>
    </w:p>
    <w:p>
      <w:pPr>
        <w:pStyle w:val="BodyText"/>
      </w:pPr>
      <w:hyperlink r:id="rId51">
        <w:r>
          <w:rPr>
            <w:rStyle w:val="Hyperlink"/>
          </w:rPr>
          <w:t xml:space="preserve">https://www.birmingham.ac.uk/Documents/college-les/psych/saal/guide-electrodermal-activity.pdf</w:t>
        </w:r>
      </w:hyperlink>
    </w:p>
    <w:p>
      <w:pPr>
        <w:pStyle w:val="BodyText"/>
      </w:pPr>
      <w:hyperlink r:id="rId52">
        <w:r>
          <w:rPr>
            <w:rStyle w:val="Hyperlink"/>
          </w:rPr>
          <w:t xml:space="preserve">[39]</w:t>
        </w:r>
      </w:hyperlink>
      <w:r>
        <w:t xml:space="preserve"> </w:t>
      </w:r>
      <w:r>
        <w:t xml:space="preserve">https://uni-salzburg.elsevierpure.com/de/publications/emotions-beyond-the-laboratory-theoretical-fundaments-study-desig</w:t>
      </w:r>
    </w:p>
    <w:p>
      <w:pPr>
        <w:pStyle w:val="BodyText"/>
      </w:pPr>
      <w:hyperlink r:id="rId52">
        <w:r>
          <w:rPr>
            <w:rStyle w:val="Hyperlink"/>
          </w:rPr>
          <w:t xml:space="preserve">https://uni-salzburg.elsevierpure.com/de/publications/emotions-beyond-the-laboratory-theoretical-fundaments-study-desig</w:t>
        </w:r>
      </w:hyperlink>
    </w:p>
    <w:p>
      <w:pPr>
        <w:pStyle w:val="BodyText"/>
      </w:pPr>
      <w:hyperlink r:id="rId53">
        <w:r>
          <w:rPr>
            <w:rStyle w:val="Hyperlink"/>
          </w:rPr>
          <w:t xml:space="preserve">[40]</w:t>
        </w:r>
      </w:hyperlink>
      <w:r>
        <w:t xml:space="preserve"> </w:t>
      </w:r>
      <w:r>
        <w:t xml:space="preserve">https://pubmed.ncbi.nlm.nih.gov/33556468/</w:t>
      </w:r>
    </w:p>
    <w:p>
      <w:pPr>
        <w:pStyle w:val="BodyText"/>
      </w:pPr>
      <w:hyperlink r:id="rId53">
        <w:r>
          <w:rPr>
            <w:rStyle w:val="Hyperlink"/>
          </w:rPr>
          <w:t xml:space="preserve">https://pubmed.ncbi.nlm.nih.gov/33556468/</w:t>
        </w:r>
      </w:hyperlink>
    </w:p>
    <w:p>
      <w:pPr>
        <w:pStyle w:val="BodyText"/>
      </w:pPr>
      <w:hyperlink r:id="rId55">
        <w:r>
          <w:rPr>
            <w:rStyle w:val="Hyperlink"/>
          </w:rPr>
          <w:t xml:space="preserve">[41]</w:t>
        </w:r>
      </w:hyperlink>
      <w:r>
        <w:t xml:space="preserve"> </w:t>
      </w:r>
      <w:r>
        <w:t xml:space="preserve">https://revistas.um.es/analesps/user/setLocale/en_US?source=%2Fanalesps%2Farticle%2Fview%2F483051</w:t>
      </w:r>
    </w:p>
    <w:p>
      <w:pPr>
        <w:pStyle w:val="BodyText"/>
      </w:pPr>
      <w:hyperlink r:id="rId55">
        <w:r>
          <w:rPr>
            <w:rStyle w:val="Hyperlink"/>
          </w:rPr>
          <w:t xml:space="preserve">https://revistas.um.es/analesps/user/setLocale/en_US?source=%2Fanalesps%2Farticle%2Fview%2F483051</w:t>
        </w:r>
      </w:hyperlink>
    </w:p>
    <w:bookmarkEnd w:id="56"/>
    <w:bookmarkEnd w:id="57"/>
    <w:sectPr>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Title" w:type="paragraph">
    <w:name w:val="Title"/>
    <w:basedOn w:val="Normal"/>
    <w:next w:val="Normal"/>
    <w:qFormat/>
    <w:pPr>
      <w:spacing w:after="240"/>
      <w:jc w:val="left"/>
    </w:pPr>
    <w:rPr>
      <w:rFonts w:ascii="Georgia" w:cs="Georgia" w:eastAsia="Georgia" w:hAnsi="Georgia"/>
      <w:b/>
      <w:bCs/>
      <w:sz w:val="44"/>
      <w:szCs w:val="44"/>
    </w:rPr>
  </w:style>
  <w:style w:styleId="Heading1" w:type="paragraph">
    <w:name w:val="Heading 1"/>
    <w:basedOn w:val="Normal"/>
    <w:next w:val="Normal"/>
    <w:qFormat/>
    <w:pPr>
      <w:spacing w:after="160" w:before="300"/>
      <w:jc w:val="left"/>
      <w:outlineLvl w:val="0"/>
    </w:pPr>
    <w:rPr>
      <w:rFonts w:ascii="Georgia" w:cs="Georgia" w:eastAsia="Georgia" w:hAnsi="Georgia"/>
      <w:b/>
      <w:bCs/>
      <w:color w:val="2A4B7C"/>
      <w:sz w:val="34"/>
      <w:szCs w:val="34"/>
    </w:rPr>
  </w:style>
  <w:style w:styleId="Heading2" w:type="paragraph">
    <w:name w:val="Heading 2"/>
    <w:basedOn w:val="Normal"/>
    <w:next w:val="Normal"/>
    <w:qFormat/>
    <w:pPr>
      <w:spacing w:after="120" w:before="240"/>
      <w:jc w:val="left"/>
      <w:outlineLvl w:val="1"/>
    </w:pPr>
    <w:rPr>
      <w:rFonts w:ascii="Georgia" w:cs="Georgia" w:eastAsia="Georgia" w:hAnsi="Georgia"/>
      <w:b/>
      <w:bCs/>
      <w:color w:val="1C1B18"/>
      <w:sz w:val="28"/>
      <w:szCs w:val="28"/>
    </w:rPr>
  </w:style>
  <w:style w:styleId="Heading3" w:type="paragraph">
    <w:name w:val="Heading 3"/>
    <w:basedOn w:val="Normal"/>
    <w:next w:val="Normal"/>
    <w:qFormat/>
    <w:pPr>
      <w:spacing w:after="100" w:before="200"/>
      <w:jc w:val="left"/>
      <w:outlineLvl w:val="2"/>
    </w:pPr>
    <w:rPr>
      <w:rFonts w:ascii="Georgia" w:cs="Georgia" w:eastAsia="Georgia" w:hAnsi="Georgia"/>
      <w:b/>
      <w:bCs/>
      <w:color w:val="4A4840"/>
      <w:sz w:val="25"/>
      <w:szCs w:val="25"/>
    </w:rPr>
  </w:style>
  <w:style w:styleId="Heading4" w:type="paragraph">
    <w:name w:val="Heading 4"/>
    <w:basedOn w:val="Normal"/>
    <w:next w:val="Normal"/>
    <w:qFormat/>
    <w:pPr>
      <w:spacing w:after="80" w:before="160"/>
      <w:jc w:val="left"/>
      <w:outlineLvl w:val="3"/>
    </w:pPr>
    <w:rPr>
      <w:rFonts w:ascii="Georgia" w:cs="Georgia" w:eastAsia="Georgia" w:hAnsi="Georgia"/>
      <w:b/>
      <w:bCs/>
      <w:color w:val="4A4840"/>
      <w:sz w:val="23"/>
      <w:szCs w:val="23"/>
    </w:rPr>
  </w:style>
  <w:style w:styleId="Normal" w:type="paragraph">
    <w:name w:val="Normal"/>
    <w:qFormat/>
    <w:pPr>
      <w:spacing w:after="140" w:line="330"/>
      <w:jc w:val="both"/>
    </w:pPr>
    <w:rPr>
      <w:rFonts w:ascii="Georgia" w:cs="Georgia" w:eastAsia="Georgia" w:hAnsi="Georgia"/>
      <w:sz w:val="22"/>
      <w:szCs w:val="22"/>
    </w:rPr>
  </w:style>
  <w:style w:styleId="BlockText" w:type="paragraph">
    <w:name w:val="Block Text"/>
    <w:basedOn w:val="Normal"/>
    <w:next w:val="Normal"/>
    <w:pPr>
      <w:spacing w:after="140"/>
      <w:ind w:left="360"/>
      <w:jc w:val="left"/>
    </w:pPr>
    <w:rPr>
      <w:rFonts w:ascii="Georgia" w:cs="Georgia" w:eastAsia="Georgia" w:hAnsi="Georgia"/>
      <w:i/>
      <w:iCs/>
      <w:color w:val="4A4840"/>
      <w:sz w:val="21"/>
      <w:szCs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https://academic.oup.com/book/3230" TargetMode="External" /><Relationship Type="http://schemas.openxmlformats.org/officeDocument/2006/relationships/hyperlink" Id="rId43" Target="https://academic.oup.com/scan/article/12/10/1545/4158838" TargetMode="External" /><Relationship Type="http://schemas.openxmlformats.org/officeDocument/2006/relationships/hyperlink" Id="rId31" Target="https://api.pageplace.de/preview/DT0400.9781135613082_A25031967/preview-9781135613082_A25031967.pdf" TargetMode="External" /><Relationship Type="http://schemas.openxmlformats.org/officeDocument/2006/relationships/hyperlink" Id="rId21" Target="https://api.pageplace.de/preview/DT0400.9781316728581_A28992329/preview-9781316728581_A28992329.pdf" TargetMode="External" /><Relationship Type="http://schemas.openxmlformats.org/officeDocument/2006/relationships/hyperlink" Id="rId50" Target="https://api.pageplace.de/preview/DT0400.9781483195452_A23862353/preview-9781483195452_A23862353.pdf" TargetMode="External" /><Relationship Type="http://schemas.openxmlformats.org/officeDocument/2006/relationships/hyperlink" Id="rId24" Target="https://archive.org/details/bub_gb_AtkPAAAAQAAJ" TargetMode="External" /><Relationship Type="http://schemas.openxmlformats.org/officeDocument/2006/relationships/hyperlink" Id="rId37" Target="https://condor.depaul.edu/~dallbrit/extra/psy588/Orienting%20in%20a%20Defensive%20World.pdf" TargetMode="External" /><Relationship Type="http://schemas.openxmlformats.org/officeDocument/2006/relationships/hyperlink" Id="rId34" Target="https://consensus.app/papers/analysis-of-heart-rate-variability-sayers/8544a1645edb5d08b3dec1e0c59cf99e/" TargetMode="External" /><Relationship Type="http://schemas.openxmlformats.org/officeDocument/2006/relationships/hyperlink" Id="rId25" Target="https://darwin-online.org.uk/converted/pdf/1897_Expression_F1152.pdf" TargetMode="External" /><Relationship Type="http://schemas.openxmlformats.org/officeDocument/2006/relationships/hyperlink" Id="rId44" Target="https://dictionary.apa.org/health-psychology" TargetMode="External" /><Relationship Type="http://schemas.openxmlformats.org/officeDocument/2006/relationships/hyperlink" Id="rId38" Target="https://docslib.org/doc/9276723/toward-understanding-respiratory-sinus-arrhythmia-relations-to-cardiac-vagal-tone-evolution-and-biobehavioral-functions-paul-grossman-a-edwin-w" TargetMode="External" /><Relationship Type="http://schemas.openxmlformats.org/officeDocument/2006/relationships/hyperlink" Id="rId36" Target="https://europepmc.org/article/MED/4069365" TargetMode="External" /><Relationship Type="http://schemas.openxmlformats.org/officeDocument/2006/relationships/hyperlink" Id="rId26" Target="https://gruberpeplab.com/3131/James_1884_WhatisanEmotion.pdf" TargetMode="External" /><Relationship Type="http://schemas.openxmlformats.org/officeDocument/2006/relationships/hyperlink" Id="rId39" Target="https://jochen-fahrenberg.de/uploads/media/Ambulatory_Assessment_Monitoring_Behavior_in_Daily_Life_Settings.pdf" TargetMode="External" /><Relationship Type="http://schemas.openxmlformats.org/officeDocument/2006/relationships/hyperlink" Id="rId29" Target="https://link.springer.com/article/10.1007/BF01797193" TargetMode="External" /><Relationship Type="http://schemas.openxmlformats.org/officeDocument/2006/relationships/hyperlink" Id="rId32" Target="https://link.springer.com/content/pdf/10.1007/978-1-4684-8491-5_3.pdf" TargetMode="External" /><Relationship Type="http://schemas.openxmlformats.org/officeDocument/2006/relationships/hyperlink" Id="rId53" Target="https://pubmed.ncbi.nlm.nih.gov/33556468/" TargetMode="External" /><Relationship Type="http://schemas.openxmlformats.org/officeDocument/2006/relationships/hyperlink" Id="rId55" Target="https://revistas.um.es/analesps/user/setLocale/en_US?source=%2Fanalesps%2Farticle%2Fview%2F483051" TargetMode="External" /><Relationship Type="http://schemas.openxmlformats.org/officeDocument/2006/relationships/hyperlink" Id="rId27" Target="https://scielo.isciii.es/pdf/ap/v37n3/1695-2294-ap-37-03-406.pdf" TargetMode="External" /><Relationship Type="http://schemas.openxmlformats.org/officeDocument/2006/relationships/hyperlink" Id="rId20" Target="https://sprweb.org/history/" TargetMode="External" /><Relationship Type="http://schemas.openxmlformats.org/officeDocument/2006/relationships/hyperlink" Id="rId52" Target="https://uni-salzburg.elsevierpure.com/de/publications/emotions-beyond-the-laboratory-theoretical-fundaments-study-desig" TargetMode="External" /><Relationship Type="http://schemas.openxmlformats.org/officeDocument/2006/relationships/hyperlink" Id="rId51" Target="https://www.birmingham.ac.uk/Documents/college-les/psych/saal/guide-electrodermal-activity.pdf" TargetMode="External" /><Relationship Type="http://schemas.openxmlformats.org/officeDocument/2006/relationships/hyperlink" Id="rId46" Target="https://www.elaborer.org/psy1045d/cours/Gross%281998%29.pdf" TargetMode="External" /><Relationship Type="http://schemas.openxmlformats.org/officeDocument/2006/relationships/hyperlink" Id="rId40" Target="https://www.empatica.com/research/e4/" TargetMode="External" /><Relationship Type="http://schemas.openxmlformats.org/officeDocument/2006/relationships/hyperlink" Id="rId28" Target="https://www.gutenberg.org/files/73932/73932-h/73932-h.htm" TargetMode="External" /><Relationship Type="http://schemas.openxmlformats.org/officeDocument/2006/relationships/hyperlink" Id="rId22" Target="https://www.ifcn.info/" TargetMode="External" /><Relationship Type="http://schemas.openxmlformats.org/officeDocument/2006/relationships/hyperlink" Id="rId33" Target="https://www.jstor.org/stable/pdf/1724803.pdf" TargetMode="External" /><Relationship Type="http://schemas.openxmlformats.org/officeDocument/2006/relationships/hyperlink" Id="rId48" Target="https://www.loc.gov/item/2002153858/" TargetMode="External" /><Relationship Type="http://schemas.openxmlformats.org/officeDocument/2006/relationships/hyperlink" Id="rId41" Target="https://www.mdpi.com/2076-3417/15/21/11777" TargetMode="External" /><Relationship Type="http://schemas.openxmlformats.org/officeDocument/2006/relationships/hyperlink" Id="rId30" Target="https://www.nasonline.org/wp-content/uploads/2024/06/lacey-john.pdf" TargetMode="External" /><Relationship Type="http://schemas.openxmlformats.org/officeDocument/2006/relationships/hyperlink" Id="rId47" Target="https://zenodo.org/records/1259859/files/article.pdf" TargetMode="Externa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Relationship Type="http://schemas.openxmlformats.org/officeDocument/2006/relationships/hyperlink" Id="rId35" Target="https://academic.oup.com/book/3230" TargetMode="External" /><Relationship Type="http://schemas.openxmlformats.org/officeDocument/2006/relationships/hyperlink" Id="rId43" Target="https://academic.oup.com/scan/article/12/10/1545/4158838" TargetMode="External" /><Relationship Type="http://schemas.openxmlformats.org/officeDocument/2006/relationships/hyperlink" Id="rId31" Target="https://api.pageplace.de/preview/DT0400.9781135613082_A25031967/preview-9781135613082_A25031967.pdf" TargetMode="External" /><Relationship Type="http://schemas.openxmlformats.org/officeDocument/2006/relationships/hyperlink" Id="rId21" Target="https://api.pageplace.de/preview/DT0400.9781316728581_A28992329/preview-9781316728581_A28992329.pdf" TargetMode="External" /><Relationship Type="http://schemas.openxmlformats.org/officeDocument/2006/relationships/hyperlink" Id="rId50" Target="https://api.pageplace.de/preview/DT0400.9781483195452_A23862353/preview-9781483195452_A23862353.pdf" TargetMode="External" /><Relationship Type="http://schemas.openxmlformats.org/officeDocument/2006/relationships/hyperlink" Id="rId24" Target="https://archive.org/details/bub_gb_AtkPAAAAQAAJ" TargetMode="External" /><Relationship Type="http://schemas.openxmlformats.org/officeDocument/2006/relationships/hyperlink" Id="rId37" Target="https://condor.depaul.edu/~dallbrit/extra/psy588/Orienting%20in%20a%20Defensive%20World.pdf" TargetMode="External" /><Relationship Type="http://schemas.openxmlformats.org/officeDocument/2006/relationships/hyperlink" Id="rId34" Target="https://consensus.app/papers/analysis-of-heart-rate-variability-sayers/8544a1645edb5d08b3dec1e0c59cf99e/" TargetMode="External" /><Relationship Type="http://schemas.openxmlformats.org/officeDocument/2006/relationships/hyperlink" Id="rId25" Target="https://darwin-online.org.uk/converted/pdf/1897_Expression_F1152.pdf" TargetMode="External" /><Relationship Type="http://schemas.openxmlformats.org/officeDocument/2006/relationships/hyperlink" Id="rId44" Target="https://dictionary.apa.org/health-psychology" TargetMode="External" /><Relationship Type="http://schemas.openxmlformats.org/officeDocument/2006/relationships/hyperlink" Id="rId38" Target="https://docslib.org/doc/9276723/toward-understanding-respiratory-sinus-arrhythmia-relations-to-cardiac-vagal-tone-evolution-and-biobehavioral-functions-paul-grossman-a-edwin-w" TargetMode="External" /><Relationship Type="http://schemas.openxmlformats.org/officeDocument/2006/relationships/hyperlink" Id="rId36" Target="https://europepmc.org/article/MED/4069365" TargetMode="External" /><Relationship Type="http://schemas.openxmlformats.org/officeDocument/2006/relationships/hyperlink" Id="rId26" Target="https://gruberpeplab.com/3131/James_1884_WhatisanEmotion.pdf" TargetMode="External" /><Relationship Type="http://schemas.openxmlformats.org/officeDocument/2006/relationships/hyperlink" Id="rId39" Target="https://jochen-fahrenberg.de/uploads/media/Ambulatory_Assessment_Monitoring_Behavior_in_Daily_Life_Settings.pdf" TargetMode="External" /><Relationship Type="http://schemas.openxmlformats.org/officeDocument/2006/relationships/hyperlink" Id="rId29" Target="https://link.springer.com/article/10.1007/BF01797193" TargetMode="External" /><Relationship Type="http://schemas.openxmlformats.org/officeDocument/2006/relationships/hyperlink" Id="rId32" Target="https://link.springer.com/content/pdf/10.1007/978-1-4684-8491-5_3.pdf" TargetMode="External" /><Relationship Type="http://schemas.openxmlformats.org/officeDocument/2006/relationships/hyperlink" Id="rId53" Target="https://pubmed.ncbi.nlm.nih.gov/33556468/" TargetMode="External" /><Relationship Type="http://schemas.openxmlformats.org/officeDocument/2006/relationships/hyperlink" Id="rId55" Target="https://revistas.um.es/analesps/user/setLocale/en_US?source=%2Fanalesps%2Farticle%2Fview%2F483051" TargetMode="External" /><Relationship Type="http://schemas.openxmlformats.org/officeDocument/2006/relationships/hyperlink" Id="rId27" Target="https://scielo.isciii.es/pdf/ap/v37n3/1695-2294-ap-37-03-406.pdf" TargetMode="External" /><Relationship Type="http://schemas.openxmlformats.org/officeDocument/2006/relationships/hyperlink" Id="rId20" Target="https://sprweb.org/history/" TargetMode="External" /><Relationship Type="http://schemas.openxmlformats.org/officeDocument/2006/relationships/hyperlink" Id="rId52" Target="https://uni-salzburg.elsevierpure.com/de/publications/emotions-beyond-the-laboratory-theoretical-fundaments-study-desig" TargetMode="External" /><Relationship Type="http://schemas.openxmlformats.org/officeDocument/2006/relationships/hyperlink" Id="rId51" Target="https://www.birmingham.ac.uk/Documents/college-les/psych/saal/guide-electrodermal-activity.pdf" TargetMode="External" /><Relationship Type="http://schemas.openxmlformats.org/officeDocument/2006/relationships/hyperlink" Id="rId46" Target="https://www.elaborer.org/psy1045d/cours/Gross%281998%29.pdf" TargetMode="External" /><Relationship Type="http://schemas.openxmlformats.org/officeDocument/2006/relationships/hyperlink" Id="rId40" Target="https://www.empatica.com/research/e4/" TargetMode="External" /><Relationship Type="http://schemas.openxmlformats.org/officeDocument/2006/relationships/hyperlink" Id="rId28" Target="https://www.gutenberg.org/files/73932/73932-h/73932-h.htm" TargetMode="External" /><Relationship Type="http://schemas.openxmlformats.org/officeDocument/2006/relationships/hyperlink" Id="rId22" Target="https://www.ifcn.info/" TargetMode="External" /><Relationship Type="http://schemas.openxmlformats.org/officeDocument/2006/relationships/hyperlink" Id="rId33" Target="https://www.jstor.org/stable/pdf/1724803.pdf" TargetMode="External" /><Relationship Type="http://schemas.openxmlformats.org/officeDocument/2006/relationships/hyperlink" Id="rId48" Target="https://www.loc.gov/item/2002153858/" TargetMode="External" /><Relationship Type="http://schemas.openxmlformats.org/officeDocument/2006/relationships/hyperlink" Id="rId41" Target="https://www.mdpi.com/2076-3417/15/21/11777" TargetMode="External" /><Relationship Type="http://schemas.openxmlformats.org/officeDocument/2006/relationships/hyperlink" Id="rId30" Target="https://www.nasonline.org/wp-content/uploads/2024/06/lacey-john.pdf" TargetMode="External" /><Relationship Type="http://schemas.openxmlformats.org/officeDocument/2006/relationships/hyperlink" Id="rId47" Target="https://zenodo.org/records/1259859/files/article.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2026-06-27T14:42:35Z</dcterms:created>
  <dcterms:modified xsi:type="dcterms:W3CDTF">2026-06-27T14:42:35Z</dcterms:modified>
</cp:coreProperties>
</file>

<file path=docProps/custom.xml><?xml version="1.0" encoding="utf-8"?>
<Properties xmlns="http://schemas.openxmlformats.org/officeDocument/2006/custom-properties" xmlns:vt="http://schemas.openxmlformats.org/officeDocument/2006/docPropsVTypes"/>
</file>