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  <w:jc w:val="right"/>
        <w:spacing w:after="260"/>
      </w:pPr>
      <w:r>
        <w:rPr>
          <w:rtl/>
          <w:b/>
          <w:color w:val="1e3a8a"/>
          <w:sz w:val="36"/>
          <w:rFonts w:ascii="Arial" w:hAnsi="Arial" w:cs="Arial"/>
        </w:rPr>
        <w:t>סיכום הבוט למפגש 2</w:t>
      </w:r>
    </w:p>
    <w:p>
      <w:pPr>
        <w:bidi/>
        <w:jc w:val="right"/>
        <w:spacing w:after="160"/>
      </w:pPr>
      <w:r>
        <w:rPr>
          <w:rtl/>
          <w:color w:val="334155"/>
          <w:sz w:val="24"/>
          <w:rFonts w:ascii="Arial" w:hAnsi="Arial" w:cs="Arial"/>
        </w:rPr>
        <w:t>השתלמות במתמטיקה צהריים ימי ב׳ · 03/05/2026</w:t>
      </w:r>
    </w:p>
    <w:p>
      <w:pPr>
        <w:bidi/>
        <w:jc w:val="right"/>
        <w:spacing w:before="260" w:after="120"/>
      </w:pPr>
      <w:r>
        <w:rPr>
          <w:rtl/>
          <w:b/>
          <w:color w:val="1e40af"/>
          <w:sz w:val="28"/>
          <w:rFonts w:ascii="Arial" w:hAnsi="Arial" w:cs="Arial"/>
        </w:rPr>
        <w:t>הוראת גיאומטריה לכיתה ז׳</w:t>
      </w:r>
    </w:p>
    <w:p>
      <w:pPr>
        <w:bidi/>
        <w:jc w:val="right"/>
        <w:spacing w:after="90"/>
      </w:pPr>
      <w:r>
        <w:rPr>
          <w:rtl/>
          <w:color w:val="111827"/>
          <w:sz w:val="24"/>
          <w:rFonts w:ascii="Arial" w:hAnsi="Arial" w:cs="Arial"/>
        </w:rPr>
        <w:t>• התמקדות בתוכנית הלימודים המעודכנת לגיאומטריה בכיתה ז׳.</w:t>
      </w:r>
    </w:p>
    <w:p>
      <w:pPr>
        <w:bidi/>
        <w:jc w:val="right"/>
        <w:spacing w:after="90"/>
      </w:pPr>
      <w:r>
        <w:rPr>
          <w:rtl/>
          <w:color w:val="111827"/>
          <w:sz w:val="24"/>
          <w:rFonts w:ascii="Arial" w:hAnsi="Arial" w:cs="Arial"/>
        </w:rPr>
        <w:t>• דגש על גיאומטריה קדם־היסקית כבסיס לגיאומטריה היסקית בכיתה ט׳.</w:t>
      </w:r>
    </w:p>
    <w:p>
      <w:pPr>
        <w:bidi/>
        <w:jc w:val="right"/>
        <w:spacing w:after="90"/>
      </w:pPr>
      <w:r>
        <w:rPr>
          <w:rtl/>
          <w:color w:val="111827"/>
          <w:sz w:val="24"/>
          <w:rFonts w:ascii="Arial" w:hAnsi="Arial" w:cs="Arial"/>
        </w:rPr>
        <w:t>• שילוב גיאומטריה בתוך מערכת הצירים, החל מהרביע הראשון.</w:t>
      </w:r>
    </w:p>
    <w:p>
      <w:pPr>
        <w:bidi/>
        <w:jc w:val="right"/>
        <w:spacing w:before="260" w:after="120"/>
      </w:pPr>
      <w:r>
        <w:rPr>
          <w:rtl/>
          <w:b/>
          <w:color w:val="1e40af"/>
          <w:sz w:val="28"/>
          <w:rFonts w:ascii="Arial" w:hAnsi="Arial" w:cs="Arial"/>
        </w:rPr>
        <w:t>המחשה ולמידה חווייתית</w:t>
      </w:r>
    </w:p>
    <w:p>
      <w:pPr>
        <w:bidi/>
        <w:jc w:val="right"/>
        <w:spacing w:after="90"/>
      </w:pPr>
      <w:r>
        <w:rPr>
          <w:rtl/>
          <w:color w:val="111827"/>
          <w:sz w:val="24"/>
          <w:rFonts w:ascii="Arial" w:hAnsi="Arial" w:cs="Arial"/>
        </w:rPr>
        <w:t>• שימוש בשקפים, מדי זוויות, קשים, שעון וקיפולי נייר.</w:t>
      </w:r>
    </w:p>
    <w:p>
      <w:pPr>
        <w:bidi/>
        <w:jc w:val="right"/>
        <w:spacing w:after="90"/>
      </w:pPr>
      <w:r>
        <w:rPr>
          <w:rtl/>
          <w:color w:val="111827"/>
          <w:sz w:val="24"/>
          <w:rFonts w:ascii="Arial" w:hAnsi="Arial" w:cs="Arial"/>
        </w:rPr>
        <w:t>• מערכת צירים על הרצפה לחיזוק הבנת נקודות ורבעים.</w:t>
      </w:r>
    </w:p>
    <w:p>
      <w:pPr>
        <w:bidi/>
        <w:jc w:val="right"/>
        <w:spacing w:after="90"/>
      </w:pPr>
      <w:r>
        <w:rPr>
          <w:rtl/>
          <w:color w:val="111827"/>
          <w:sz w:val="24"/>
          <w:rFonts w:ascii="Arial" w:hAnsi="Arial" w:cs="Arial"/>
        </w:rPr>
        <w:t>• המחשות ככלי לסגירת פערים ולקידום שיח מתמטי בכיתה.</w:t>
      </w:r>
    </w:p>
    <w:p>
      <w:pPr>
        <w:bidi/>
        <w:jc w:val="right"/>
        <w:spacing w:before="260" w:after="120"/>
      </w:pPr>
      <w:r>
        <w:rPr>
          <w:rtl/>
          <w:b/>
          <w:color w:val="1e40af"/>
          <w:sz w:val="28"/>
          <w:rFonts w:ascii="Arial" w:hAnsi="Arial" w:cs="Arial"/>
        </w:rPr>
        <w:t>ניתוח שאלות ופיתוח חשיבה</w:t>
      </w:r>
    </w:p>
    <w:p>
      <w:pPr>
        <w:bidi/>
        <w:jc w:val="right"/>
        <w:spacing w:after="90"/>
      </w:pPr>
      <w:r>
        <w:rPr>
          <w:rtl/>
          <w:color w:val="111827"/>
          <w:sz w:val="24"/>
          <w:rFonts w:ascii="Arial" w:hAnsi="Arial" w:cs="Arial"/>
        </w:rPr>
        <w:t>• פירוק שאלות לשלבים ותרגום מלל לציור או המחשה מוחשית.</w:t>
      </w:r>
    </w:p>
    <w:p>
      <w:pPr>
        <w:bidi/>
        <w:jc w:val="right"/>
        <w:spacing w:after="90"/>
      </w:pPr>
      <w:r>
        <w:rPr>
          <w:rtl/>
          <w:color w:val="111827"/>
          <w:sz w:val="24"/>
          <w:rFonts w:ascii="Arial" w:hAnsi="Arial" w:cs="Arial"/>
        </w:rPr>
        <w:t>• שימוש בטעות מכוונת ככלי הוראה.</w:t>
      </w:r>
    </w:p>
    <w:p>
      <w:pPr>
        <w:bidi/>
        <w:jc w:val="right"/>
        <w:spacing w:after="90"/>
      </w:pPr>
      <w:r>
        <w:rPr>
          <w:rtl/>
          <w:color w:val="111827"/>
          <w:sz w:val="24"/>
          <w:rFonts w:ascii="Arial" w:hAnsi="Arial" w:cs="Arial"/>
        </w:rPr>
        <w:t>• פיתוח אומדן, חשיבה ביקורתית וחשיבה יצירתית.</w:t>
      </w:r>
    </w:p>
    <w:p>
      <w:pPr>
        <w:bidi/>
        <w:jc w:val="right"/>
        <w:spacing w:after="90"/>
      </w:pPr>
      <w:r>
        <w:rPr>
          <w:rtl/>
          <w:color w:val="111827"/>
          <w:sz w:val="24"/>
          <w:rFonts w:ascii="Arial" w:hAnsi="Arial" w:cs="Arial"/>
        </w:rPr>
        <w:t>• מודל שמ״ח: שפתי, מתמטי, חזותי.</w:t>
      </w:r>
    </w:p>
    <w:p>
      <w:pPr>
        <w:bidi/>
        <w:jc w:val="right"/>
        <w:spacing w:before="260" w:after="120"/>
      </w:pPr>
      <w:r>
        <w:rPr>
          <w:rtl/>
          <w:b/>
          <w:color w:val="1e40af"/>
          <w:sz w:val="28"/>
          <w:rFonts w:ascii="Arial" w:hAnsi="Arial" w:cs="Arial"/>
        </w:rPr>
        <w:t>כלים ומשאבים למורים</w:t>
      </w:r>
    </w:p>
    <w:p>
      <w:pPr>
        <w:bidi/>
        <w:jc w:val="right"/>
        <w:spacing w:after="90"/>
      </w:pPr>
      <w:r>
        <w:rPr>
          <w:rtl/>
          <w:color w:val="111827"/>
          <w:sz w:val="24"/>
          <w:rFonts w:ascii="Arial" w:hAnsi="Arial" w:cs="Arial"/>
        </w:rPr>
        <w:t>• חוברת עבודה, תיקיית המחשות להדפסה, שאלות נוספות ואתר עם חומרים נוספים.</w:t>
      </w:r>
    </w:p>
    <w:p>
      <w:pPr>
        <w:bidi/>
        <w:jc w:val="right"/>
        <w:spacing w:after="90"/>
      </w:pPr>
      <w:r>
        <w:rPr>
          <w:rtl/>
          <w:color w:val="111827"/>
          <w:sz w:val="24"/>
          <w:rFonts w:ascii="Arial" w:hAnsi="Arial" w:cs="Arial"/>
        </w:rPr>
        <w:t>• המשתתפים התבקשו לבחור נקודה אחת ליישום מיידי בהוראה.</w:t>
      </w:r>
    </w:p>
    <w:sectPr>
      <w:pgSz w:w="11906" w:h="16838"/>
      <w:pgMar w:top="1134" w:right="1134" w:bottom="1134" w:left="1134" w:header="708" w:footer="708" w:gutter="0"/>
      <w:bidi/>
    </w:sectPr>
  </w:body>
</w:document>
</file>