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right"/>
      </w:pPr>
      <w:r>
        <w:rPr>
          <w:color w:val="808080"/>
          <w:sz w:val="20"/>
          <w:szCs w:val="20"/>
        </w:rPr>
        <w:t xml:space="preserve">蘇sir_泰國專案｜Draft v0.1｜2026-07-14</w:t>
      </w:r>
    </w:p>
    <w:p>
      <w:pPr>
        <w:spacing w:after="80" w:before="200"/>
        <w:jc w:val="center"/>
      </w:pPr>
      <w:r>
        <w:rPr>
          <w:b/>
          <w:bCs/>
          <w:color w:val="1F4E79"/>
          <w:sz w:val="36"/>
          <w:szCs w:val="36"/>
        </w:rPr>
        <w:t xml:space="preserve">Odoo 系統架構與客製化需求藍圖</w:t>
      </w:r>
    </w:p>
    <w:p>
      <w:pPr>
        <w:spacing w:after="80" w:before="0"/>
        <w:jc w:val="center"/>
      </w:pPr>
      <w:r>
        <w:rPr>
          <w:color w:val="2E75B6"/>
          <w:sz w:val="24"/>
          <w:szCs w:val="24"/>
        </w:rPr>
        <w:t xml:space="preserve">對接 Setup Information 文件整合版</w:t>
      </w:r>
    </w:p>
    <w:p>
      <w:pPr>
        <w:pBdr>
          <w:bottom w:val="single" w:color="2E75B6" w:sz="6"/>
        </w:pBdr>
        <w:spacing w:after="80" w:before="80"/>
      </w:pPr>
    </w:p>
    <w:p>
      <w:pPr>
        <w:pStyle w:val="Heading1"/>
        <w:shd w:fill="DCE6F1" w:val="clear"/>
        <w:spacing w:after="120" w:before="320"/>
        <w:ind w:left="100"/>
      </w:pPr>
      <w:r>
        <w:t xml:space="preserve">一、四間公司架構概覽</w:t>
      </w:r>
    </w:p>
    <w:p>
      <w:pPr>
        <w:spacing w:after="80" w:before="80"/>
      </w:pP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2200"/>
        <w:gridCol w:w="2200"/>
        <w:gridCol w:w="900"/>
        <w:gridCol w:w="2600"/>
      </w:tblGrid>
      <w:tr>
        <w:trPr>
          <w:tblHeader/>
        </w:trPr>
        <w:tc>
          <w:tcPr>
            <w:tcW w:type="dxa" w:w="1800"/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公司名稱</w:t>
            </w:r>
          </w:p>
        </w:tc>
        <w:tc>
          <w:tcPr>
            <w:tcW w:type="dxa" w:w="2200"/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業務定位</w:t>
            </w:r>
          </w:p>
        </w:tc>
        <w:tc>
          <w:tcPr>
            <w:tcW w:type="dxa" w:w="2200"/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實體倉庫</w:t>
            </w:r>
          </w:p>
        </w:tc>
        <w:tc>
          <w:tcPr>
            <w:tcW w:type="dxa" w:w="900"/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資料庫建議</w:t>
            </w:r>
          </w:p>
        </w:tc>
        <w:tc>
          <w:tcPr>
            <w:tcW w:type="dxa" w:w="2600"/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特殊說明</w:t>
            </w:r>
          </w:p>
        </w:tc>
      </w:tr>
      <w:tr>
        <w:tc>
          <w:tcPr>
            <w:tcW w:type="dxa" w:w="1800"/>
            <w:shd w:fill="FFFFFF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MACROSS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純進口轉銷商（國外→墨西哥）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無（虛擬倉）</w:t>
            </w:r>
          </w:p>
        </w:tc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DB1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無 SKU 採購；預估成本 + 2-3 週後運費到單</w:t>
            </w:r>
          </w:p>
        </w:tc>
      </w:tr>
      <w:tr>
        <w:tc>
          <w:tcPr>
            <w:tcW w:type="dxa" w:w="1800"/>
            <w:shd w:fill="F2F2F2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SENHAI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核心內銷分銷商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3 個：Fondeport / Colomos / Sauces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DB2</w:t>
            </w:r>
          </w:p>
        </w:tc>
        <w:tc>
          <w:tcPr>
            <w:tcW w:type="dxa" w:w="2600"/>
            <w:shd w:fill="F2F2F2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複雜命名公式；CFDI 電子發票；客戶折扣隱藏</w:t>
            </w:r>
          </w:p>
        </w:tc>
      </w:tr>
      <w:tr>
        <w:tc>
          <w:tcPr>
            <w:tcW w:type="dxa" w:w="1800"/>
            <w:shd w:fill="FFFFFF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VERRA GLASS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進銷合一綜合商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1 個</w:t>
            </w:r>
          </w:p>
        </w:tc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DB3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兼具 MACROSS 進口與 SENHAI 銷售功能</w:t>
            </w:r>
          </w:p>
        </w:tc>
      </w:tr>
      <w:tr>
        <w:tc>
          <w:tcPr>
            <w:tcW w:type="dxa" w:w="1800"/>
            <w:shd w:fill="F2F2F2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A LA CAJA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新籌備餐盒公司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1 個（新設）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DB4</w:t>
            </w:r>
          </w:p>
        </w:tc>
        <w:tc>
          <w:tcPr>
            <w:tcW w:type="dxa" w:w="2600"/>
            <w:shd w:fill="F2F2F2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從零建帳；箱→個數換算（1箱=300個）</w:t>
            </w:r>
          </w:p>
        </w:tc>
      </w:tr>
    </w:tbl>
    <w:p>
      <w:pPr>
        <w:spacing w:before="120"/>
      </w:pPr>
    </w:p>
    <w:p>
      <w:pPr>
        <w:pStyle w:val="Heading1"/>
        <w:shd w:fill="DCE6F1" w:val="clear"/>
        <w:spacing w:after="120" w:before="320"/>
        <w:ind w:left="100"/>
      </w:pPr>
      <w:r>
        <w:t xml:space="preserve">二、資料庫切分決策</w:t>
      </w:r>
    </w:p>
    <w:p>
      <w:pPr>
        <w:spacing w:after="60" w:before="60"/>
        <w:ind w:left="200"/>
      </w:pPr>
      <w:r>
        <w:rPr>
          <w:sz w:val="22"/>
          <w:szCs w:val="22"/>
        </w:rPr>
        <w:t xml:space="preserve">決策依據：各公司產品與客戶不共用，稅務及資產負債表需獨立，若共用資料庫將造成帳目與庫存混亂。</w:t>
      </w:r>
    </w:p>
    <w:p>
      <w:pPr>
        <w:spacing w:after="60" w:before="60"/>
        <w:ind w:left="200"/>
      </w:pPr>
      <w:r>
        <w:rPr>
          <w:sz w:val="22"/>
          <w:szCs w:val="22"/>
        </w:rPr>
        <w:t xml:space="preserve">定案方式：取消原本單一資料庫多公司架構，改以 4 個獨立資料庫/網址登入運作。</w:t>
      </w:r>
    </w:p>
    <w:p>
      <w:pPr>
        <w:pStyle w:val="Heading2"/>
        <w:spacing w:after="80" w:before="200"/>
      </w:pPr>
      <w:r>
        <w:t xml:space="preserve">切分效益分析</w:t>
      </w:r>
    </w:p>
    <w:p>
      <w:pPr>
        <w:spacing w:after="40" w:before="40"/>
        <w:ind w:left="400" w:hanging="200"/>
      </w:pPr>
      <w:r>
        <w:rPr>
          <w:b w:val="false"/>
          <w:bCs w:val="false"/>
          <w:sz w:val="22"/>
          <w:szCs w:val="22"/>
        </w:rPr>
        <w:t xml:space="preserve">• MACROSS（無倉）：切分後虛擬進出庫不干擾其他三家的實體庫存盤點。</w:t>
      </w:r>
    </w:p>
    <w:p>
      <w:pPr>
        <w:spacing w:after="40" w:before="40"/>
        <w:ind w:left="400" w:hanging="200"/>
      </w:pPr>
      <w:r>
        <w:rPr>
          <w:b w:val="false"/>
          <w:bCs w:val="false"/>
          <w:sz w:val="22"/>
          <w:szCs w:val="22"/>
        </w:rPr>
        <w:t xml:space="preserve">• SENHAI：可專注管理 3 個實體倉與客戶報價折扣，不被進口端的無 SKU 資料污染。</w:t>
      </w:r>
    </w:p>
    <w:p>
      <w:pPr>
        <w:spacing w:after="40" w:before="40"/>
        <w:ind w:left="400" w:hanging="200"/>
      </w:pPr>
      <w:r>
        <w:rPr>
          <w:b w:val="false"/>
          <w:bCs w:val="false"/>
          <w:sz w:val="22"/>
          <w:szCs w:val="22"/>
        </w:rPr>
        <w:t xml:space="preserve">• A LA CAJA：餐盒「箱/個數」邏輯與玻璃「平米/包裝」邏輯完全分開，從根本杜絕歷史錯誤。</w:t>
      </w:r>
    </w:p>
    <w:p>
      <w:pPr>
        <w:pStyle w:val="Heading1"/>
        <w:shd w:fill="DCE6F1" w:val="clear"/>
        <w:spacing w:after="120" w:before="320"/>
        <w:ind w:left="100"/>
      </w:pPr>
      <w:r>
        <w:t xml:space="preserve">三、產品命名與資料清洗規範</w:t>
      </w:r>
    </w:p>
    <w:p>
      <w:pPr>
        <w:pStyle w:val="Heading2"/>
        <w:spacing w:after="80" w:before="200"/>
      </w:pPr>
      <w:r>
        <w:t xml:space="preserve">3.1 玻璃產品命名公式</w:t>
      </w:r>
    </w:p>
    <w:p>
      <w:pPr>
        <w:spacing w:after="60" w:before="60"/>
        <w:ind w:left="200"/>
      </w:pPr>
      <w:r>
        <w:rPr>
          <w:sz w:val="22"/>
          <w:szCs w:val="22"/>
        </w:rPr>
        <w:t xml:space="preserve">格式：[顏色/材質] + [厚度(mm)] + [長度(cm)] + [高度(cm)] - [每包片數]</w:t>
      </w:r>
    </w:p>
    <w:p>
      <w:pPr>
        <w:spacing w:after="60" w:before="60"/>
        <w:ind w:left="200"/>
      </w:pPr>
      <w:r>
        <w:rPr>
          <w:sz w:val="22"/>
          <w:szCs w:val="22"/>
        </w:rPr>
        <w:t xml:space="preserve">範例：C063621-20</w:t>
      </w:r>
    </w:p>
    <w:p>
      <w:pPr>
        <w:spacing w:after="40" w:before="40"/>
        <w:ind w:left="400" w:hanging="200"/>
      </w:pPr>
      <w:r>
        <w:rPr>
          <w:b w:val="false"/>
          <w:bCs w:val="false"/>
          <w:sz w:val="22"/>
          <w:szCs w:val="22"/>
        </w:rPr>
        <w:t xml:space="preserve">• C = 透明 (Clear)</w:t>
      </w:r>
    </w:p>
    <w:p>
      <w:pPr>
        <w:spacing w:after="40" w:before="40"/>
        <w:ind w:left="400" w:hanging="200"/>
      </w:pPr>
      <w:r>
        <w:rPr>
          <w:b w:val="false"/>
          <w:bCs w:val="false"/>
          <w:sz w:val="22"/>
          <w:szCs w:val="22"/>
        </w:rPr>
        <w:t xml:space="preserve">• 06 = 6mm 厚</w:t>
      </w:r>
    </w:p>
    <w:p>
      <w:pPr>
        <w:spacing w:after="40" w:before="40"/>
        <w:ind w:left="400" w:hanging="200"/>
      </w:pPr>
      <w:r>
        <w:rPr>
          <w:b w:val="false"/>
          <w:bCs w:val="false"/>
          <w:sz w:val="22"/>
          <w:szCs w:val="22"/>
        </w:rPr>
        <w:t xml:space="preserve">• 36 = 3.66m 長</w:t>
      </w:r>
    </w:p>
    <w:p>
      <w:pPr>
        <w:spacing w:after="40" w:before="40"/>
        <w:ind w:left="400" w:hanging="200"/>
      </w:pPr>
      <w:r>
        <w:rPr>
          <w:b w:val="false"/>
          <w:bCs w:val="false"/>
          <w:sz w:val="22"/>
          <w:szCs w:val="22"/>
        </w:rPr>
        <w:t xml:space="preserve">• 21 = 2.14m 高</w:t>
      </w:r>
    </w:p>
    <w:p>
      <w:pPr>
        <w:spacing w:after="40" w:before="40"/>
        <w:ind w:left="400" w:hanging="200"/>
      </w:pPr>
      <w:r>
        <w:rPr>
          <w:b w:val="false"/>
          <w:bCs w:val="false"/>
          <w:sz w:val="22"/>
          <w:szCs w:val="22"/>
        </w:rPr>
        <w:t xml:space="preserve">• -20 = 每包 20 片</w:t>
      </w:r>
    </w:p>
    <w:p>
      <w:pPr>
        <w:spacing w:after="60" w:before="60"/>
        <w:ind w:left="200"/>
      </w:pPr>
      <w:r>
        <w:rPr>
          <w:sz w:val="22"/>
          <w:szCs w:val="22"/>
        </w:rPr>
        <w:t xml:space="preserve">注意：相同尺寸可有不同包裝數（如 -20、-22、-18），必須作為獨立 SKU 處理。</w:t>
      </w:r>
    </w:p>
    <w:p>
      <w:pPr>
        <w:pStyle w:val="Heading2"/>
        <w:spacing w:after="80" w:before="200"/>
      </w:pPr>
      <w:r>
        <w:t xml:space="preserve">3.2 餐盒計量單位</w:t>
      </w:r>
    </w:p>
    <w:p>
      <w:pPr>
        <w:spacing w:after="40" w:before="40"/>
        <w:ind w:left="400" w:hanging="200"/>
      </w:pPr>
      <w:r>
        <w:rPr>
          <w:b w:val="false"/>
          <w:bCs w:val="false"/>
          <w:sz w:val="22"/>
          <w:szCs w:val="22"/>
        </w:rPr>
        <w:t xml:space="preserve">• 庫存單位：箱（Box）</w:t>
      </w:r>
    </w:p>
    <w:p>
      <w:pPr>
        <w:spacing w:after="40" w:before="40"/>
        <w:ind w:left="400" w:hanging="200"/>
      </w:pPr>
      <w:r>
        <w:rPr>
          <w:b w:val="false"/>
          <w:bCs w:val="false"/>
          <w:sz w:val="22"/>
          <w:szCs w:val="22"/>
        </w:rPr>
        <w:t xml:space="preserve">• 銷售單位：個（Pieces）— 1 箱 = 300 個</w:t>
      </w:r>
    </w:p>
    <w:p>
      <w:pPr>
        <w:spacing w:after="40" w:before="40"/>
        <w:ind w:left="400" w:hanging="200"/>
      </w:pPr>
      <w:r>
        <w:rPr>
          <w:b w:val="false"/>
          <w:bCs w:val="false"/>
          <w:sz w:val="22"/>
          <w:szCs w:val="22"/>
        </w:rPr>
        <w:t xml:space="preserve">• Odoo 需設定單位換算，確保兩個視角都能正確計價。</w:t>
      </w:r>
    </w:p>
    <w:p>
      <w:pPr>
        <w:pStyle w:val="Heading2"/>
        <w:spacing w:after="80" w:before="200"/>
      </w:pPr>
      <w:r>
        <w:t xml:space="preserve">3.3 資料清洗流程</w:t>
      </w:r>
    </w:p>
    <w:p>
      <w:pPr>
        <w:spacing w:after="40" w:before="40"/>
        <w:ind w:left="400" w:hanging="200"/>
      </w:pPr>
      <w:r>
        <w:rPr>
          <w:b w:val="false"/>
          <w:bCs w:val="false"/>
          <w:sz w:val="22"/>
          <w:szCs w:val="22"/>
        </w:rPr>
        <w:t xml:space="preserve">• 第一步：蘇 Sir 從現有系統匯出原始產品資料 Excel。</w:t>
      </w:r>
    </w:p>
    <w:p>
      <w:pPr>
        <w:spacing w:after="40" w:before="40"/>
        <w:ind w:left="400" w:hanging="200"/>
      </w:pPr>
      <w:r>
        <w:rPr>
          <w:b w:val="false"/>
          <w:bCs w:val="false"/>
          <w:sz w:val="22"/>
          <w:szCs w:val="22"/>
        </w:rPr>
        <w:t xml:space="preserve">• 第二步：Tommy / Yenni 依上述命名公式逐項修正編碼、尺寸、片數錯誤。</w:t>
      </w:r>
    </w:p>
    <w:p>
      <w:pPr>
        <w:spacing w:after="40" w:before="40"/>
        <w:ind w:left="400" w:hanging="200"/>
      </w:pPr>
      <w:r>
        <w:rPr>
          <w:b w:val="false"/>
          <w:bCs w:val="false"/>
          <w:sz w:val="22"/>
          <w:szCs w:val="22"/>
        </w:rPr>
        <w:t xml:space="preserve">• 第三步：修正後 Excel 交回技術團隊重新匯入各獨立資料庫。</w:t>
      </w:r>
    </w:p>
    <w:p>
      <w:pPr>
        <w:pStyle w:val="Heading1"/>
        <w:shd w:fill="DCE6F1" w:val="clear"/>
        <w:spacing w:after="120" w:before="320"/>
        <w:ind w:left="100"/>
      </w:pPr>
      <w:r>
        <w:t xml:space="preserve">四、主要客製化需求清單</w:t>
      </w:r>
    </w:p>
    <w:p>
      <w:pPr>
        <w:spacing w:after="80" w:before="80"/>
      </w:pP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3800"/>
        <w:gridCol w:w="1500"/>
        <w:gridCol w:w="700"/>
      </w:tblGrid>
      <w:tr>
        <w:trPr>
          <w:tblHeader/>
        </w:trPr>
        <w:tc>
          <w:tcPr>
            <w:tcW w:type="dxa" w:w="1800"/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3800"/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需求說明</w:t>
            </w:r>
          </w:p>
        </w:tc>
        <w:tc>
          <w:tcPr>
            <w:tcW w:type="dxa" w:w="1500"/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涉及公司</w:t>
            </w:r>
          </w:p>
        </w:tc>
        <w:tc>
          <w:tcPr>
            <w:tcW w:type="dxa" w:w="700"/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優先級</w:t>
            </w:r>
          </w:p>
        </w:tc>
      </w:tr>
      <w:tr>
        <w:tc>
          <w:tcPr>
            <w:tcW w:type="dxa" w:w="1800"/>
            <w:shd w:fill="FFFFFF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到岸成本分攤
(Landed Cost)</w:t>
            </w:r>
          </w:p>
        </w:tc>
        <w:tc>
          <w:tcPr>
            <w:tcW w:type="dxa" w:w="3800"/>
            <w:shd w:fill="FFFFFF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貨櫃入庫時先用預估成本，2-3 週後第三方運費/報關費到單時，自動分攤回原始入庫單，並產生成本差異分析表。</w:t>
            </w:r>
          </w:p>
        </w:tc>
        <w:tc>
          <w:tcPr>
            <w:tcW w:type="dxa" w:w="1500"/>
            <w:shd w:fill="FFFFFF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MACROSS / VERRA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800"/>
            <w:shd w:fill="F2F2F2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面積自動換算</w:t>
            </w:r>
          </w:p>
        </w:tc>
        <w:tc>
          <w:tcPr>
            <w:tcW w:type="dxa" w:w="3800"/>
            <w:shd w:fill="F2F2F2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報價單：長 × 寬 × 片數 → 自動換算總平米數（m²），以此推算每包售價。</w:t>
            </w:r>
          </w:p>
        </w:tc>
        <w:tc>
          <w:tcPr>
            <w:tcW w:type="dxa" w:w="1500"/>
            <w:shd w:fill="F2F2F2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SENHAI / VERRA</w:t>
            </w:r>
          </w:p>
        </w:tc>
        <w:tc>
          <w:tcPr>
            <w:tcW w:type="dxa" w:w="700"/>
            <w:shd w:fill="F2F2F2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800"/>
            <w:shd w:fill="FFFFFF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折扣隱藏機制</w:t>
            </w:r>
          </w:p>
        </w:tc>
        <w:tc>
          <w:tcPr>
            <w:tcW w:type="dxa" w:w="3800"/>
            <w:shd w:fill="FFFFFF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報價單同時套用客戶折扣（如 SENHAI 32%、其他 35%）與瑕疵折讓，但對外報價單隱藏折扣欄位，僅顯示折後淨價。</w:t>
            </w:r>
          </w:p>
        </w:tc>
        <w:tc>
          <w:tcPr>
            <w:tcW w:type="dxa" w:w="1500"/>
            <w:shd w:fill="FFFFFF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SENHAI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800"/>
            <w:shd w:fill="F2F2F2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CFDI 電子發票連動</w:t>
            </w:r>
          </w:p>
        </w:tc>
        <w:tc>
          <w:tcPr>
            <w:tcW w:type="dxa" w:w="3800"/>
            <w:shd w:fill="F2F2F2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僅在「倉庫理貨裝車完成（產品已交付）」後才自動生成 CFDI 電子發票；客戶於現場平板電子簽名確認。</w:t>
            </w:r>
          </w:p>
        </w:tc>
        <w:tc>
          <w:tcPr>
            <w:tcW w:type="dxa" w:w="1500"/>
            <w:shd w:fill="F2F2F2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SENHAI / VERRA</w:t>
            </w:r>
          </w:p>
        </w:tc>
        <w:tc>
          <w:tcPr>
            <w:tcW w:type="dxa" w:w="700"/>
            <w:shd w:fill="F2F2F2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800"/>
            <w:shd w:fill="FFFFFF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現場條碼介面
(Barcode Kiosk)</w:t>
            </w:r>
          </w:p>
        </w:tc>
        <w:tc>
          <w:tcPr>
            <w:tcW w:type="dxa" w:w="3800"/>
            <w:shd w:fill="FFFFFF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為倉庫領班開發簡化介面：只顯示儲位、掃條碼進出貨，隱藏採購/價格等商業機密。</w:t>
            </w:r>
          </w:p>
        </w:tc>
        <w:tc>
          <w:tcPr>
            <w:tcW w:type="dxa" w:w="1500"/>
            <w:shd w:fill="FFFFFF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SENHAI / VERRA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1800"/>
            <w:shd w:fill="F2F2F2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總經理線上簽核
(Folio Approvals)</w:t>
            </w:r>
          </w:p>
        </w:tc>
        <w:tc>
          <w:tcPr>
            <w:tcW w:type="dxa" w:w="3800"/>
            <w:shd w:fill="F2F2F2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將總經理外部簽署 PDF 的流程移入 Odoo：點擊簽批 → 自動產生 Folio 追蹤號 → 自動拋轉會計應付帳款。</w:t>
            </w:r>
          </w:p>
        </w:tc>
        <w:tc>
          <w:tcPr>
            <w:tcW w:type="dxa" w:w="1500"/>
            <w:shd w:fill="F2F2F2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全部</w:t>
            </w:r>
          </w:p>
        </w:tc>
        <w:tc>
          <w:tcPr>
            <w:tcW w:type="dxa" w:w="700"/>
            <w:shd w:fill="F2F2F2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1800"/>
            <w:shd w:fill="FFFFFF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人力資源 360°</w:t>
            </w:r>
          </w:p>
        </w:tc>
        <w:tc>
          <w:tcPr>
            <w:tcW w:type="dxa" w:w="3800"/>
            <w:shd w:fill="FFFFFF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整合指紋打卡機、墨西哥薪資計算、員工向上匿名評估問卷（360°評估）。</w:t>
            </w:r>
          </w:p>
        </w:tc>
        <w:tc>
          <w:tcPr>
            <w:tcW w:type="dxa" w:w="1500"/>
            <w:shd w:fill="FFFFFF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全部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1800"/>
            <w:shd w:fill="F2F2F2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車隊合約提醒</w:t>
            </w:r>
          </w:p>
        </w:tc>
        <w:tc>
          <w:tcPr>
            <w:tcW w:type="dxa" w:w="3800"/>
            <w:shd w:fill="F2F2F2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10 輛公司車輛保養與合約到期日：自動發送提醒郵件。</w:t>
            </w:r>
          </w:p>
        </w:tc>
        <w:tc>
          <w:tcPr>
            <w:tcW w:type="dxa" w:w="1500"/>
            <w:shd w:fill="F2F2F2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全部</w:t>
            </w:r>
          </w:p>
        </w:tc>
        <w:tc>
          <w:tcPr>
            <w:tcW w:type="dxa" w:w="700"/>
            <w:shd w:fill="F2F2F2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低</w:t>
            </w:r>
          </w:p>
        </w:tc>
      </w:tr>
    </w:tbl>
    <w:p>
      <w:pPr>
        <w:spacing w:before="120"/>
      </w:pPr>
    </w:p>
    <w:p>
      <w:pPr>
        <w:pStyle w:val="Heading1"/>
        <w:shd w:fill="DCE6F1" w:val="clear"/>
        <w:spacing w:after="120" w:before="320"/>
        <w:ind w:left="100"/>
      </w:pPr>
      <w:r>
        <w:t xml:space="preserve">五、Master Data 確認清單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2600"/>
        <w:gridCol w:w="1800"/>
        <w:gridCol w:w="1200"/>
      </w:tblGrid>
      <w:tr>
        <w:trPr>
          <w:tblHeader/>
        </w:trPr>
        <w:tc>
          <w:tcPr>
            <w:tcW w:type="dxa" w:w="2200"/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資料類型</w:t>
            </w:r>
          </w:p>
        </w:tc>
        <w:tc>
          <w:tcPr>
            <w:tcW w:type="dxa" w:w="2600"/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處理方式</w:t>
            </w:r>
          </w:p>
        </w:tc>
        <w:tc>
          <w:tcPr>
            <w:tcW w:type="dxa" w:w="1800"/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負責人</w:t>
            </w:r>
          </w:p>
        </w:tc>
        <w:tc>
          <w:tcPr>
            <w:tcW w:type="dxa" w:w="1200"/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公司基礎資料（Component 設定）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確認 4 間公司設定是否正確完整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Tommy, Yenni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待確認</w:t>
            </w:r>
          </w:p>
        </w:tc>
      </w:tr>
      <w:tr>
        <w:tc>
          <w:tcPr>
            <w:tcW w:type="dxa" w:w="2200"/>
            <w:shd w:fill="F2F2F2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供應商/廠商資料</w:t>
            </w:r>
          </w:p>
        </w:tc>
        <w:tc>
          <w:tcPr>
            <w:tcW w:type="dxa" w:w="2600"/>
            <w:shd w:fill="F2F2F2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確認正確後直接匯入（部分可跨庫共用）</w:t>
            </w:r>
          </w:p>
        </w:tc>
        <w:tc>
          <w:tcPr>
            <w:tcW w:type="dxa" w:w="1800"/>
            <w:shd w:fill="F2F2F2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蘇 Sir, Jason</w:t>
            </w:r>
          </w:p>
        </w:tc>
        <w:tc>
          <w:tcPr>
            <w:tcW w:type="dxa" w:w="1200"/>
            <w:shd w:fill="F2F2F2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待執行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產品資料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匯出後修正命名/尺寸錯誤，再重新匯入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Tommy, Yenni → 蘇 Sir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待修正</w:t>
            </w:r>
          </w:p>
        </w:tc>
      </w:tr>
      <w:tr>
        <w:tc>
          <w:tcPr>
            <w:tcW w:type="dxa" w:w="2200"/>
            <w:shd w:fill="F2F2F2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客戶資料</w:t>
            </w:r>
          </w:p>
        </w:tc>
        <w:tc>
          <w:tcPr>
            <w:tcW w:type="dxa" w:w="2600"/>
            <w:shd w:fill="F2F2F2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需確認轉移或重建（待補資料）</w:t>
            </w:r>
          </w:p>
        </w:tc>
        <w:tc>
          <w:tcPr>
            <w:tcW w:type="dxa" w:w="1800"/>
            <w:shd w:fill="F2F2F2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待確認</w:t>
            </w:r>
          </w:p>
        </w:tc>
        <w:tc>
          <w:tcPr>
            <w:tcW w:type="dxa" w:w="1200"/>
            <w:shd w:fill="F2F2F2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需確認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使用者帳號（14 個）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先全數匯入第一版，再設定群組/權限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蘇 Sir, Jason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待執行</w:t>
            </w:r>
          </w:p>
        </w:tc>
      </w:tr>
      <w:tr>
        <w:tc>
          <w:tcPr>
            <w:tcW w:type="dxa" w:w="2200"/>
            <w:shd w:fill="F2F2F2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A LA CAJA 基礎科目</w:t>
            </w:r>
          </w:p>
        </w:tc>
        <w:tc>
          <w:tcPr>
            <w:tcW w:type="dxa" w:w="2600"/>
            <w:shd w:fill="F2F2F2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新公司從零建帳（不繼承舊資料）</w:t>
            </w:r>
          </w:p>
        </w:tc>
        <w:tc>
          <w:tcPr>
            <w:tcW w:type="dxa" w:w="1800"/>
            <w:shd w:fill="F2F2F2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蘇 Sir, Jason</w:t>
            </w:r>
          </w:p>
        </w:tc>
        <w:tc>
          <w:tcPr>
            <w:tcW w:type="dxa" w:w="1200"/>
            <w:shd w:fill="F2F2F2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待定</w:t>
            </w:r>
          </w:p>
        </w:tc>
      </w:tr>
    </w:tbl>
    <w:p>
      <w:pPr>
        <w:spacing w:before="120"/>
      </w:pPr>
    </w:p>
    <w:p>
      <w:pPr>
        <w:pBdr>
          <w:bottom w:val="single" w:color="2E75B6" w:sz="6"/>
        </w:pBdr>
        <w:spacing w:after="80" w:before="80"/>
      </w:pPr>
    </w:p>
    <w:p>
      <w:pPr>
        <w:spacing w:after="60" w:before="60"/>
        <w:ind w:left="200"/>
      </w:pPr>
      <w:r>
        <w:rPr>
          <w:i/>
          <w:iCs/>
          <w:color w:val="808080"/>
          <w:sz w:val="22"/>
          <w:szCs w:val="22"/>
        </w:rPr>
        <w:t xml:space="preserve">本文件由 員工_02_文件資料助理（小果）依客戶提供 ODOO SETUP INFORMATION 與 Gemini 會議紀錄整合產出。狀態：Draft v0.1，待與技術團隊核對後升版。</w:t>
      </w:r>
    </w:p>
    <w:p>
      <w:pPr>
        <w:spacing w:after="60" w:before="60"/>
        <w:ind w:left="200"/>
      </w:pPr>
      <w:r>
        <w:rPr>
          <w:i/>
          <w:iCs/>
          <w:color w:val="808080"/>
          <w:sz w:val="22"/>
          <w:szCs w:val="22"/>
        </w:rPr>
        <w:t xml:space="preserve">關聯文件：蘇sir_泰國專案_會議紀錄_Odoo移轉社區版V2_20260714.docx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2026-07-15T01:34:34.331Z</dcterms:created>
  <dcterms:modified xsi:type="dcterms:W3CDTF">2026-07-15T01:34:34.331Z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