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576571" w:rsidP="00E05A19">
      <w:pPr>
        <w:pStyle w:val="aff7"/>
        <w:rPr>
          <w:rFonts w:ascii="Times New Roman" w:hAnsi="Times New Roman"/>
        </w:rPr>
      </w:pPr>
      <w:r w:rsidRPr="00576571">
        <w:rPr>
          <w:rFonts w:ascii="Times New Roman" w:hAnsi="Times New Roman"/>
        </w:rPr>
        <w:t>HMS Core</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 w:rsidR="00B138A1" w:rsidRPr="00460664" w:rsidRDefault="00B138A1" w:rsidP="00695F61">
      <w:p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p w:rsidR="003C7DF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09995" w:history="1">
        <w:r w:rsidR="003C7DF9" w:rsidRPr="009A5682">
          <w:rPr>
            <w:rStyle w:val="aff3"/>
            <w:rFonts w:ascii="Cambria" w:hAnsi="Cambria"/>
            <w:noProof/>
          </w:rPr>
          <w:t>1</w:t>
        </w:r>
        <w:r w:rsidR="003C7DF9" w:rsidRPr="009A5682">
          <w:rPr>
            <w:rStyle w:val="aff3"/>
            <w:noProof/>
          </w:rPr>
          <w:t xml:space="preserve"> </w:t>
        </w:r>
        <w:r w:rsidR="003C7DF9" w:rsidRPr="009A5682">
          <w:rPr>
            <w:rStyle w:val="aff3"/>
            <w:noProof/>
          </w:rPr>
          <w:t>第一章</w:t>
        </w:r>
        <w:r w:rsidR="003C7DF9">
          <w:rPr>
            <w:noProof/>
            <w:webHidden/>
          </w:rPr>
          <w:tab/>
        </w:r>
        <w:r w:rsidR="003C7DF9">
          <w:rPr>
            <w:noProof/>
            <w:webHidden/>
          </w:rPr>
          <w:fldChar w:fldCharType="begin"/>
        </w:r>
        <w:r w:rsidR="003C7DF9">
          <w:rPr>
            <w:noProof/>
            <w:webHidden/>
          </w:rPr>
          <w:instrText xml:space="preserve"> PAGEREF _Toc76209995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9B7783">
      <w:pPr>
        <w:pStyle w:val="21"/>
        <w:rPr>
          <w:rFonts w:asciiTheme="minorHAnsi" w:eastAsiaTheme="minorEastAsia" w:hAnsiTheme="minorHAnsi" w:cstheme="minorBidi"/>
          <w:noProof/>
          <w:kern w:val="2"/>
          <w:sz w:val="21"/>
          <w:szCs w:val="22"/>
          <w:lang w:eastAsia="zh-CN" w:bidi="ar-SA"/>
        </w:rPr>
      </w:pPr>
      <w:hyperlink w:anchor="_Toc76209996" w:history="1">
        <w:r w:rsidR="003C7DF9" w:rsidRPr="009A5682">
          <w:rPr>
            <w:rStyle w:val="aff3"/>
            <w:noProof/>
          </w:rPr>
          <w:t xml:space="preserve">1.1 </w:t>
        </w:r>
        <w:r w:rsidR="003C7DF9" w:rsidRPr="009A5682">
          <w:rPr>
            <w:rStyle w:val="aff3"/>
            <w:noProof/>
          </w:rPr>
          <w:t>第一节</w:t>
        </w:r>
        <w:r w:rsidR="003C7DF9">
          <w:rPr>
            <w:noProof/>
            <w:webHidden/>
          </w:rPr>
          <w:tab/>
        </w:r>
        <w:r w:rsidR="003C7DF9">
          <w:rPr>
            <w:noProof/>
            <w:webHidden/>
          </w:rPr>
          <w:fldChar w:fldCharType="begin"/>
        </w:r>
        <w:r w:rsidR="003C7DF9">
          <w:rPr>
            <w:noProof/>
            <w:webHidden/>
          </w:rPr>
          <w:instrText xml:space="preserve"> PAGEREF _Toc76209996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9B7783">
      <w:pPr>
        <w:pStyle w:val="31"/>
        <w:rPr>
          <w:rFonts w:asciiTheme="minorHAnsi" w:eastAsiaTheme="minorEastAsia" w:hAnsiTheme="minorHAnsi" w:cstheme="minorBidi"/>
          <w:noProof/>
          <w:kern w:val="2"/>
          <w:sz w:val="21"/>
          <w:szCs w:val="22"/>
          <w:lang w:eastAsia="zh-CN" w:bidi="ar-SA"/>
        </w:rPr>
      </w:pPr>
      <w:hyperlink w:anchor="_Toc76209997" w:history="1">
        <w:r w:rsidR="003C7DF9" w:rsidRPr="009A5682">
          <w:rPr>
            <w:rStyle w:val="aff3"/>
            <w:noProof/>
          </w:rPr>
          <w:t xml:space="preserve">1.1.1 </w:t>
        </w:r>
        <w:r w:rsidR="003C7DF9" w:rsidRPr="009A5682">
          <w:rPr>
            <w:rStyle w:val="aff3"/>
            <w:noProof/>
          </w:rPr>
          <w:t>第一段</w:t>
        </w:r>
        <w:r w:rsidR="003C7DF9">
          <w:rPr>
            <w:noProof/>
            <w:webHidden/>
          </w:rPr>
          <w:tab/>
        </w:r>
        <w:r w:rsidR="003C7DF9">
          <w:rPr>
            <w:noProof/>
            <w:webHidden/>
          </w:rPr>
          <w:fldChar w:fldCharType="begin"/>
        </w:r>
        <w:r w:rsidR="003C7DF9">
          <w:rPr>
            <w:noProof/>
            <w:webHidden/>
          </w:rPr>
          <w:instrText xml:space="preserve"> PAGEREF _Toc76209997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9B7783">
      <w:pPr>
        <w:pStyle w:val="21"/>
        <w:rPr>
          <w:rFonts w:asciiTheme="minorHAnsi" w:eastAsiaTheme="minorEastAsia" w:hAnsiTheme="minorHAnsi" w:cstheme="minorBidi"/>
          <w:noProof/>
          <w:kern w:val="2"/>
          <w:sz w:val="21"/>
          <w:szCs w:val="22"/>
          <w:lang w:eastAsia="zh-CN" w:bidi="ar-SA"/>
        </w:rPr>
      </w:pPr>
      <w:hyperlink w:anchor="_Toc76209998" w:history="1">
        <w:r w:rsidR="003C7DF9" w:rsidRPr="009A5682">
          <w:rPr>
            <w:rStyle w:val="aff3"/>
            <w:noProof/>
          </w:rPr>
          <w:t>1.2</w:t>
        </w:r>
        <w:r w:rsidR="003C7DF9">
          <w:rPr>
            <w:noProof/>
            <w:webHidden/>
          </w:rPr>
          <w:tab/>
        </w:r>
        <w:r w:rsidR="003C7DF9">
          <w:rPr>
            <w:noProof/>
            <w:webHidden/>
          </w:rPr>
          <w:fldChar w:fldCharType="begin"/>
        </w:r>
        <w:r w:rsidR="003C7DF9">
          <w:rPr>
            <w:noProof/>
            <w:webHidden/>
          </w:rPr>
          <w:instrText xml:space="preserve"> PAGEREF _Toc76209998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9B7783">
      <w:pPr>
        <w:pStyle w:val="11"/>
        <w:rPr>
          <w:rFonts w:asciiTheme="minorHAnsi" w:eastAsiaTheme="minorEastAsia" w:hAnsiTheme="minorHAnsi" w:cstheme="minorBidi"/>
          <w:noProof/>
          <w:kern w:val="2"/>
          <w:sz w:val="21"/>
          <w:szCs w:val="22"/>
          <w:lang w:eastAsia="zh-CN" w:bidi="ar-SA"/>
        </w:rPr>
      </w:pPr>
      <w:hyperlink w:anchor="_Toc76209999" w:history="1">
        <w:r w:rsidR="003C7DF9" w:rsidRPr="009A5682">
          <w:rPr>
            <w:rStyle w:val="aff3"/>
            <w:rFonts w:ascii="Cambria" w:hAnsi="Cambria"/>
            <w:noProof/>
          </w:rPr>
          <w:t>2</w:t>
        </w:r>
        <w:r w:rsidR="003C7DF9">
          <w:rPr>
            <w:noProof/>
            <w:webHidden/>
          </w:rPr>
          <w:tab/>
        </w:r>
        <w:r w:rsidR="003C7DF9">
          <w:rPr>
            <w:noProof/>
            <w:webHidden/>
          </w:rPr>
          <w:fldChar w:fldCharType="begin"/>
        </w:r>
        <w:r w:rsidR="003C7DF9">
          <w:rPr>
            <w:noProof/>
            <w:webHidden/>
          </w:rPr>
          <w:instrText xml:space="preserve"> PAGEREF _Toc76209999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F46C67" w:rsidRPr="00F46C67" w:rsidRDefault="00576571" w:rsidP="00576571">
      <w:pPr>
        <w:pStyle w:val="13"/>
        <w:spacing w:after="120"/>
      </w:pPr>
      <w:r w:rsidRPr="00576571">
        <w:rPr>
          <w:rFonts w:hint="eastAsia"/>
        </w:rPr>
        <w:lastRenderedPageBreak/>
        <w:t>全面的生态基础开放能力</w:t>
      </w:r>
    </w:p>
    <w:p w:rsidR="00F46C67" w:rsidRPr="00AF657D" w:rsidRDefault="00CD4AC6" w:rsidP="00CD4AC6">
      <w:pPr>
        <w:pStyle w:val="2"/>
      </w:pPr>
      <w:r w:rsidRPr="00CD4AC6">
        <w:t>App Services</w:t>
      </w:r>
    </w:p>
    <w:p w:rsidR="000E4A5D" w:rsidRDefault="000E4A5D" w:rsidP="000E4A5D">
      <w:pPr>
        <w:rPr>
          <w:lang w:eastAsia="zh-CN"/>
        </w:rPr>
      </w:pPr>
    </w:p>
    <w:p w:rsidR="000E4A5D" w:rsidRDefault="000E4A5D" w:rsidP="000E4A5D">
      <w:pPr>
        <w:rPr>
          <w:lang w:eastAsia="zh-CN"/>
        </w:rPr>
      </w:pPr>
    </w:p>
    <w:p w:rsidR="000E4A5D" w:rsidRDefault="00CD4AC6" w:rsidP="00CD4AC6">
      <w:pPr>
        <w:pStyle w:val="2"/>
      </w:pPr>
      <w:bookmarkStart w:id="0" w:name="_Toc76209998"/>
      <w:bookmarkEnd w:id="0"/>
      <w:r w:rsidRPr="00CD4AC6">
        <w:t>Media</w:t>
      </w:r>
    </w:p>
    <w:p w:rsidR="000E4A5D" w:rsidRDefault="000E4A5D" w:rsidP="000E4A5D">
      <w:pPr>
        <w:rPr>
          <w:lang w:eastAsia="zh-CN"/>
        </w:rPr>
      </w:pPr>
      <w:bookmarkStart w:id="1" w:name="_GoBack"/>
      <w:bookmarkEnd w:id="1"/>
    </w:p>
    <w:p w:rsidR="00CD4AC6" w:rsidRDefault="00CD4AC6" w:rsidP="00CD4AC6">
      <w:pPr>
        <w:pStyle w:val="2"/>
      </w:pPr>
      <w:r w:rsidRPr="00CD4AC6">
        <w:t>Graphics</w:t>
      </w:r>
    </w:p>
    <w:p w:rsidR="00CD4AC6" w:rsidRDefault="00CD4AC6" w:rsidP="000E4A5D">
      <w:pPr>
        <w:rPr>
          <w:lang w:eastAsia="zh-CN"/>
        </w:rPr>
      </w:pPr>
    </w:p>
    <w:p w:rsidR="00CD4AC6" w:rsidRDefault="00CD4AC6" w:rsidP="000E4A5D">
      <w:pPr>
        <w:rPr>
          <w:rFonts w:hint="eastAsia"/>
          <w:lang w:eastAsia="zh-CN"/>
        </w:rPr>
      </w:pPr>
    </w:p>
    <w:p w:rsidR="000E4A5D" w:rsidRDefault="000E4A5D" w:rsidP="003C7DF9">
      <w:pPr>
        <w:pStyle w:val="1"/>
        <w:spacing w:after="120"/>
      </w:pPr>
      <w:bookmarkStart w:id="2" w:name="_Toc76209999"/>
      <w:bookmarkEnd w:id="2"/>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14"/>
      <w:headerReference w:type="default" r:id="rId15"/>
      <w:footerReference w:type="even" r:id="rId16"/>
      <w:footerReference w:type="default" r:id="rId1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783" w:rsidRDefault="009B7783" w:rsidP="00695F61">
      <w:r>
        <w:separator/>
      </w:r>
    </w:p>
    <w:p w:rsidR="009B7783" w:rsidRDefault="009B7783" w:rsidP="00695F61"/>
    <w:p w:rsidR="009B7783" w:rsidRDefault="009B7783" w:rsidP="00695F61"/>
    <w:p w:rsidR="009B7783" w:rsidRDefault="009B7783" w:rsidP="00695F61"/>
    <w:p w:rsidR="009B7783" w:rsidRDefault="009B7783" w:rsidP="00695F61"/>
    <w:p w:rsidR="009B7783" w:rsidRDefault="009B7783"/>
  </w:endnote>
  <w:endnote w:type="continuationSeparator" w:id="0">
    <w:p w:rsidR="009B7783" w:rsidRDefault="009B7783" w:rsidP="00695F61">
      <w:r>
        <w:continuationSeparator/>
      </w:r>
    </w:p>
    <w:p w:rsidR="009B7783" w:rsidRDefault="009B7783" w:rsidP="00695F61"/>
    <w:p w:rsidR="009B7783" w:rsidRDefault="009B7783" w:rsidP="00695F61"/>
    <w:p w:rsidR="009B7783" w:rsidRDefault="009B7783" w:rsidP="00695F61"/>
    <w:p w:rsidR="009B7783" w:rsidRDefault="009B7783" w:rsidP="00695F61"/>
    <w:p w:rsidR="009B7783" w:rsidRDefault="009B77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CD4AC6">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CD4AC6" w:rsidRPr="00CD4AC6">
          <w:rPr>
            <w:noProof/>
            <w:lang w:val="zh-CN" w:eastAsia="zh-CN"/>
          </w:rPr>
          <w:t>3</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783" w:rsidRDefault="009B7783" w:rsidP="00695F61">
      <w:r>
        <w:separator/>
      </w:r>
    </w:p>
    <w:p w:rsidR="009B7783" w:rsidRDefault="009B7783" w:rsidP="00695F61"/>
    <w:p w:rsidR="009B7783" w:rsidRDefault="009B7783" w:rsidP="00695F61"/>
    <w:p w:rsidR="009B7783" w:rsidRDefault="009B7783" w:rsidP="00695F61"/>
    <w:p w:rsidR="009B7783" w:rsidRDefault="009B7783" w:rsidP="00695F61"/>
    <w:p w:rsidR="009B7783" w:rsidRDefault="009B7783"/>
  </w:footnote>
  <w:footnote w:type="continuationSeparator" w:id="0">
    <w:p w:rsidR="009B7783" w:rsidRDefault="009B7783" w:rsidP="00695F61">
      <w:r>
        <w:continuationSeparator/>
      </w:r>
    </w:p>
    <w:p w:rsidR="009B7783" w:rsidRDefault="009B7783" w:rsidP="00695F61"/>
    <w:p w:rsidR="009B7783" w:rsidRDefault="009B7783" w:rsidP="00695F61"/>
    <w:p w:rsidR="009B7783" w:rsidRDefault="009B7783" w:rsidP="00695F61"/>
    <w:p w:rsidR="009B7783" w:rsidRDefault="009B7783" w:rsidP="00695F61"/>
    <w:p w:rsidR="009B7783" w:rsidRDefault="009B778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BFDCEFF4"/>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0"/>
  </w:num>
  <w:num w:numId="3">
    <w:abstractNumId w:val="0"/>
  </w:num>
  <w:num w:numId="4">
    <w:abstractNumId w:val="0"/>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DE1E8F"/>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571"/>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783"/>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1A"/>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4AC6"/>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1E8F"/>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65FF0E"/>
  <w15:chartTrackingRefBased/>
  <w15:docId w15:val="{14805129-98B4-423A-B323-8E4182A5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2D0AEA"/>
    <w:pPr>
      <w:widowControl w:val="0"/>
      <w:numPr>
        <w:numId w:val="5"/>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CD4AC6"/>
    <w:pPr>
      <w:widowControl w:val="0"/>
      <w:numPr>
        <w:ilvl w:val="1"/>
        <w:numId w:val="5"/>
      </w:numPr>
      <w:spacing w:beforeLines="50" w:before="120" w:line="360" w:lineRule="auto"/>
      <w:ind w:left="0" w:firstLineChars="0"/>
      <w:outlineLvl w:val="1"/>
    </w:pPr>
    <w:rPr>
      <w:rFonts w:eastAsia="黑体"/>
      <w:b/>
      <w:iCs/>
      <w:sz w:val="28"/>
      <w:szCs w:val="28"/>
      <w:lang w:eastAsia="zh-CN"/>
    </w:rPr>
  </w:style>
  <w:style w:type="paragraph" w:styleId="3">
    <w:name w:val="heading 3"/>
    <w:basedOn w:val="a0"/>
    <w:next w:val="a0"/>
    <w:link w:val="30"/>
    <w:autoRedefine/>
    <w:qFormat/>
    <w:rsid w:val="002D0AEA"/>
    <w:pPr>
      <w:widowControl w:val="0"/>
      <w:numPr>
        <w:ilvl w:val="2"/>
        <w:numId w:val="1"/>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qFormat/>
    <w:rsid w:val="006F579A"/>
    <w:pPr>
      <w:widowControl w:val="0"/>
      <w:adjustRightInd w:val="0"/>
      <w:spacing w:beforeLines="50" w:before="50" w:line="360" w:lineRule="auto"/>
      <w:ind w:firstLineChars="0" w:firstLine="0"/>
      <w:outlineLvl w:val="3"/>
    </w:pPr>
    <w:rPr>
      <w:rFonts w:eastAsia="黑体"/>
      <w:bCs/>
      <w:sz w:val="21"/>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6F579A"/>
    <w:pPr>
      <w:spacing w:before="240" w:after="6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CD4AC6"/>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6F579A"/>
    <w:rPr>
      <w:rFonts w:ascii="Times New Roman" w:eastAsia="黑体" w:hAnsi="Times New Roman"/>
      <w:bCs/>
      <w:sz w:val="21"/>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uiPriority w:val="9"/>
    <w:rsid w:val="006F579A"/>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2D0AEA"/>
    <w:pPr>
      <w:framePr w:w="7920" w:h="1980" w:hRule="exact" w:hSpace="180" w:wrap="auto" w:hAnchor="page" w:xAlign="center" w:yAlign="bottom"/>
      <w:numPr>
        <w:ilvl w:val="3"/>
        <w:numId w:val="5"/>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F0025-FCF1-4406-BC93-908FEE96D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3</cp:revision>
  <cp:lastPrinted>2020-06-04T06:18:00Z</cp:lastPrinted>
  <dcterms:created xsi:type="dcterms:W3CDTF">2021-10-14T14:44:00Z</dcterms:created>
  <dcterms:modified xsi:type="dcterms:W3CDTF">2021-10-14T14:49:00Z</dcterms:modified>
</cp:coreProperties>
</file>