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物小智</w:t>
      </w:r>
    </w:p>
    <w:p>
      <w:pPr>
        <w:pStyle w:val="Title"/>
      </w:pPr>
      <w:r>
        <w:t>物理实验智能化建设方案</w:t>
      </w:r>
    </w:p>
    <w:p>
      <w:pPr>
        <w:pStyle w:val="Subtitle"/>
      </w:pPr>
      <w:r>
        <w:t>电磁学与光学实验教学试点</w:t>
      </w:r>
    </w:p>
    <w:p>
      <w:r>
        <w:t>面向北京化工大学物理实验教学团队</w:t>
        <w:br/>
        <w:t>物小智项目组  |  2026年9月  |  V1.0 建议方案</w:t>
      </w:r>
    </w:p>
    <w:p>
      <w:pPr>
        <w:pStyle w:val="Heading2"/>
      </w:pPr>
      <w:r>
        <w:t>建设建议</w:t>
      </w:r>
    </w:p>
    <w:p>
      <w:r>
        <w:t>建议以微信小程序作为学生统一入口，以教师网页工作台作为课堂管理入口，依托物小智现有实验流程、知识库和报告能力，建设覆盖预习、现场指导、数据处理、报告反馈与教学评价的物理实验智能化系统。先完成一个低压直流电学样板实验，并行打磨已有基础的牛顿环实验，通过真实课堂验证后，再扩展至磁学、干涉衍射与偏振实验。</w:t>
      </w:r>
    </w:p>
    <w:p>
      <w:r>
        <w:t>智能化的核心是把“当前实验步骤、现场可见证据、真实测量数据和教师规则”联系起来：学生拍照后获得有依据的操作提示，实验数据通过确定性算法计算，教师能够看到需要介入的学生与共性问题。系统保留教师对通电操作、争议判断和最终成绩的决定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7937"/>
      </w:tblGrid>
      <w:tr>
        <w:trPr>
          <w:cantSplit/>
          <w:tblHeader/>
        </w:trPr>
        <w:tc>
          <w:tcPr>
            <w:tcW w:type="dxa" w:w="1701"/>
            <w:vAlign w:val="center"/>
            <w:shd w:fill="214B65"/>
          </w:tcPr>
          <w:p>
            <w:pPr>
              <w:spacing w:after="40" w:before="40" w:line="269" w:lineRule="auto"/>
              <w:jc w:val="center"/>
            </w:pPr>
            <w:r>
              <w:rPr>
                <w:b/>
                <w:color w:val="FFFFFF"/>
                <w:sz w:val="18"/>
              </w:rPr>
              <w:t>建设维度</w:t>
            </w:r>
          </w:p>
        </w:tc>
        <w:tc>
          <w:tcPr>
            <w:tcW w:type="dxa" w:w="7937"/>
            <w:vAlign w:val="center"/>
            <w:shd w:fill="214B65"/>
          </w:tcPr>
          <w:p>
            <w:pPr>
              <w:spacing w:after="40" w:before="40" w:line="269" w:lineRule="auto"/>
            </w:pPr>
            <w:r>
              <w:rPr>
                <w:b/>
                <w:color w:val="FFFFFF"/>
                <w:sz w:val="18"/>
              </w:rPr>
              <w:t>一期建议</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教学范围</w:t>
            </w:r>
          </w:p>
        </w:tc>
        <w:tc>
          <w:tcPr>
            <w:tcW w:type="dxa" w:w="7937"/>
            <w:vAlign w:val="center"/>
            <w:shd w:fill="F0F5F8"/>
          </w:tcPr>
          <w:p>
            <w:pPr>
              <w:spacing w:after="40" w:before="40" w:line="269" w:lineRule="auto"/>
            </w:pPr>
            <w:r>
              <w:rPr>
                <w:b w:val="0"/>
                <w:color w:val="152E43"/>
                <w:sz w:val="18"/>
              </w:rPr>
            </w:r>
            <w:r>
              <w:rPr>
                <w:b w:val="0"/>
                <w:color w:val="152E43"/>
                <w:sz w:val="18"/>
              </w:rPr>
              <w:t>1个电学样板＋1个光学样板，预留实验模板扩展能力</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应用形态</w:t>
            </w:r>
          </w:p>
        </w:tc>
        <w:tc>
          <w:tcPr>
            <w:tcW w:type="dxa" w:w="7937"/>
            <w:vAlign w:val="center"/>
            <w:shd w:fill="FFFFFF"/>
          </w:tcPr>
          <w:p>
            <w:pPr>
              <w:spacing w:after="40" w:before="40" w:line="269" w:lineRule="auto"/>
            </w:pPr>
            <w:r>
              <w:rPr>
                <w:b w:val="0"/>
                <w:color w:val="152E43"/>
                <w:sz w:val="18"/>
              </w:rPr>
            </w:r>
            <w:r>
              <w:rPr>
                <w:b w:val="0"/>
                <w:color w:val="152E43"/>
                <w:sz w:val="18"/>
              </w:rPr>
              <w:t>学生微信小程序＋教师网页工作台＋统一后台服务</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试点方式</w:t>
            </w:r>
          </w:p>
        </w:tc>
        <w:tc>
          <w:tcPr>
            <w:tcW w:type="dxa" w:w="7937"/>
            <w:vAlign w:val="center"/>
            <w:shd w:fill="F0F5F8"/>
          </w:tcPr>
          <w:p>
            <w:pPr>
              <w:spacing w:after="40" w:before="40" w:line="269" w:lineRule="auto"/>
            </w:pPr>
            <w:r>
              <w:rPr>
                <w:b w:val="0"/>
                <w:color w:val="152E43"/>
                <w:sz w:val="18"/>
              </w:rPr>
            </w:r>
            <w:r>
              <w:rPr>
                <w:b w:val="0"/>
                <w:color w:val="152E43"/>
                <w:sz w:val="18"/>
              </w:rPr>
              <w:t>先选1个实验室、1至2个班；验证后分批覆盖约12个班、300余人</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实施周期</w:t>
            </w:r>
          </w:p>
        </w:tc>
        <w:tc>
          <w:tcPr>
            <w:tcW w:type="dxa" w:w="7937"/>
            <w:vAlign w:val="center"/>
            <w:shd w:fill="FFFFFF"/>
          </w:tcPr>
          <w:p>
            <w:pPr>
              <w:spacing w:after="40" w:before="40" w:line="269" w:lineRule="auto"/>
            </w:pPr>
            <w:r>
              <w:rPr>
                <w:b w:val="0"/>
                <w:color w:val="152E43"/>
                <w:sz w:val="18"/>
              </w:rPr>
            </w:r>
            <w:r>
              <w:rPr>
                <w:b w:val="0"/>
                <w:color w:val="152E43"/>
                <w:sz w:val="18"/>
              </w:rPr>
              <w:t>建议14至16周，以设备、资料和网络条件按时就绪为前提</w:t>
            </w:r>
          </w:p>
        </w:tc>
      </w:tr>
    </w:tbl>
    <w:p>
      <w:pPr>
        <w:spacing w:after="20"/>
      </w:pPr>
    </w:p>
    <w:p>
      <w:pPr>
        <w:pStyle w:val="Heading2"/>
      </w:pPr>
      <w:r>
        <w:t>校方本轮讨论重点</w:t>
      </w:r>
    </w:p>
    <w:p>
      <w:r>
        <w:t>确认首批实验和设备型号、提供现行实验讲义与评分规则、明确试点班级和网络部署方式。立项后以样板实验的课堂效果、识别边界、数据可追溯性和运行稳定性作为扩展依据。</w:t>
      </w:r>
    </w:p>
    <w:p>
      <w:r>
        <w:t>阅读导航：第2至4页介绍整体设计与范围；第5至9页展开电磁学和光学；第10至13页说明技术与运行；第14至16页给出实施、验收和试点演示安排。</w:t>
      </w:r>
    </w:p>
    <w:p>
      <w:r>
        <w:br w:type="page"/>
      </w:r>
    </w:p>
    <w:p>
      <w:pPr>
        <w:pStyle w:val="Heading1"/>
      </w:pPr>
      <w:r>
        <w:t>02  整体建设目标与教学闭环</w:t>
      </w:r>
    </w:p>
    <w:p>
      <w:r>
        <w:t>物小智定位为嵌入实验教学过程的智能助教。系统帮助学生理解“为什么这样做、哪里可能出错、下一步如何验证”，并为教师提供可复核的过程证据。建设目标包括减少重复指导、改善数据记录质量、缩短教师定位问题的时间，以及形成可持续维护的实验课程资源。</w:t>
      </w:r>
    </w:p>
    <w:p>
      <w:pPr>
        <w:keepNext/>
      </w:pPr>
      <w:r>
        <w:drawing>
          <wp:inline xmlns:a="http://schemas.openxmlformats.org/drawingml/2006/main" xmlns:pic="http://schemas.openxmlformats.org/drawingml/2006/picture">
            <wp:extent cx="6048000" cy="1753920"/>
            <wp:docPr id="1" name="Picture 1"/>
            <wp:cNvGraphicFramePr>
              <a:graphicFrameLocks noChangeAspect="1"/>
            </wp:cNvGraphicFramePr>
            <a:graphic>
              <a:graphicData uri="http://schemas.openxmlformats.org/drawingml/2006/picture">
                <pic:pic>
                  <pic:nvPicPr>
                    <pic:cNvPr id="0" name="loop.png"/>
                    <pic:cNvPicPr/>
                  </pic:nvPicPr>
                  <pic:blipFill>
                    <a:blip r:embed="rId10"/>
                    <a:stretch>
                      <a:fillRect/>
                    </a:stretch>
                  </pic:blipFill>
                  <pic:spPr>
                    <a:xfrm>
                      <a:off x="0" y="0"/>
                      <a:ext cx="6048000" cy="1753920"/>
                    </a:xfrm>
                    <a:prstGeom prst="rect"/>
                  </pic:spPr>
                </pic:pic>
              </a:graphicData>
            </a:graphic>
          </wp:inline>
        </w:drawing>
      </w:r>
    </w:p>
    <w:p>
      <w:pPr>
        <w:pStyle w:val="Caption"/>
      </w:pPr>
      <w:r>
        <w:t>图1  从预习到评价的教学闭环</w:t>
      </w:r>
    </w:p>
    <w:p>
      <w:pPr>
        <w:pStyle w:val="Heading2"/>
      </w:pPr>
      <w:r>
        <w:t>学生学习全过程</w:t>
      </w:r>
    </w:p>
    <w:p>
      <w:r>
        <w:t>课前，学生扫码进入已分配的实验，学习3至5分钟示范内容并完成关键概念自测。课中，小程序按实验步骤显示仪器准备、操作要求和记录表；学生在关键节点主动拍照或求助。课后，系统依据真实记录生成图表与报告结构提示，学生独立完成结果讨论和思考题。</w:t>
      </w:r>
    </w:p>
    <w:p>
      <w:pPr>
        <w:pStyle w:val="Heading2"/>
      </w:pPr>
      <w:r>
        <w:t>教师组织与干预</w:t>
      </w:r>
    </w:p>
    <w:p>
      <w:r>
        <w:t>教师在课前发布任务、审核知识与规则；课中按“需要现场确认、重复出错、数据异常、正常进行”筛选工位，处理学生求助并投屏讲解共性问题；课后查看计算依据与AI评语，修改建议分并确认成绩。课堂互动采用问题提交、教师答复、典型案例讲解和复测反馈，不依赖连续视频监控。</w:t>
      </w:r>
    </w:p>
    <w:p>
      <w:pPr>
        <w:pStyle w:val="Heading2"/>
      </w:pPr>
      <w:r>
        <w:t>智能化能力的责任边界</w:t>
      </w:r>
    </w:p>
    <w:p>
      <w:r>
        <w:t>规则服务负责单位、量程、接线拓扑和计算公式等可明确定义的校验；视觉服务负责从照片中提取证据；教学智能体负责解释和提出排查步骤。对于不可见连接、接触不良、器件内部损坏等情况，系统要求补充测量或教师现场检查。任何模型输出都不能替代仪器保护与实验室管理制度。</w:t>
      </w:r>
    </w:p>
    <w:p>
      <w:r>
        <w:br w:type="page"/>
      </w:r>
    </w:p>
    <w:p>
      <w:pPr>
        <w:pStyle w:val="Heading1"/>
      </w:pPr>
      <w:r>
        <w:t>03  小程序如何承载实验教学</w:t>
      </w:r>
    </w:p>
    <w:p>
      <w:r>
        <w:t>一期建议新建轻量微信小程序学生端，复用现有后台接口和业务模型；教师端继续采用网页，便于多工位查看、批阅和投屏。现有Vue网页及Android封装不等同于微信小程序，拍照、文件、权限和页面组件需要单独适配。小程序承担交互与采集，模型推理和精密计算放在服务器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417"/>
        <w:gridCol w:w="3685"/>
        <w:gridCol w:w="4535"/>
      </w:tblGrid>
      <w:tr>
        <w:trPr>
          <w:cantSplit/>
          <w:tblHeader/>
        </w:trPr>
        <w:tc>
          <w:tcPr>
            <w:tcW w:type="dxa" w:w="1417"/>
            <w:vAlign w:val="center"/>
            <w:shd w:fill="214B65"/>
          </w:tcPr>
          <w:p>
            <w:pPr>
              <w:spacing w:after="40" w:before="40" w:line="269" w:lineRule="auto"/>
              <w:jc w:val="center"/>
            </w:pPr>
            <w:r>
              <w:rPr>
                <w:b/>
                <w:color w:val="FFFFFF"/>
                <w:sz w:val="18"/>
              </w:rPr>
              <w:t>页面</w:t>
            </w:r>
          </w:p>
        </w:tc>
        <w:tc>
          <w:tcPr>
            <w:tcW w:type="dxa" w:w="3685"/>
            <w:vAlign w:val="center"/>
            <w:shd w:fill="214B65"/>
          </w:tcPr>
          <w:p>
            <w:pPr>
              <w:spacing w:after="40" w:before="40" w:line="269" w:lineRule="auto"/>
            </w:pPr>
            <w:r>
              <w:rPr>
                <w:b/>
                <w:color w:val="FFFFFF"/>
                <w:sz w:val="18"/>
              </w:rPr>
              <w:t>学生操作</w:t>
            </w:r>
          </w:p>
        </w:tc>
        <w:tc>
          <w:tcPr>
            <w:tcW w:type="dxa" w:w="4535"/>
            <w:vAlign w:val="center"/>
            <w:shd w:fill="214B65"/>
          </w:tcPr>
          <w:p>
            <w:pPr>
              <w:spacing w:after="40" w:before="40" w:line="269" w:lineRule="auto"/>
            </w:pPr>
            <w:r>
              <w:rPr>
                <w:b/>
                <w:color w:val="FFFFFF"/>
                <w:sz w:val="18"/>
              </w:rPr>
              <w:t>后台处理</w:t>
            </w:r>
          </w:p>
        </w:tc>
      </w:tr>
      <w:tr>
        <w:trPr>
          <w:cantSplit/>
        </w:trPr>
        <w:tc>
          <w:tcPr>
            <w:tcW w:type="dxa" w:w="1417"/>
            <w:vAlign w:val="center"/>
            <w:shd w:fill="F0F5F8"/>
          </w:tcPr>
          <w:p>
            <w:pPr>
              <w:spacing w:after="40" w:before="40" w:line="269" w:lineRule="auto"/>
              <w:jc w:val="center"/>
            </w:pPr>
            <w:r>
              <w:rPr>
                <w:b w:val="0"/>
                <w:color w:val="152E43"/>
                <w:sz w:val="18"/>
              </w:rPr>
            </w:r>
            <w:r>
              <w:rPr>
                <w:b w:val="0"/>
                <w:color w:val="152E43"/>
                <w:sz w:val="18"/>
              </w:rPr>
              <w:t>实验首页</w:t>
            </w:r>
          </w:p>
        </w:tc>
        <w:tc>
          <w:tcPr>
            <w:tcW w:type="dxa" w:w="3685"/>
            <w:vAlign w:val="center"/>
            <w:shd w:fill="F0F5F8"/>
          </w:tcPr>
          <w:p>
            <w:pPr>
              <w:spacing w:after="40" w:before="40" w:line="269" w:lineRule="auto"/>
            </w:pPr>
            <w:r>
              <w:rPr>
                <w:b w:val="0"/>
                <w:color w:val="152E43"/>
                <w:sz w:val="18"/>
              </w:rPr>
            </w:r>
            <w:r>
              <w:rPr>
                <w:b w:val="0"/>
                <w:color w:val="152E43"/>
                <w:sz w:val="18"/>
              </w:rPr>
              <w:t>扫码进入班级与工位，查看任务</w:t>
            </w:r>
          </w:p>
        </w:tc>
        <w:tc>
          <w:tcPr>
            <w:tcW w:type="dxa" w:w="4535"/>
            <w:vAlign w:val="center"/>
            <w:shd w:fill="F0F5F8"/>
          </w:tcPr>
          <w:p>
            <w:pPr>
              <w:spacing w:after="40" w:before="40" w:line="269" w:lineRule="auto"/>
            </w:pPr>
            <w:r>
              <w:rPr>
                <w:b w:val="0"/>
                <w:color w:val="152E43"/>
                <w:sz w:val="18"/>
              </w:rPr>
            </w:r>
            <w:r>
              <w:rPr>
                <w:b w:val="0"/>
                <w:color w:val="152E43"/>
                <w:sz w:val="18"/>
              </w:rPr>
              <w:t>校验身份、实验分配与设备型号</w:t>
            </w:r>
          </w:p>
        </w:tc>
      </w:tr>
      <w:tr>
        <w:trPr>
          <w:cantSplit/>
        </w:trPr>
        <w:tc>
          <w:tcPr>
            <w:tcW w:type="dxa" w:w="1417"/>
            <w:vAlign w:val="center"/>
            <w:shd w:fill="FFFFFF"/>
          </w:tcPr>
          <w:p>
            <w:pPr>
              <w:spacing w:after="40" w:before="40" w:line="269" w:lineRule="auto"/>
              <w:jc w:val="center"/>
            </w:pPr>
            <w:r>
              <w:rPr>
                <w:b w:val="0"/>
                <w:color w:val="152E43"/>
                <w:sz w:val="18"/>
              </w:rPr>
            </w:r>
            <w:r>
              <w:rPr>
                <w:b w:val="0"/>
                <w:color w:val="152E43"/>
                <w:sz w:val="18"/>
              </w:rPr>
              <w:t>预习与示范</w:t>
            </w:r>
          </w:p>
        </w:tc>
        <w:tc>
          <w:tcPr>
            <w:tcW w:type="dxa" w:w="3685"/>
            <w:vAlign w:val="center"/>
            <w:shd w:fill="FFFFFF"/>
          </w:tcPr>
          <w:p>
            <w:pPr>
              <w:spacing w:after="40" w:before="40" w:line="269" w:lineRule="auto"/>
            </w:pPr>
            <w:r>
              <w:rPr>
                <w:b w:val="0"/>
                <w:color w:val="152E43"/>
                <w:sz w:val="18"/>
              </w:rPr>
            </w:r>
            <w:r>
              <w:rPr>
                <w:b w:val="0"/>
                <w:color w:val="152E43"/>
                <w:sz w:val="18"/>
              </w:rPr>
              <w:t>看分步视频，完成短测</w:t>
            </w:r>
          </w:p>
        </w:tc>
        <w:tc>
          <w:tcPr>
            <w:tcW w:type="dxa" w:w="4535"/>
            <w:vAlign w:val="center"/>
            <w:shd w:fill="FFFFFF"/>
          </w:tcPr>
          <w:p>
            <w:pPr>
              <w:spacing w:after="40" w:before="40" w:line="269" w:lineRule="auto"/>
            </w:pPr>
            <w:r>
              <w:rPr>
                <w:b w:val="0"/>
                <w:color w:val="152E43"/>
                <w:sz w:val="18"/>
              </w:rPr>
            </w:r>
            <w:r>
              <w:rPr>
                <w:b w:val="0"/>
                <w:color w:val="152E43"/>
                <w:sz w:val="18"/>
              </w:rPr>
              <w:t>记录完成度，定位概念薄弱点</w:t>
            </w:r>
          </w:p>
        </w:tc>
      </w:tr>
      <w:tr>
        <w:trPr>
          <w:cantSplit/>
        </w:trPr>
        <w:tc>
          <w:tcPr>
            <w:tcW w:type="dxa" w:w="1417"/>
            <w:vAlign w:val="center"/>
            <w:shd w:fill="F0F5F8"/>
          </w:tcPr>
          <w:p>
            <w:pPr>
              <w:spacing w:after="40" w:before="40" w:line="269" w:lineRule="auto"/>
              <w:jc w:val="center"/>
            </w:pPr>
            <w:r>
              <w:rPr>
                <w:b w:val="0"/>
                <w:color w:val="152E43"/>
                <w:sz w:val="18"/>
              </w:rPr>
            </w:r>
            <w:r>
              <w:rPr>
                <w:b w:val="0"/>
                <w:color w:val="152E43"/>
                <w:sz w:val="18"/>
              </w:rPr>
              <w:t>实验工作台</w:t>
            </w:r>
          </w:p>
        </w:tc>
        <w:tc>
          <w:tcPr>
            <w:tcW w:type="dxa" w:w="3685"/>
            <w:vAlign w:val="center"/>
            <w:shd w:fill="F0F5F8"/>
          </w:tcPr>
          <w:p>
            <w:pPr>
              <w:spacing w:after="40" w:before="40" w:line="269" w:lineRule="auto"/>
            </w:pPr>
            <w:r>
              <w:rPr>
                <w:b w:val="0"/>
                <w:color w:val="152E43"/>
                <w:sz w:val="18"/>
              </w:rPr>
            </w:r>
            <w:r>
              <w:rPr>
                <w:b w:val="0"/>
                <w:color w:val="152E43"/>
                <w:sz w:val="18"/>
              </w:rPr>
              <w:t>看当前步骤，拍照检查，提交求助</w:t>
            </w:r>
          </w:p>
        </w:tc>
        <w:tc>
          <w:tcPr>
            <w:tcW w:type="dxa" w:w="4535"/>
            <w:vAlign w:val="center"/>
            <w:shd w:fill="F0F5F8"/>
          </w:tcPr>
          <w:p>
            <w:pPr>
              <w:spacing w:after="40" w:before="40" w:line="269" w:lineRule="auto"/>
            </w:pPr>
            <w:r>
              <w:rPr>
                <w:b w:val="0"/>
                <w:color w:val="152E43"/>
                <w:sz w:val="18"/>
              </w:rPr>
            </w:r>
            <w:r>
              <w:rPr>
                <w:b w:val="0"/>
                <w:color w:val="152E43"/>
                <w:sz w:val="18"/>
              </w:rPr>
              <w:t>图像质检、证据提取、规则与知识检索</w:t>
            </w:r>
          </w:p>
        </w:tc>
      </w:tr>
      <w:tr>
        <w:trPr>
          <w:cantSplit/>
        </w:trPr>
        <w:tc>
          <w:tcPr>
            <w:tcW w:type="dxa" w:w="1417"/>
            <w:vAlign w:val="center"/>
            <w:shd w:fill="FFFFFF"/>
          </w:tcPr>
          <w:p>
            <w:pPr>
              <w:spacing w:after="40" w:before="40" w:line="269" w:lineRule="auto"/>
              <w:jc w:val="center"/>
            </w:pPr>
            <w:r>
              <w:rPr>
                <w:b w:val="0"/>
                <w:color w:val="152E43"/>
                <w:sz w:val="18"/>
              </w:rPr>
            </w:r>
            <w:r>
              <w:rPr>
                <w:b w:val="0"/>
                <w:color w:val="152E43"/>
                <w:sz w:val="18"/>
              </w:rPr>
              <w:t>数据记录</w:t>
            </w:r>
          </w:p>
        </w:tc>
        <w:tc>
          <w:tcPr>
            <w:tcW w:type="dxa" w:w="3685"/>
            <w:vAlign w:val="center"/>
            <w:shd w:fill="FFFFFF"/>
          </w:tcPr>
          <w:p>
            <w:pPr>
              <w:spacing w:after="40" w:before="40" w:line="269" w:lineRule="auto"/>
            </w:pPr>
            <w:r>
              <w:rPr>
                <w:b w:val="0"/>
                <w:color w:val="152E43"/>
                <w:sz w:val="18"/>
              </w:rPr>
            </w:r>
            <w:r>
              <w:rPr>
                <w:b w:val="0"/>
                <w:color w:val="152E43"/>
                <w:sz w:val="18"/>
              </w:rPr>
              <w:t>录入或确认识别读数，查看图表</w:t>
            </w:r>
          </w:p>
        </w:tc>
        <w:tc>
          <w:tcPr>
            <w:tcW w:type="dxa" w:w="4535"/>
            <w:vAlign w:val="center"/>
            <w:shd w:fill="FFFFFF"/>
          </w:tcPr>
          <w:p>
            <w:pPr>
              <w:spacing w:after="40" w:before="40" w:line="269" w:lineRule="auto"/>
            </w:pPr>
            <w:r>
              <w:rPr>
                <w:b w:val="0"/>
                <w:color w:val="152E43"/>
                <w:sz w:val="18"/>
              </w:rPr>
            </w:r>
            <w:r>
              <w:rPr>
                <w:b w:val="0"/>
                <w:color w:val="152E43"/>
                <w:sz w:val="18"/>
              </w:rPr>
              <w:t>单位检查、版本保存、拟合与不确定度</w:t>
            </w:r>
          </w:p>
        </w:tc>
      </w:tr>
      <w:tr>
        <w:trPr>
          <w:cantSplit/>
        </w:trPr>
        <w:tc>
          <w:tcPr>
            <w:tcW w:type="dxa" w:w="1417"/>
            <w:vAlign w:val="center"/>
            <w:shd w:fill="F0F5F8"/>
          </w:tcPr>
          <w:p>
            <w:pPr>
              <w:spacing w:after="40" w:before="40" w:line="269" w:lineRule="auto"/>
              <w:jc w:val="center"/>
            </w:pPr>
            <w:r>
              <w:rPr>
                <w:b w:val="0"/>
                <w:color w:val="152E43"/>
                <w:sz w:val="18"/>
              </w:rPr>
            </w:r>
            <w:r>
              <w:rPr>
                <w:b w:val="0"/>
                <w:color w:val="152E43"/>
                <w:sz w:val="18"/>
              </w:rPr>
              <w:t>报告与反馈</w:t>
            </w:r>
          </w:p>
        </w:tc>
        <w:tc>
          <w:tcPr>
            <w:tcW w:type="dxa" w:w="3685"/>
            <w:vAlign w:val="center"/>
            <w:shd w:fill="F0F5F8"/>
          </w:tcPr>
          <w:p>
            <w:pPr>
              <w:spacing w:after="40" w:before="40" w:line="269" w:lineRule="auto"/>
            </w:pPr>
            <w:r>
              <w:rPr>
                <w:b w:val="0"/>
                <w:color w:val="152E43"/>
                <w:sz w:val="18"/>
              </w:rPr>
            </w:r>
            <w:r>
              <w:rPr>
                <w:b w:val="0"/>
                <w:color w:val="152E43"/>
                <w:sz w:val="18"/>
              </w:rPr>
              <w:t>查看缺项提示、修改报告、反馈错误</w:t>
            </w:r>
          </w:p>
        </w:tc>
        <w:tc>
          <w:tcPr>
            <w:tcW w:type="dxa" w:w="4535"/>
            <w:vAlign w:val="center"/>
            <w:shd w:fill="F0F5F8"/>
          </w:tcPr>
          <w:p>
            <w:pPr>
              <w:spacing w:after="40" w:before="40" w:line="269" w:lineRule="auto"/>
            </w:pPr>
            <w:r>
              <w:rPr>
                <w:b w:val="0"/>
                <w:color w:val="152E43"/>
                <w:sz w:val="18"/>
              </w:rPr>
            </w:r>
            <w:r>
              <w:rPr>
                <w:b w:val="0"/>
                <w:color w:val="152E43"/>
                <w:sz w:val="18"/>
              </w:rPr>
              <w:t>生成可追溯报告，转教师复核</w:t>
            </w:r>
          </w:p>
        </w:tc>
      </w:tr>
    </w:tbl>
    <w:p>
      <w:pPr>
        <w:spacing w:after="20"/>
      </w:pPr>
    </w:p>
    <w:p>
      <w:pPr>
        <w:pStyle w:val="Heading2"/>
      </w:pPr>
      <w:r>
        <w:t>一次拍照求助的具体交互</w:t>
      </w:r>
    </w:p>
    <w:p>
      <w:r>
        <w:t>学生选择“检查接线”后，页面先提示断电并展示拍摄示例；上传全景与端子局部照片后，服务端返回任务编号。小程序显示“正在检查”，通过短轮询获取结果；结果展示证据位置、具体问题、下一步操作及“补拍／请老师查看”。不确定结论必须明确显示“无法判定”，不能用绿色通过图标掩盖。</w:t>
      </w:r>
    </w:p>
    <w:p>
      <w:pPr>
        <w:pStyle w:val="Heading2"/>
      </w:pPr>
      <w:r>
        <w:t>示范视频与弱网处理</w:t>
      </w:r>
    </w:p>
    <w:p>
      <w:r>
        <w:t>示范内容拆为短片与图文步骤，支持教师投屏演示。实时视频指导作为后续可选能力，一期主要使用照片和教师审核的录播。网络中断时，保留可用的实验说明与尚未提交的记录，清楚区分“已保存到本机”和“已提交”；恢复网络后按记录编号去重同步。手机离开页面后不假设持续拍摄或后台推理。</w:t>
      </w:r>
    </w:p>
    <w:p>
      <w:r>
        <w:t>上线前在实际iOS和Android设备验证相机授权、上传、存储、报告预览和校园网络。小程序主体、通信域名、HTTPS证书与隐私授权由校方和项目组共同落实；完整离线运行与手机直连任意实验仪器不列为一期能力。[1]</w:t>
      </w:r>
    </w:p>
    <w:p>
      <w:r>
        <w:br w:type="page"/>
      </w:r>
    </w:p>
    <w:p>
      <w:pPr>
        <w:pStyle w:val="Heading1"/>
      </w:pPr>
      <w:r>
        <w:t>04  实验范围与分期选择</w:t>
      </w:r>
    </w:p>
    <w:p>
      <w:r>
        <w:t>首批实验应同时满足教学价值明确、设备型号可控、错误可复现、结果可计算四个条件。建议优先选择伏安法测电阻或学校现有同类低压直流实验作为电学样板；光学样板优先选择物小智已有内容基础的牛顿环。最终实验名称与接线方式由任课教师依据课程大纲确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8"/>
        <w:gridCol w:w="5669"/>
        <w:gridCol w:w="1701"/>
      </w:tblGrid>
      <w:tr>
        <w:trPr>
          <w:cantSplit/>
          <w:tblHeader/>
        </w:trPr>
        <w:tc>
          <w:tcPr>
            <w:tcW w:type="dxa" w:w="2268"/>
            <w:vAlign w:val="center"/>
            <w:shd w:fill="214B65"/>
          </w:tcPr>
          <w:p>
            <w:pPr>
              <w:spacing w:after="40" w:before="40" w:line="269" w:lineRule="auto"/>
              <w:jc w:val="center"/>
            </w:pPr>
            <w:r>
              <w:rPr>
                <w:b/>
                <w:color w:val="FFFFFF"/>
                <w:sz w:val="18"/>
              </w:rPr>
              <w:t>领域与实验</w:t>
            </w:r>
          </w:p>
        </w:tc>
        <w:tc>
          <w:tcPr>
            <w:tcW w:type="dxa" w:w="5669"/>
            <w:vAlign w:val="center"/>
            <w:shd w:fill="214B65"/>
          </w:tcPr>
          <w:p>
            <w:pPr>
              <w:spacing w:after="40" w:before="40" w:line="269" w:lineRule="auto"/>
            </w:pPr>
            <w:r>
              <w:rPr>
                <w:b/>
                <w:color w:val="FFFFFF"/>
                <w:sz w:val="18"/>
              </w:rPr>
              <w:t>智能化重点</w:t>
            </w:r>
          </w:p>
        </w:tc>
        <w:tc>
          <w:tcPr>
            <w:tcW w:type="dxa" w:w="1701"/>
            <w:vAlign w:val="center"/>
            <w:shd w:fill="214B65"/>
          </w:tcPr>
          <w:p>
            <w:pPr>
              <w:spacing w:after="40" w:before="40" w:line="269" w:lineRule="auto"/>
            </w:pPr>
            <w:r>
              <w:rPr>
                <w:b/>
                <w:color w:val="FFFFFF"/>
                <w:sz w:val="18"/>
              </w:rPr>
              <w:t>建议阶段</w:t>
            </w:r>
          </w:p>
        </w:tc>
      </w:tr>
      <w:tr>
        <w:trPr>
          <w:cantSplit/>
        </w:trPr>
        <w:tc>
          <w:tcPr>
            <w:tcW w:type="dxa" w:w="2268"/>
            <w:vAlign w:val="center"/>
            <w:shd w:fill="F0F5F8"/>
          </w:tcPr>
          <w:p>
            <w:pPr>
              <w:spacing w:after="40" w:before="40" w:line="269" w:lineRule="auto"/>
              <w:jc w:val="center"/>
            </w:pPr>
            <w:r>
              <w:rPr>
                <w:b w:val="0"/>
                <w:color w:val="152E43"/>
                <w:sz w:val="18"/>
              </w:rPr>
            </w:r>
            <w:r>
              <w:rPr>
                <w:b w:val="0"/>
                <w:color w:val="152E43"/>
                <w:sz w:val="18"/>
              </w:rPr>
              <w:t>电学</w:t>
              <w:br/>
              <w:t>伏安法测电阻</w:t>
            </w:r>
          </w:p>
        </w:tc>
        <w:tc>
          <w:tcPr>
            <w:tcW w:type="dxa" w:w="5669"/>
            <w:vAlign w:val="center"/>
            <w:shd w:fill="F0F5F8"/>
          </w:tcPr>
          <w:p>
            <w:pPr>
              <w:spacing w:after="40" w:before="40" w:line="269" w:lineRule="auto"/>
            </w:pPr>
            <w:r>
              <w:rPr>
                <w:b w:val="0"/>
                <w:color w:val="152E43"/>
                <w:sz w:val="18"/>
              </w:rPr>
            </w:r>
            <w:r>
              <w:rPr>
                <w:b w:val="0"/>
                <w:color w:val="152E43"/>
                <w:sz w:val="18"/>
              </w:rPr>
              <w:t>端子与量程核对，内外接法识别，U与I拟合，测量偏差解释</w:t>
            </w:r>
          </w:p>
        </w:tc>
        <w:tc>
          <w:tcPr>
            <w:tcW w:type="dxa" w:w="1701"/>
            <w:vAlign w:val="center"/>
            <w:shd w:fill="F0F5F8"/>
          </w:tcPr>
          <w:p>
            <w:pPr>
              <w:spacing w:after="40" w:before="40" w:line="269" w:lineRule="auto"/>
            </w:pPr>
            <w:r>
              <w:rPr>
                <w:b w:val="0"/>
                <w:color w:val="152E43"/>
                <w:sz w:val="18"/>
              </w:rPr>
            </w:r>
            <w:r>
              <w:rPr>
                <w:b w:val="0"/>
                <w:color w:val="152E43"/>
                <w:sz w:val="18"/>
              </w:rPr>
              <w:t>一期主样板</w:t>
            </w:r>
          </w:p>
        </w:tc>
      </w:tr>
      <w:tr>
        <w:trPr>
          <w:cantSplit/>
        </w:trPr>
        <w:tc>
          <w:tcPr>
            <w:tcW w:type="dxa" w:w="2268"/>
            <w:vAlign w:val="center"/>
            <w:shd w:fill="FFFFFF"/>
          </w:tcPr>
          <w:p>
            <w:pPr>
              <w:spacing w:after="40" w:before="40" w:line="269" w:lineRule="auto"/>
              <w:jc w:val="center"/>
            </w:pPr>
            <w:r>
              <w:rPr>
                <w:b w:val="0"/>
                <w:color w:val="152E43"/>
                <w:sz w:val="18"/>
              </w:rPr>
            </w:r>
            <w:r>
              <w:rPr>
                <w:b w:val="0"/>
                <w:color w:val="152E43"/>
                <w:sz w:val="18"/>
              </w:rPr>
              <w:t>光学</w:t>
              <w:br/>
              <w:t>牛顿环</w:t>
            </w:r>
          </w:p>
        </w:tc>
        <w:tc>
          <w:tcPr>
            <w:tcW w:type="dxa" w:w="5669"/>
            <w:vAlign w:val="center"/>
            <w:shd w:fill="FFFFFF"/>
          </w:tcPr>
          <w:p>
            <w:pPr>
              <w:spacing w:after="40" w:before="40" w:line="269" w:lineRule="auto"/>
            </w:pPr>
            <w:r>
              <w:rPr>
                <w:b w:val="0"/>
                <w:color w:val="152E43"/>
                <w:sz w:val="18"/>
              </w:rPr>
            </w:r>
            <w:r>
              <w:rPr>
                <w:b w:val="0"/>
                <w:color w:val="152E43"/>
                <w:sz w:val="18"/>
              </w:rPr>
              <w:t>调焦指导，环序与读数方向提示，直径平方差与曲率计算</w:t>
            </w:r>
          </w:p>
        </w:tc>
        <w:tc>
          <w:tcPr>
            <w:tcW w:type="dxa" w:w="1701"/>
            <w:vAlign w:val="center"/>
            <w:shd w:fill="FFFFFF"/>
          </w:tcPr>
          <w:p>
            <w:pPr>
              <w:spacing w:after="40" w:before="40" w:line="269" w:lineRule="auto"/>
            </w:pPr>
            <w:r>
              <w:rPr>
                <w:b w:val="0"/>
                <w:color w:val="152E43"/>
                <w:sz w:val="18"/>
              </w:rPr>
            </w:r>
            <w:r>
              <w:rPr>
                <w:b w:val="0"/>
                <w:color w:val="152E43"/>
                <w:sz w:val="18"/>
              </w:rPr>
              <w:t>一期主样板</w:t>
            </w:r>
          </w:p>
        </w:tc>
      </w:tr>
      <w:tr>
        <w:trPr>
          <w:cantSplit/>
        </w:trPr>
        <w:tc>
          <w:tcPr>
            <w:tcW w:type="dxa" w:w="2268"/>
            <w:vAlign w:val="center"/>
            <w:shd w:fill="F0F5F8"/>
          </w:tcPr>
          <w:p>
            <w:pPr>
              <w:spacing w:after="40" w:before="40" w:line="269" w:lineRule="auto"/>
              <w:jc w:val="center"/>
            </w:pPr>
            <w:r>
              <w:rPr>
                <w:b w:val="0"/>
                <w:color w:val="152E43"/>
                <w:sz w:val="18"/>
              </w:rPr>
            </w:r>
            <w:r>
              <w:rPr>
                <w:b w:val="0"/>
                <w:color w:val="152E43"/>
                <w:sz w:val="18"/>
              </w:rPr>
              <w:t>磁学</w:t>
              <w:br/>
              <w:t>霍尔效应或线圈磁场</w:t>
            </w:r>
          </w:p>
        </w:tc>
        <w:tc>
          <w:tcPr>
            <w:tcW w:type="dxa" w:w="5669"/>
            <w:vAlign w:val="center"/>
            <w:shd w:fill="F0F5F8"/>
          </w:tcPr>
          <w:p>
            <w:pPr>
              <w:spacing w:after="40" w:before="40" w:line="269" w:lineRule="auto"/>
            </w:pPr>
            <w:r>
              <w:rPr>
                <w:b w:val="0"/>
                <w:color w:val="152E43"/>
                <w:sz w:val="18"/>
              </w:rPr>
            </w:r>
            <w:r>
              <w:rPr>
                <w:b w:val="0"/>
                <w:color w:val="152E43"/>
                <w:sz w:val="18"/>
              </w:rPr>
              <w:t>换向测量检查、探头方向提示、B与I关系及异常分析</w:t>
            </w:r>
          </w:p>
        </w:tc>
        <w:tc>
          <w:tcPr>
            <w:tcW w:type="dxa" w:w="1701"/>
            <w:vAlign w:val="center"/>
            <w:shd w:fill="F0F5F8"/>
          </w:tcPr>
          <w:p>
            <w:pPr>
              <w:spacing w:after="40" w:before="40" w:line="269" w:lineRule="auto"/>
            </w:pPr>
            <w:r>
              <w:rPr>
                <w:b w:val="0"/>
                <w:color w:val="152E43"/>
                <w:sz w:val="18"/>
              </w:rPr>
            </w:r>
            <w:r>
              <w:rPr>
                <w:b w:val="0"/>
                <w:color w:val="152E43"/>
                <w:sz w:val="18"/>
              </w:rPr>
              <w:t>二期优先</w:t>
            </w:r>
          </w:p>
        </w:tc>
      </w:tr>
      <w:tr>
        <w:trPr>
          <w:cantSplit/>
        </w:trPr>
        <w:tc>
          <w:tcPr>
            <w:tcW w:type="dxa" w:w="2268"/>
            <w:vAlign w:val="center"/>
            <w:shd w:fill="FFFFFF"/>
          </w:tcPr>
          <w:p>
            <w:pPr>
              <w:spacing w:after="40" w:before="40" w:line="269" w:lineRule="auto"/>
              <w:jc w:val="center"/>
            </w:pPr>
            <w:r>
              <w:rPr>
                <w:b w:val="0"/>
                <w:color w:val="152E43"/>
                <w:sz w:val="18"/>
              </w:rPr>
            </w:r>
            <w:r>
              <w:rPr>
                <w:b w:val="0"/>
                <w:color w:val="152E43"/>
                <w:sz w:val="18"/>
              </w:rPr>
              <w:t>电磁感应</w:t>
              <w:br/>
              <w:t>线圈与示波器</w:t>
            </w:r>
          </w:p>
        </w:tc>
        <w:tc>
          <w:tcPr>
            <w:tcW w:type="dxa" w:w="5669"/>
            <w:vAlign w:val="center"/>
            <w:shd w:fill="FFFFFF"/>
          </w:tcPr>
          <w:p>
            <w:pPr>
              <w:spacing w:after="40" w:before="40" w:line="269" w:lineRule="auto"/>
            </w:pPr>
            <w:r>
              <w:rPr>
                <w:b w:val="0"/>
                <w:color w:val="152E43"/>
                <w:sz w:val="18"/>
              </w:rPr>
            </w:r>
            <w:r>
              <w:rPr>
                <w:b w:val="0"/>
                <w:color w:val="152E43"/>
                <w:sz w:val="18"/>
              </w:rPr>
              <w:t>触发与时基指导、波形数据分析、感应规律解释</w:t>
            </w:r>
          </w:p>
        </w:tc>
        <w:tc>
          <w:tcPr>
            <w:tcW w:type="dxa" w:w="1701"/>
            <w:vAlign w:val="center"/>
            <w:shd w:fill="FFFFFF"/>
          </w:tcPr>
          <w:p>
            <w:pPr>
              <w:spacing w:after="40" w:before="40" w:line="269" w:lineRule="auto"/>
            </w:pPr>
            <w:r>
              <w:rPr>
                <w:b w:val="0"/>
                <w:color w:val="152E43"/>
                <w:sz w:val="18"/>
              </w:rPr>
            </w:r>
            <w:r>
              <w:rPr>
                <w:b w:val="0"/>
                <w:color w:val="152E43"/>
                <w:sz w:val="18"/>
              </w:rPr>
              <w:t>二期选做</w:t>
            </w:r>
          </w:p>
        </w:tc>
      </w:tr>
      <w:tr>
        <w:trPr>
          <w:cantSplit/>
        </w:trPr>
        <w:tc>
          <w:tcPr>
            <w:tcW w:type="dxa" w:w="2268"/>
            <w:vAlign w:val="center"/>
            <w:shd w:fill="F0F5F8"/>
          </w:tcPr>
          <w:p>
            <w:pPr>
              <w:spacing w:after="40" w:before="40" w:line="269" w:lineRule="auto"/>
              <w:jc w:val="center"/>
            </w:pPr>
            <w:r>
              <w:rPr>
                <w:b w:val="0"/>
                <w:color w:val="152E43"/>
                <w:sz w:val="18"/>
              </w:rPr>
            </w:r>
            <w:r>
              <w:rPr>
                <w:b w:val="0"/>
                <w:color w:val="152E43"/>
                <w:sz w:val="18"/>
              </w:rPr>
              <w:t>干涉衍射</w:t>
              <w:br/>
              <w:t>劈尖或双缝</w:t>
            </w:r>
          </w:p>
        </w:tc>
        <w:tc>
          <w:tcPr>
            <w:tcW w:type="dxa" w:w="5669"/>
            <w:vAlign w:val="center"/>
            <w:shd w:fill="F0F5F8"/>
          </w:tcPr>
          <w:p>
            <w:pPr>
              <w:spacing w:after="40" w:before="40" w:line="269" w:lineRule="auto"/>
            </w:pPr>
            <w:r>
              <w:rPr>
                <w:b w:val="0"/>
                <w:color w:val="152E43"/>
                <w:sz w:val="18"/>
              </w:rPr>
            </w:r>
            <w:r>
              <w:rPr>
                <w:b w:val="0"/>
                <w:color w:val="152E43"/>
                <w:sz w:val="18"/>
              </w:rPr>
              <w:t>条纹质量检查、坐标记录、线性拟合与尺度校验</w:t>
            </w:r>
          </w:p>
        </w:tc>
        <w:tc>
          <w:tcPr>
            <w:tcW w:type="dxa" w:w="1701"/>
            <w:vAlign w:val="center"/>
            <w:shd w:fill="F0F5F8"/>
          </w:tcPr>
          <w:p>
            <w:pPr>
              <w:spacing w:after="40" w:before="40" w:line="269" w:lineRule="auto"/>
            </w:pPr>
            <w:r>
              <w:rPr>
                <w:b w:val="0"/>
                <w:color w:val="152E43"/>
                <w:sz w:val="18"/>
              </w:rPr>
            </w:r>
            <w:r>
              <w:rPr>
                <w:b w:val="0"/>
                <w:color w:val="152E43"/>
                <w:sz w:val="18"/>
              </w:rPr>
              <w:t>二期优先</w:t>
            </w:r>
          </w:p>
        </w:tc>
      </w:tr>
      <w:tr>
        <w:trPr>
          <w:cantSplit/>
        </w:trPr>
        <w:tc>
          <w:tcPr>
            <w:tcW w:type="dxa" w:w="2268"/>
            <w:vAlign w:val="center"/>
            <w:shd w:fill="FFFFFF"/>
          </w:tcPr>
          <w:p>
            <w:pPr>
              <w:spacing w:after="40" w:before="40" w:line="269" w:lineRule="auto"/>
              <w:jc w:val="center"/>
            </w:pPr>
            <w:r>
              <w:rPr>
                <w:b w:val="0"/>
                <w:color w:val="152E43"/>
                <w:sz w:val="18"/>
              </w:rPr>
            </w:r>
            <w:r>
              <w:rPr>
                <w:b w:val="0"/>
                <w:color w:val="152E43"/>
                <w:sz w:val="18"/>
              </w:rPr>
              <w:t>偏振</w:t>
              <w:br/>
              <w:t>马吕斯定律</w:t>
            </w:r>
          </w:p>
        </w:tc>
        <w:tc>
          <w:tcPr>
            <w:tcW w:type="dxa" w:w="5669"/>
            <w:vAlign w:val="center"/>
            <w:shd w:fill="FFFFFF"/>
          </w:tcPr>
          <w:p>
            <w:pPr>
              <w:spacing w:after="40" w:before="40" w:line="269" w:lineRule="auto"/>
            </w:pPr>
            <w:r>
              <w:rPr>
                <w:b w:val="0"/>
                <w:color w:val="152E43"/>
                <w:sz w:val="18"/>
              </w:rPr>
            </w:r>
            <w:r>
              <w:rPr>
                <w:b w:val="0"/>
                <w:color w:val="152E43"/>
                <w:sz w:val="18"/>
              </w:rPr>
              <w:t>角度记录、背景扣除、强度曲线拟合</w:t>
            </w:r>
          </w:p>
        </w:tc>
        <w:tc>
          <w:tcPr>
            <w:tcW w:type="dxa" w:w="1701"/>
            <w:vAlign w:val="center"/>
            <w:shd w:fill="FFFFFF"/>
          </w:tcPr>
          <w:p>
            <w:pPr>
              <w:spacing w:after="40" w:before="40" w:line="269" w:lineRule="auto"/>
            </w:pPr>
            <w:r>
              <w:rPr>
                <w:b w:val="0"/>
                <w:color w:val="152E43"/>
                <w:sz w:val="18"/>
              </w:rPr>
            </w:r>
            <w:r>
              <w:rPr>
                <w:b w:val="0"/>
                <w:color w:val="152E43"/>
                <w:sz w:val="18"/>
              </w:rPr>
              <w:t>二期选做</w:t>
            </w:r>
          </w:p>
        </w:tc>
      </w:tr>
    </w:tbl>
    <w:p>
      <w:pPr>
        <w:spacing w:after="20"/>
      </w:pPr>
    </w:p>
    <w:p>
      <w:pPr>
        <w:pStyle w:val="Heading2"/>
      </w:pPr>
      <w:r>
        <w:t>一期交付深度</w:t>
      </w:r>
    </w:p>
    <w:p>
      <w:r>
        <w:t>每个样板实验交付完整教学包：实验目标与设备清单、教师审核讲义、逐步指导、示范素材、可识别错误清单、输入字段与单位、计算规则、报告模板、评分量规以及验收样例。电学样板以一套主设备型号和约8至12类高价值错误为起点，错误是否可判定须由采集样本验证。</w:t>
      </w:r>
    </w:p>
    <w:p>
      <w:pPr>
        <w:pStyle w:val="Heading2"/>
      </w:pPr>
      <w:r>
        <w:t>暂不纳入首批承诺的内容</w:t>
      </w:r>
    </w:p>
    <w:p>
      <w:r>
        <w:t>不同型号仪器的无差别识别、任意复杂电路自动还原、未经标定的手机图像精密测量、全班连续视频实时分析，以及自动控制电源或激光器，均需独立评估。对新增实验，优先复用任务流程、记录表和计算服务，再逐项增加专用识别规则。</w:t>
      </w:r>
    </w:p>
    <w:p>
      <w:r>
        <w:br w:type="page"/>
      </w:r>
    </w:p>
    <w:p>
      <w:pPr>
        <w:pStyle w:val="Heading1"/>
      </w:pPr>
      <w:r>
        <w:t>05  电学样板的完整实施设计</w:t>
      </w:r>
    </w:p>
    <w:p>
      <w:pPr>
        <w:pStyle w:val="Heading2"/>
      </w:pPr>
      <w:r>
        <w:t>推荐样板与教学目标</w:t>
      </w:r>
    </w:p>
    <w:p>
      <w:r>
        <w:t>以低压直流伏安法测电阻为例，学生需要理解电流表和电压表的接入位置、量程选择、内外接法带来的系统偏差，以及用多组数据求电阻的方法。若学校主要开设电桥实验，可沿用同一采集与校验机制，更换拓扑、平衡条件和计算规则。</w:t>
      </w:r>
    </w:p>
    <w:p>
      <w:r>
        <w:rPr>
          <w:b/>
        </w:rPr>
        <w:t>1．课前准备：</w:t>
      </w:r>
      <w:r>
        <w:t>学习仪表端子与量程、断电接线和电源限流要求；通过短测后进入实验任务。</w:t>
      </w:r>
    </w:p>
    <w:p>
      <w:r>
        <w:rPr>
          <w:b/>
        </w:rPr>
        <w:t>2．断电搭接：</w:t>
      </w:r>
      <w:r>
        <w:t>选择教师指定的内接或外接接法，录入仪表型号、量程和必要的内阻参数；拍摄全景、接线柱及档位特写。</w:t>
      </w:r>
    </w:p>
    <w:p>
      <w:r>
        <w:rPr>
          <w:b/>
        </w:rPr>
        <w:t>3．检查与复核：</w:t>
      </w:r>
      <w:r>
        <w:t>系统标注可见的端子、导线端点和表头信息，学生确认连接表；规则服务查找明显接法与量程问题，教师现场确认后由学生按规程通电。</w:t>
      </w:r>
    </w:p>
    <w:p>
      <w:r>
        <w:rPr>
          <w:b/>
        </w:rPr>
        <w:t>4．测量与记录：</w:t>
      </w:r>
      <w:r>
        <w:t>在规定安全范围内改变电压，逐组记录U、I及量程；建议6至10组有效点，具体数量服从课程要求。电阻发热或读数漂移时先暂停并排查。</w:t>
      </w:r>
    </w:p>
    <w:p>
      <w:r>
        <w:rPr>
          <w:b/>
        </w:rPr>
        <w:t>5．计算与讨论：</w:t>
      </w:r>
      <w:r>
        <w:t>绘制U对I曲线，默认拟合U＝aI＋b，斜率a给出表观电阻；截距异常作为检查线索，不自动强制过原点。分析仪表负载效应、接触电阻与温升影响。</w:t>
      </w:r>
    </w:p>
    <w:p>
      <w:r>
        <w:rPr>
          <w:b/>
        </w:rPr>
        <w:t>6．报告与评价：</w:t>
      </w:r>
      <w:r>
        <w:t>保存原始数据、接法、计算版本、异常与复测记录。AI提示缺项并提出讨论问题，学生完成解释，教师依据量规评阅。</w:t>
      </w:r>
    </w:p>
    <w:p>
      <w:pPr>
        <w:pStyle w:val="Heading2"/>
      </w:pPr>
      <w:r>
        <w:t>接法决定计算解释</w:t>
      </w:r>
    </w:p>
    <w:p>
      <w:r>
        <w:t>电流表外接时，电压表跨接被测电阻，电流表读到被测电阻与电压表电流之和，表观电阻偏小；电流表内接时，电压表跨接被测电阻与电流表，表观电阻偏大。若要修正，必须取得对应量程下可靠的仪表内阻；无参数时只讨论偏差，不虚构修正值。</w:t>
      </w:r>
    </w:p>
    <w:p>
      <w:r>
        <w:t>可解释纠错示例：照片中电压表表笔进入标为电流输入的插孔，系统标出该插孔并提示“保持断电，按所用仪表说明核对测量端口和档位，再拍近照”。提示必须匹配实际仪器型号，不能把通用端口名称强套到所有设备。</w:t>
      </w:r>
    </w:p>
    <w:p>
      <w:r>
        <w:br w:type="page"/>
      </w:r>
    </w:p>
    <w:p>
      <w:pPr>
        <w:pStyle w:val="Heading1"/>
      </w:pPr>
      <w:r>
        <w:t>06  接线识别的技术路线与边界</w:t>
      </w:r>
    </w:p>
    <w:p>
      <w:pPr>
        <w:keepNext/>
      </w:pPr>
      <w:r>
        <w:drawing>
          <wp:inline xmlns:a="http://schemas.openxmlformats.org/drawingml/2006/main" xmlns:pic="http://schemas.openxmlformats.org/drawingml/2006/picture">
            <wp:extent cx="6048000" cy="2096640"/>
            <wp:docPr id="2" name="Picture 2"/>
            <wp:cNvGraphicFramePr>
              <a:graphicFrameLocks noChangeAspect="1"/>
            </wp:cNvGraphicFramePr>
            <a:graphic>
              <a:graphicData uri="http://schemas.openxmlformats.org/drawingml/2006/picture">
                <pic:pic>
                  <pic:nvPicPr>
                    <pic:cNvPr id="0" name="wiring.png"/>
                    <pic:cNvPicPr/>
                  </pic:nvPicPr>
                  <pic:blipFill>
                    <a:blip r:embed="rId11"/>
                    <a:stretch>
                      <a:fillRect/>
                    </a:stretch>
                  </pic:blipFill>
                  <pic:spPr>
                    <a:xfrm>
                      <a:off x="0" y="0"/>
                      <a:ext cx="6048000" cy="2096640"/>
                    </a:xfrm>
                    <a:prstGeom prst="rect"/>
                  </pic:spPr>
                </pic:pic>
              </a:graphicData>
            </a:graphic>
          </wp:inline>
        </w:drawing>
      </w:r>
    </w:p>
    <w:p>
      <w:pPr>
        <w:pStyle w:val="Caption"/>
      </w:pPr>
      <w:r>
        <w:t>图2  将图像证据与接线规则结合的检查流程</w:t>
      </w:r>
    </w:p>
    <w:p>
      <w:pPr>
        <w:pStyle w:val="Heading2"/>
      </w:pPr>
      <w:r>
        <w:t>先约束场景再提升自动化</w:t>
      </w:r>
    </w:p>
    <w:p>
      <w:r>
        <w:t>首期对试点台面采用固定拍摄支架、适当补光、清晰端子编号和设备二维码。导线两端可加同编号标签，尽量减少交叉遮挡；标签仅帮助对应端点，不能证明导线导通。设备型号、端子定义和允许的接线拓扑由教师审核，模型只在该范围内产生连接候选。</w:t>
      </w:r>
    </w:p>
    <w:p>
      <w:r>
        <w:t>识别链路依次执行图像质量检测、器件定位、端子与档位文字识别、连接候选提取、学生确认和图结构规则匹配。连接检查表示为“器件端子节点＋连线边”，依据所选实验检查电流表串联、电压表并联、极性及明显短接。对被遮挡或无法连续追踪的线段标记未知，不推测为正确。</w:t>
      </w:r>
    </w:p>
    <w:p>
      <w:pPr>
        <w:pStyle w:val="Heading2"/>
      </w:pPr>
      <w:r>
        <w:t>三种明确的反馈状态</w:t>
      </w:r>
    </w:p>
    <w:p>
      <w:r>
        <w:t>发现问题：给出图片证据、命中的规则和纠正步骤。未发现已定义问题：仅代表当前可见范围内未检出目标错误，仍需现场确认。证据不足：引导补拍、学生核对连接表或转教师。断电状态、接触质量和额定耐压不能仅凭照片可靠确认。</w:t>
      </w:r>
    </w:p>
    <w:p>
      <w:pPr>
        <w:pStyle w:val="Heading2"/>
      </w:pPr>
      <w:r>
        <w:t>样本与迭代方式</w:t>
      </w:r>
    </w:p>
    <w:p>
      <w:r>
        <w:t>一期先用人工标注和通用视觉模型验证约8至12类错误，再按需要引入专用识别模型。建议准备300至600组开发样本，另留至少200组盲测场景；每组包含全景、局部图及教师确认标签。按真实电路实例、工位与采集场次隔离训练和测试，避免相邻照片泄漏。包含正确、错误、遮挡、反光及不相关图像，并记录哪些问题本来就不可见。</w:t>
      </w:r>
    </w:p>
    <w:p>
      <w:r>
        <w:br w:type="page"/>
      </w:r>
    </w:p>
    <w:p>
      <w:pPr>
        <w:pStyle w:val="Heading1"/>
      </w:pPr>
      <w:r>
        <w:t>07  磁学与电磁感应的扩展方案</w:t>
      </w:r>
    </w:p>
    <w:p>
      <w:pPr>
        <w:pStyle w:val="Heading2"/>
      </w:pPr>
      <w:r>
        <w:t>霍尔效应实验</w:t>
      </w:r>
    </w:p>
    <w:p>
      <w:r>
        <w:t>小程序按课程规定引导设置励磁电流和霍尔元件工作电流，检查探头方向、接线极性及四组换向测量是否完整。对每次测量同时记录励磁方向、工作电流方向、霍尔电压、单位与设备型号。照片用于核对可见接线和仪表状态，数据规则用于检查漏项、符号与量级。</w:t>
      </w:r>
    </w:p>
    <w:p>
      <w:r>
        <w:t xml:space="preserve">按励磁方向在前、工作电流方向在后的约定，依次记录“＋＋、－＋、－－、＋－”四种状态，理想霍尔项可通过 </w:t>
      </w:r>
      <m:oMath>
        <m:sSub>
          <m:e>
            <m:r>
              <m:t>U</m:t>
            </m:r>
          </m:e>
          <m:sub>
            <m:r>
              <m:t>H</m:t>
            </m:r>
          </m:sub>
        </m:sSub>
        <m:r>
          <m:t>=</m:t>
        </m:r>
        <m:f>
          <m:num>
            <m:sSub>
              <m:e>
                <m:r>
                  <m:t>U</m:t>
                </m:r>
              </m:e>
              <m:sub>
                <m:r>
                  <m:t>1</m:t>
                </m:r>
              </m:sub>
            </m:sSub>
            <m:r>
              <m:t>−</m:t>
            </m:r>
            <m:sSub>
              <m:e>
                <m:r>
                  <m:t>U</m:t>
                </m:r>
              </m:e>
              <m:sub>
                <m:r>
                  <m:t>2</m:t>
                </m:r>
              </m:sub>
            </m:sSub>
            <m:r>
              <m:t>+</m:t>
            </m:r>
            <m:sSub>
              <m:e>
                <m:r>
                  <m:t>U</m:t>
                </m:r>
              </m:e>
              <m:sub>
                <m:r>
                  <m:t>3</m:t>
                </m:r>
              </m:sub>
            </m:sSub>
            <m:r>
              <m:t>−</m:t>
            </m:r>
            <m:sSub>
              <m:e>
                <m:r>
                  <m:t>U</m:t>
                </m:r>
              </m:e>
              <m:sub>
                <m:r>
                  <m:t>4</m:t>
                </m:r>
              </m:sub>
            </m:sSub>
          </m:num>
          <m:den>
            <m:r>
              <m:t>4</m:t>
            </m:r>
          </m:den>
        </m:f>
      </m:oMath>
      <w:r>
        <w:t xml:space="preserve"> 提取；符号约定必须与设备端子及实际换向操作对应，并由教师审核。不同寄生效应的消除条件不同，不能把剩余偏差统一解释成学生错误。</w:t>
      </w:r>
    </w:p>
    <w:p>
      <w:r>
        <w:t>当仪器给定灵敏度</w:t>
      </w:r>
      <m:oMath>
        <m:sSub>
          <m:e>
            <m:r>
              <m:t>K</m:t>
            </m:r>
          </m:e>
          <m:sub>
            <m:r>
              <m:t>H</m:t>
            </m:r>
          </m:sub>
        </m:sSub>
      </m:oMath>
      <w:r>
        <w:t>且</w:t>
      </w:r>
      <m:oMath>
        <m:sSub>
          <m:e>
            <m:r>
              <m:t>U</m:t>
            </m:r>
          </m:e>
          <m:sub>
            <m:r>
              <m:t>H</m:t>
            </m:r>
          </m:sub>
        </m:sSub>
        <m:r>
          <m:t>=</m:t>
        </m:r>
        <m:sSub>
          <m:e>
            <m:r>
              <m:t>K</m:t>
            </m:r>
          </m:e>
          <m:sub>
            <m:r>
              <m:t>H</m:t>
            </m:r>
          </m:sub>
        </m:sSub>
        <m:sSub>
          <m:e>
            <m:r>
              <m:t>I</m:t>
            </m:r>
          </m:e>
          <m:sub>
            <m:r>
              <m:t>s</m:t>
            </m:r>
          </m:sub>
        </m:sSub>
        <m:r>
          <m:t>B</m:t>
        </m:r>
      </m:oMath>
      <w:r>
        <w:t>适用时，可据此求B；若设备输出已是磁感应强度，则读取其校准单位和说明书转换关系。系统比较B随励磁电流的变化，提示零偏、饱和或探头方向问题，并要求补测验证。</w:t>
      </w:r>
    </w:p>
    <w:p>
      <w:pPr>
        <w:pStyle w:val="Heading2"/>
      </w:pPr>
      <w:r>
        <w:t>亥姆霍兹线圈磁场测量</w:t>
      </w:r>
    </w:p>
    <w:p>
      <w:r>
        <w:t xml:space="preserve">使用已标定的磁场探头，记录线圈半径R、单线圈匝数N、线圈间距、电流I及探头位置。对两同轴线圈、间距等于半径且电流同向的理想配置，中心场满足 </w:t>
      </w:r>
      <m:oMath>
        <m:sSub>
          <m:e>
            <m:r>
              <m:t>B</m:t>
            </m:r>
          </m:e>
          <m:sub>
            <m:r>
              <m:t>0</m:t>
            </m:r>
          </m:sub>
        </m:sSub>
        <m:r>
          <m:t>=</m:t>
        </m:r>
        <m:sSup>
          <m:e>
            <m:r>
              <m:t>(4/5)</m:t>
            </m:r>
          </m:e>
          <m:sup>
            <m:r>
              <m:t>3/2</m:t>
            </m:r>
          </m:sup>
        </m:sSup>
        <m:f>
          <m:num>
            <m:sSub>
              <m:e>
                <m:r>
                  <m:t>μ</m:t>
                </m:r>
              </m:e>
              <m:sub>
                <m:r>
                  <m:t>0</m:t>
                </m:r>
              </m:sub>
            </m:sSub>
            <m:r>
              <m:t>NI</m:t>
            </m:r>
          </m:num>
          <m:den>
            <m:r>
              <m:t>R</m:t>
            </m:r>
          </m:den>
        </m:f>
      </m:oMath>
      <w:r>
        <w:t>。系统绘制B随I或位置的曲线，检查单位和几何条件；实际偏离模型时讨论背景场、位置误差和探头零偏。</w:t>
      </w:r>
    </w:p>
    <w:p>
      <w:pPr>
        <w:pStyle w:val="Heading2"/>
      </w:pPr>
      <w:r>
        <w:t>电磁感应与示波器</w:t>
      </w:r>
    </w:p>
    <w:p>
      <w:r>
        <w:t xml:space="preserve">按现有设备选择线圈互感或磁通变化实验，围绕 </w:t>
      </w:r>
      <m:oMath>
        <m:r>
          <m:t>ε=−N</m:t>
        </m:r>
        <m:f>
          <m:num>
            <m:r>
              <m:t>dΦ</m:t>
            </m:r>
          </m:num>
          <m:den>
            <m:r>
              <m:t>dt</m:t>
            </m:r>
          </m:den>
        </m:f>
      </m:oMath>
      <w:r>
        <w:t xml:space="preserve"> 解释极性和幅值变化。小程序提供时基、量程和触发设置的步骤提示，上传屏幕照片用于状态检查；定量波形优先从示波器导出带采样间隔的CSV，或经有线采集网关上传。屏幕截图只在时间、电压比例及探头倍率明确时进行粗测。</w:t>
      </w:r>
    </w:p>
    <w:p>
      <w:r>
        <w:t>手机磁力计不作为默认计量传感器。若用作定性探索，必须单列为演示活动，说明校准和量程限制。磁学实验的准确结果仍依赖校方认可的传感器与设备。</w:t>
      </w:r>
    </w:p>
    <w:p>
      <w:r>
        <w:br w:type="page"/>
      </w:r>
    </w:p>
    <w:p>
      <w:pPr>
        <w:pStyle w:val="Heading1"/>
      </w:pPr>
      <w:r>
        <w:t>08  光学样板的完整实施设计</w:t>
      </w:r>
    </w:p>
    <w:p>
      <w:r>
        <w:t>牛顿环实验已有课程与视觉规则基础，适合作为光学样板。建设重点是帮助学生看清条纹、正确记录同级环的左右位置、理解回程误差并完成曲率半径计算。系统将“图像观察”与“长度测量”分开处理，避免把任意手机照片的像素直接当作毫米。</w:t>
      </w:r>
    </w:p>
    <w:p>
      <w:pPr>
        <w:keepNext/>
      </w:pPr>
      <w:r>
        <w:drawing>
          <wp:inline xmlns:a="http://schemas.openxmlformats.org/drawingml/2006/main" xmlns:pic="http://schemas.openxmlformats.org/drawingml/2006/picture">
            <wp:extent cx="6048000" cy="2136960"/>
            <wp:docPr id="3" name="Picture 3"/>
            <wp:cNvGraphicFramePr>
              <a:graphicFrameLocks noChangeAspect="1"/>
            </wp:cNvGraphicFramePr>
            <a:graphic>
              <a:graphicData uri="http://schemas.openxmlformats.org/drawingml/2006/picture">
                <pic:pic>
                  <pic:nvPicPr>
                    <pic:cNvPr id="0" name="optics.png"/>
                    <pic:cNvPicPr/>
                  </pic:nvPicPr>
                  <pic:blipFill>
                    <a:blip r:embed="rId12"/>
                    <a:stretch>
                      <a:fillRect/>
                    </a:stretch>
                  </pic:blipFill>
                  <pic:spPr>
                    <a:xfrm>
                      <a:off x="0" y="0"/>
                      <a:ext cx="6048000" cy="2136960"/>
                    </a:xfrm>
                    <a:prstGeom prst="rect"/>
                  </pic:spPr>
                </pic:pic>
              </a:graphicData>
            </a:graphic>
          </wp:inline>
        </w:drawing>
      </w:r>
    </w:p>
    <w:p>
      <w:pPr>
        <w:pStyle w:val="Caption"/>
      </w:pPr>
      <w:r>
        <w:t>图3  牛顿环观察辅助与计量计算采用不同证据链</w:t>
      </w:r>
    </w:p>
    <w:p>
      <w:pPr>
        <w:pStyle w:val="Heading2"/>
      </w:pPr>
      <w:r>
        <w:t>关键操作与记录</w:t>
      </w:r>
    </w:p>
    <w:p>
      <w:r>
        <w:t>学生先按设备规程调清十字丝，再调清环纹；系统根据显微图像检查清晰度、过曝和视场完整性，给出单步调整建议。普通台面照片用于检查装置外观，环纹近照用于观察质量，标尺或鼓轮近照用于读数辅导，三类图片不能相互替代。</w:t>
      </w:r>
    </w:p>
    <w:p>
      <w:r>
        <w:t>测量时按课程规定统一移动方向，记录同一级暗环的左、右位置及环序，计算直径D。回程或重新定位必须写入记录并按规程重测。方向是否持续一致依赖时间顺序记录或人工确认，不能从一张静态图推断。</w:t>
      </w:r>
    </w:p>
    <w:p>
      <w:pPr>
        <w:pStyle w:val="Heading2"/>
      </w:pPr>
      <w:r>
        <w:t>计算规则与误差讨论</w:t>
      </w:r>
    </w:p>
    <w:p>
      <w:r>
        <w:t>在近正入射、空气薄膜、同类反射暗环条件下，用环序相差p的两环直径计算曲率半径：</w:t>
      </w:r>
    </w:p>
    <w:p>
      <w:pPr>
        <w:jc w:val="center"/>
      </w:pPr>
      <m:oMath>
        <m:r>
          <m:t>R=</m:t>
        </m:r>
        <m:f>
          <m:num>
            <m:sSup>
              <m:e>
                <m:sSub>
                  <m:e>
                    <m:r>
                      <m:t>D</m:t>
                    </m:r>
                  </m:e>
                  <m:sub>
                    <m:r>
                      <m:t>m+p</m:t>
                    </m:r>
                  </m:sub>
                </m:sSub>
              </m:e>
              <m:sup>
                <m:r>
                  <m:t>2</m:t>
                </m:r>
              </m:sup>
            </m:sSup>
            <m:r>
              <m:t>−</m:t>
            </m:r>
            <m:sSup>
              <m:e>
                <m:sSub>
                  <m:e>
                    <m:r>
                      <m:t>D</m:t>
                    </m:r>
                  </m:e>
                  <m:sub>
                    <m:r>
                      <m:t>m</m:t>
                    </m:r>
                  </m:sub>
                </m:sSub>
              </m:e>
              <m:sup>
                <m:r>
                  <m:t>2</m:t>
                </m:r>
              </m:sup>
            </m:sSup>
          </m:num>
          <m:den>
            <m:r>
              <m:t>4pλ</m:t>
            </m:r>
          </m:den>
        </m:f>
      </m:oMath>
    </w:p>
    <w:p>
      <w:r>
        <w:t>式中λ为光源波长，录入时显式显示单位。系统统一单位并检查有效数字；也可对D²与环序进行拟合，用斜率a求</w:t>
      </w:r>
      <m:oMath>
        <m:r>
          <m:t>R=</m:t>
        </m:r>
        <m:f>
          <m:num>
            <m:r>
              <m:t>a</m:t>
            </m:r>
          </m:num>
          <m:den>
            <m:r>
              <m:t>4λ</m:t>
            </m:r>
          </m:den>
        </m:f>
      </m:oMath>
      <w:r>
        <w:t>。</w:t>
      </w:r>
    </w:p>
    <w:p>
      <w:r>
        <w:t>一期以读数显微镜的人工确认数据为正式结果。自动提取环纹半径可以作为辅助功能；只有尺度标定、镜头畸变和重复性验证满足教学容差后，才纳入定量报告。AI可以提示偏心、污物或接触状态的可能影响，但不把图像现象唯一归因于某一故障。</w:t>
      </w:r>
    </w:p>
    <w:p>
      <w:r>
        <w:br w:type="page"/>
      </w:r>
    </w:p>
    <w:p>
      <w:pPr>
        <w:pStyle w:val="Heading1"/>
      </w:pPr>
      <w:r>
        <w:t>09  干涉衍射与偏振实验扩展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4082"/>
        <w:gridCol w:w="3855"/>
      </w:tblGrid>
      <w:tr>
        <w:trPr>
          <w:cantSplit/>
          <w:tblHeader/>
        </w:trPr>
        <w:tc>
          <w:tcPr>
            <w:tcW w:type="dxa" w:w="1701"/>
            <w:vAlign w:val="center"/>
            <w:shd w:fill="214B65"/>
          </w:tcPr>
          <w:p>
            <w:pPr>
              <w:spacing w:after="40" w:before="40" w:line="269" w:lineRule="auto"/>
              <w:jc w:val="center"/>
            </w:pPr>
            <w:r>
              <w:rPr>
                <w:b/>
                <w:color w:val="FFFFFF"/>
                <w:sz w:val="18"/>
              </w:rPr>
              <w:t>实验</w:t>
            </w:r>
          </w:p>
        </w:tc>
        <w:tc>
          <w:tcPr>
            <w:tcW w:type="dxa" w:w="4082"/>
            <w:vAlign w:val="center"/>
            <w:shd w:fill="214B65"/>
          </w:tcPr>
          <w:p>
            <w:pPr>
              <w:spacing w:after="40" w:before="40" w:line="269" w:lineRule="auto"/>
            </w:pPr>
            <w:r>
              <w:rPr>
                <w:b/>
                <w:color w:val="FFFFFF"/>
                <w:sz w:val="18"/>
              </w:rPr>
              <w:t>数据处理</w:t>
            </w:r>
          </w:p>
        </w:tc>
        <w:tc>
          <w:tcPr>
            <w:tcW w:type="dxa" w:w="3855"/>
            <w:vAlign w:val="center"/>
            <w:shd w:fill="214B65"/>
          </w:tcPr>
          <w:p>
            <w:pPr>
              <w:spacing w:after="40" w:before="40" w:line="269" w:lineRule="auto"/>
            </w:pPr>
            <w:r>
              <w:rPr>
                <w:b/>
                <w:color w:val="FFFFFF"/>
                <w:sz w:val="18"/>
              </w:rPr>
              <w:t>图像辅助与限制</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劈尖干涉</w:t>
            </w:r>
          </w:p>
        </w:tc>
        <w:tc>
          <w:tcPr>
            <w:tcW w:type="dxa" w:w="4082"/>
            <w:vAlign w:val="center"/>
            <w:shd w:fill="F0F5F8"/>
          </w:tcPr>
          <w:p>
            <w:pPr>
              <w:spacing w:after="40" w:before="40" w:line="269" w:lineRule="auto"/>
            </w:pPr>
            <w:r>
              <w:rPr>
                <w:b w:val="0"/>
                <w:color w:val="152E43"/>
                <w:sz w:val="18"/>
              </w:rPr>
            </w:r>
            <w:r>
              <w:rPr>
                <w:b w:val="0"/>
                <w:color w:val="152E43"/>
                <w:sz w:val="18"/>
              </w:rPr>
              <w:t>记录多条暗纹位置，拟合相邻条纹间距Δx；在小角度空气劈尖条件下α≈λ/(2Δx)，垫片厚度t≈Lα</w:t>
            </w:r>
          </w:p>
        </w:tc>
        <w:tc>
          <w:tcPr>
            <w:tcW w:type="dxa" w:w="3855"/>
            <w:vAlign w:val="center"/>
            <w:shd w:fill="F0F5F8"/>
          </w:tcPr>
          <w:p>
            <w:pPr>
              <w:spacing w:after="40" w:before="40" w:line="269" w:lineRule="auto"/>
            </w:pPr>
            <w:r>
              <w:rPr>
                <w:b w:val="0"/>
                <w:color w:val="152E43"/>
                <w:sz w:val="18"/>
              </w:rPr>
            </w:r>
            <w:r>
              <w:rPr>
                <w:b w:val="0"/>
                <w:color w:val="152E43"/>
                <w:sz w:val="18"/>
              </w:rPr>
              <w:t>检查条纹对比度与选线；必须明确劈尖长度L及尺度，手机照片不直接给出厚度</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杨氏双缝</w:t>
            </w:r>
          </w:p>
        </w:tc>
        <w:tc>
          <w:tcPr>
            <w:tcW w:type="dxa" w:w="4082"/>
            <w:vAlign w:val="center"/>
            <w:shd w:fill="FFFFFF"/>
          </w:tcPr>
          <w:p>
            <w:pPr>
              <w:spacing w:after="40" w:before="40" w:line="269" w:lineRule="auto"/>
            </w:pPr>
            <w:r>
              <w:rPr>
                <w:b w:val="0"/>
                <w:color w:val="152E43"/>
                <w:sz w:val="18"/>
              </w:rPr>
            </w:r>
            <w:r>
              <w:rPr>
                <w:b w:val="0"/>
                <w:color w:val="152E43"/>
                <w:sz w:val="18"/>
              </w:rPr>
              <w:t>多级条纹位置拟合得到Δx，小角度条件下λ≈dΔx/L；记录缝距d和屏距L</w:t>
            </w:r>
          </w:p>
        </w:tc>
        <w:tc>
          <w:tcPr>
            <w:tcW w:type="dxa" w:w="3855"/>
            <w:vAlign w:val="center"/>
            <w:shd w:fill="FFFFFF"/>
          </w:tcPr>
          <w:p>
            <w:pPr>
              <w:spacing w:after="40" w:before="40" w:line="269" w:lineRule="auto"/>
            </w:pPr>
            <w:r>
              <w:rPr>
                <w:b w:val="0"/>
                <w:color w:val="152E43"/>
                <w:sz w:val="18"/>
              </w:rPr>
            </w:r>
            <w:r>
              <w:rPr>
                <w:b w:val="0"/>
                <w:color w:val="152E43"/>
                <w:sz w:val="18"/>
              </w:rPr>
              <w:t>屏面放置已知标尺并校正透视；裁剪和过曝导致条纹缺失时拒绝计量</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偏振实验</w:t>
            </w:r>
          </w:p>
        </w:tc>
        <w:tc>
          <w:tcPr>
            <w:tcW w:type="dxa" w:w="4082"/>
            <w:vAlign w:val="center"/>
            <w:shd w:fill="F0F5F8"/>
          </w:tcPr>
          <w:p>
            <w:pPr>
              <w:spacing w:after="40" w:before="40" w:line="269" w:lineRule="auto"/>
            </w:pPr>
            <w:r>
              <w:rPr>
                <w:b w:val="0"/>
                <w:color w:val="152E43"/>
                <w:sz w:val="18"/>
              </w:rPr>
            </w:r>
            <w:r>
              <w:rPr>
                <w:b w:val="0"/>
                <w:color w:val="152E43"/>
                <w:sz w:val="18"/>
              </w:rPr>
              <w:t>用光电探测器记录角度θ与强度I，拟合</w:t>
            </w:r>
            <m:oMath>
              <m:r>
                <m:t>I=A </m:t>
              </m:r>
              <m:sSup>
                <m:e>
                  <m:r>
                    <m:t>cos</m:t>
                  </m:r>
                </m:e>
                <m:sup>
                  <m:r>
                    <m:t>2</m:t>
                  </m:r>
                </m:sup>
              </m:sSup>
              <m:r>
                <m:t>(θ−</m:t>
              </m:r>
              <m:sSub>
                <m:e>
                  <m:r>
                    <m:t>θ</m:t>
                  </m:r>
                </m:e>
                <m:sub>
                  <m:r>
                    <m:t>0</m:t>
                  </m:r>
                </m:sub>
              </m:sSub>
              <m:r>
                <m:t>)+</m:t>
              </m:r>
              <m:sSub>
                <m:e>
                  <m:r>
                    <m:t>I</m:t>
                  </m:r>
                </m:e>
                <m:sub>
                  <m:r>
                    <m:t>bg</m:t>
                  </m:r>
                </m:sub>
              </m:sSub>
            </m:oMath>
          </w:p>
        </w:tc>
        <w:tc>
          <w:tcPr>
            <w:tcW w:type="dxa" w:w="3855"/>
            <w:vAlign w:val="center"/>
            <w:shd w:fill="F0F5F8"/>
          </w:tcPr>
          <w:p>
            <w:pPr>
              <w:spacing w:after="40" w:before="40" w:line="269" w:lineRule="auto"/>
            </w:pPr>
            <w:r>
              <w:rPr>
                <w:b w:val="0"/>
                <w:color w:val="152E43"/>
                <w:sz w:val="18"/>
              </w:rPr>
            </w:r>
            <w:r>
              <w:rPr>
                <w:b w:val="0"/>
                <w:color w:val="152E43"/>
                <w:sz w:val="18"/>
              </w:rPr>
              <w:t>提示角度漏记与背景光；不把手机自动曝光后的像素亮度当作光强</w:t>
            </w:r>
          </w:p>
        </w:tc>
      </w:tr>
    </w:tbl>
    <w:p>
      <w:pPr>
        <w:spacing w:after="20"/>
      </w:pPr>
    </w:p>
    <w:p>
      <w:pPr>
        <w:pStyle w:val="Heading2"/>
      </w:pPr>
      <w:r>
        <w:t>光学图像采集的三级配置</w:t>
      </w:r>
    </w:p>
    <w:p>
      <w:r>
        <w:t>基础配置采用手机加固定支架，采集装置、仪器读数和屏面条纹，正式数据仍以仪器读数为主。增强配置增加显微镜目镜转接支架或相机，改善牛顿环等视场成像。标准配置使用固定相机与标定板，完成像素尺度、畸变、曝光和重复性校验后，再开放定量图像测量。</w:t>
      </w:r>
    </w:p>
    <w:p>
      <w:pPr>
        <w:pStyle w:val="Heading2"/>
      </w:pPr>
      <w:r>
        <w:t>手机与外部相机的接入方式</w:t>
      </w:r>
    </w:p>
    <w:p>
      <w:r>
        <w:t>微信小程序直接调用手机相机完成拍照。对于USB显微相机、工业相机或现有UVC设备，建议由实验室电脑或边缘网关采集，通过受控接口把指定工位的图片送到后台；小程序扫码绑定工位后调取对应快照。不能假设小程序能直接读取所有USB摄像头。</w:t>
      </w:r>
    </w:p>
    <w:p>
      <w:pPr>
        <w:pStyle w:val="Heading2"/>
      </w:pPr>
      <w:r>
        <w:t>标定与课堂安全</w:t>
      </w:r>
    </w:p>
    <w:p>
      <w:r>
        <w:t>每个固定相机配置保留标定日期、倍率、焦距或工作距离、曝光设置和尺度参数。更换镜头、倍率或几何位置后重新标定，并用已知长度样件验证。涉及激光的实验执行教师规定的光路高度、遮挡和观察方式；相机识别仅提供辅助提醒，学生不得直视激光或强反射光。</w:t>
      </w:r>
    </w:p>
    <w:p>
      <w:r>
        <w:br w:type="page"/>
      </w:r>
    </w:p>
    <w:p>
      <w:pPr>
        <w:pStyle w:val="Heading1"/>
      </w:pPr>
      <w:r>
        <w:t>10  平台总体架构与现有能力复用</w:t>
      </w:r>
    </w:p>
    <w:p>
      <w:pPr>
        <w:keepNext/>
      </w:pPr>
      <w:r>
        <w:drawing>
          <wp:inline xmlns:a="http://schemas.openxmlformats.org/drawingml/2006/main" xmlns:pic="http://schemas.openxmlformats.org/drawingml/2006/picture">
            <wp:extent cx="6048000" cy="3286080"/>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48000" cy="3286080"/>
                    </a:xfrm>
                    <a:prstGeom prst="rect"/>
                  </pic:spPr>
                </pic:pic>
              </a:graphicData>
            </a:graphic>
          </wp:inline>
        </w:drawing>
      </w:r>
    </w:p>
    <w:p>
      <w:pPr>
        <w:pStyle w:val="Caption"/>
      </w:pPr>
      <w:r>
        <w:t>图4  小程序与教师端共用业务底座  视觉规则与教学解释分工协作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3685"/>
        <w:gridCol w:w="4252"/>
      </w:tblGrid>
      <w:tr>
        <w:trPr>
          <w:cantSplit/>
          <w:tblHeader/>
        </w:trPr>
        <w:tc>
          <w:tcPr>
            <w:tcW w:type="dxa" w:w="1701"/>
            <w:vAlign w:val="center"/>
            <w:shd w:fill="214B65"/>
          </w:tcPr>
          <w:p>
            <w:pPr>
              <w:spacing w:after="40" w:before="40" w:line="269" w:lineRule="auto"/>
              <w:jc w:val="center"/>
            </w:pPr>
            <w:r>
              <w:rPr>
                <w:b/>
                <w:color w:val="FFFFFF"/>
                <w:sz w:val="18"/>
              </w:rPr>
              <w:t>能力层</w:t>
            </w:r>
          </w:p>
        </w:tc>
        <w:tc>
          <w:tcPr>
            <w:tcW w:type="dxa" w:w="3685"/>
            <w:vAlign w:val="center"/>
            <w:shd w:fill="214B65"/>
          </w:tcPr>
          <w:p>
            <w:pPr>
              <w:spacing w:after="40" w:before="40" w:line="269" w:lineRule="auto"/>
            </w:pPr>
            <w:r>
              <w:rPr>
                <w:b/>
                <w:color w:val="FFFFFF"/>
                <w:sz w:val="18"/>
              </w:rPr>
              <w:t>可复用基础</w:t>
            </w:r>
          </w:p>
        </w:tc>
        <w:tc>
          <w:tcPr>
            <w:tcW w:type="dxa" w:w="4252"/>
            <w:vAlign w:val="center"/>
            <w:shd w:fill="214B65"/>
          </w:tcPr>
          <w:p>
            <w:pPr>
              <w:spacing w:after="40" w:before="40" w:line="269" w:lineRule="auto"/>
            </w:pPr>
            <w:r>
              <w:rPr>
                <w:b/>
                <w:color w:val="FFFFFF"/>
                <w:sz w:val="18"/>
              </w:rPr>
              <w:t>本次建设重点</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交互与流程</w:t>
            </w:r>
          </w:p>
        </w:tc>
        <w:tc>
          <w:tcPr>
            <w:tcW w:type="dxa" w:w="3685"/>
            <w:vAlign w:val="center"/>
            <w:shd w:fill="F0F5F8"/>
          </w:tcPr>
          <w:p>
            <w:pPr>
              <w:spacing w:after="40" w:before="40" w:line="269" w:lineRule="auto"/>
            </w:pPr>
            <w:r>
              <w:rPr>
                <w:b w:val="0"/>
                <w:color w:val="152E43"/>
                <w:sz w:val="18"/>
              </w:rPr>
            </w:r>
            <w:r>
              <w:rPr>
                <w:b w:val="0"/>
                <w:color w:val="152E43"/>
                <w:sz w:val="18"/>
              </w:rPr>
              <w:t>Vue网页、实验步骤、会话和图片求助接口</w:t>
            </w:r>
          </w:p>
        </w:tc>
        <w:tc>
          <w:tcPr>
            <w:tcW w:type="dxa" w:w="4252"/>
            <w:vAlign w:val="center"/>
            <w:shd w:fill="F0F5F8"/>
          </w:tcPr>
          <w:p>
            <w:pPr>
              <w:spacing w:after="40" w:before="40" w:line="269" w:lineRule="auto"/>
            </w:pPr>
            <w:r>
              <w:rPr>
                <w:b w:val="0"/>
                <w:color w:val="152E43"/>
                <w:sz w:val="18"/>
              </w:rPr>
            </w:r>
            <w:r>
              <w:rPr>
                <w:b w:val="0"/>
                <w:color w:val="152E43"/>
                <w:sz w:val="18"/>
              </w:rPr>
              <w:t>新建微信小程序，完善班级工位绑定与弱网体验</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教学与评价</w:t>
            </w:r>
          </w:p>
        </w:tc>
        <w:tc>
          <w:tcPr>
            <w:tcW w:type="dxa" w:w="3685"/>
            <w:vAlign w:val="center"/>
            <w:shd w:fill="FFFFFF"/>
          </w:tcPr>
          <w:p>
            <w:pPr>
              <w:spacing w:after="40" w:before="40" w:line="269" w:lineRule="auto"/>
            </w:pPr>
            <w:r>
              <w:rPr>
                <w:b w:val="0"/>
                <w:color w:val="152E43"/>
                <w:sz w:val="18"/>
              </w:rPr>
            </w:r>
            <w:r>
              <w:rPr>
                <w:b w:val="0"/>
                <w:color w:val="152E43"/>
                <w:sz w:val="18"/>
              </w:rPr>
              <w:t>Dify对接、实验知识映射、报告导出、教师接口</w:t>
            </w:r>
          </w:p>
        </w:tc>
        <w:tc>
          <w:tcPr>
            <w:tcW w:type="dxa" w:w="4252"/>
            <w:vAlign w:val="center"/>
            <w:shd w:fill="FFFFFF"/>
          </w:tcPr>
          <w:p>
            <w:pPr>
              <w:spacing w:after="40" w:before="40" w:line="269" w:lineRule="auto"/>
            </w:pPr>
            <w:r>
              <w:rPr>
                <w:b w:val="0"/>
                <w:color w:val="152E43"/>
                <w:sz w:val="18"/>
              </w:rPr>
            </w:r>
            <w:r>
              <w:rPr>
                <w:b w:val="0"/>
                <w:color w:val="152E43"/>
                <w:sz w:val="18"/>
              </w:rPr>
              <w:t>审核课程包，建立证据引用、结果复核与版本管理</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识别与计算</w:t>
            </w:r>
          </w:p>
        </w:tc>
        <w:tc>
          <w:tcPr>
            <w:tcW w:type="dxa" w:w="3685"/>
            <w:vAlign w:val="center"/>
            <w:shd w:fill="F0F5F8"/>
          </w:tcPr>
          <w:p>
            <w:pPr>
              <w:spacing w:after="40" w:before="40" w:line="269" w:lineRule="auto"/>
            </w:pPr>
            <w:r>
              <w:rPr>
                <w:b w:val="0"/>
                <w:color w:val="152E43"/>
                <w:sz w:val="18"/>
              </w:rPr>
            </w:r>
            <w:r>
              <w:rPr>
                <w:b w:val="0"/>
                <w:color w:val="152E43"/>
                <w:sz w:val="18"/>
              </w:rPr>
              <w:t>牛顿环等光学视觉规则与内容</w:t>
            </w:r>
          </w:p>
        </w:tc>
        <w:tc>
          <w:tcPr>
            <w:tcW w:type="dxa" w:w="4252"/>
            <w:vAlign w:val="center"/>
            <w:shd w:fill="F0F5F8"/>
          </w:tcPr>
          <w:p>
            <w:pPr>
              <w:spacing w:after="40" w:before="40" w:line="269" w:lineRule="auto"/>
            </w:pPr>
            <w:r>
              <w:rPr>
                <w:b w:val="0"/>
                <w:color w:val="152E43"/>
                <w:sz w:val="18"/>
              </w:rPr>
            </w:r>
            <w:r>
              <w:rPr>
                <w:b w:val="0"/>
                <w:color w:val="152E43"/>
                <w:sz w:val="18"/>
              </w:rPr>
              <w:t>新增电学拓扑检查、图像质检、确定性计算服务</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运行保障</w:t>
            </w:r>
          </w:p>
        </w:tc>
        <w:tc>
          <w:tcPr>
            <w:tcW w:type="dxa" w:w="3685"/>
            <w:vAlign w:val="center"/>
            <w:shd w:fill="FFFFFF"/>
          </w:tcPr>
          <w:p>
            <w:pPr>
              <w:spacing w:after="40" w:before="40" w:line="269" w:lineRule="auto"/>
            </w:pPr>
            <w:r>
              <w:rPr>
                <w:b w:val="0"/>
                <w:color w:val="152E43"/>
                <w:sz w:val="18"/>
              </w:rPr>
            </w:r>
            <w:r>
              <w:rPr>
                <w:b w:val="0"/>
                <w:color w:val="152E43"/>
                <w:sz w:val="18"/>
              </w:rPr>
              <w:t>Spring Boot、数据库配置和既有账户能力</w:t>
            </w:r>
          </w:p>
        </w:tc>
        <w:tc>
          <w:tcPr>
            <w:tcW w:type="dxa" w:w="4252"/>
            <w:vAlign w:val="center"/>
            <w:shd w:fill="FFFFFF"/>
          </w:tcPr>
          <w:p>
            <w:pPr>
              <w:spacing w:after="40" w:before="40" w:line="269" w:lineRule="auto"/>
            </w:pPr>
            <w:r>
              <w:rPr>
                <w:b w:val="0"/>
                <w:color w:val="152E43"/>
                <w:sz w:val="18"/>
              </w:rPr>
            </w:r>
            <w:r>
              <w:rPr>
                <w:b w:val="0"/>
                <w:color w:val="152E43"/>
                <w:sz w:val="18"/>
              </w:rPr>
              <w:t>细化课程权限、异步队列、监控、备份与压测</w:t>
            </w:r>
          </w:p>
        </w:tc>
      </w:tr>
    </w:tbl>
    <w:p>
      <w:pPr>
        <w:spacing w:after="20"/>
      </w:pPr>
    </w:p>
    <w:p>
      <w:r>
        <w:t>上述“基础”指项目文档和代码已存在相关结构，仍需联调与课堂验收。现有演示模拟响应不能作为真实识别效果；正式课堂关闭随机巡检与静默模拟兜底，模型不可用时明确提示并转为图文指导、数据记录或人工处理。[5]</w:t>
      </w:r>
    </w:p>
    <w:p>
      <w:r>
        <w:t>业务、计算、文件与模型调用采用清晰接口解耦。Dify可继续承担知识检索和教学工作流；计算结果不交由语言模型自由生成，模型也不直接取得数据库修改权限。图中是目标逻辑架构，一期可按容器或进程组合部署。</w:t>
      </w:r>
    </w:p>
    <w:p>
      <w:r>
        <w:br w:type="page"/>
      </w:r>
    </w:p>
    <w:p>
      <w:pPr>
        <w:pStyle w:val="Heading1"/>
      </w:pPr>
      <w:r>
        <w:t>11  智能体知识与实验数据的可信机制</w:t>
      </w:r>
    </w:p>
    <w:p>
      <w:pPr>
        <w:pStyle w:val="Heading2"/>
      </w:pPr>
      <w:r>
        <w:t>让每条建议能够追溯</w:t>
      </w:r>
    </w:p>
    <w:p>
      <w:r>
        <w:t>知识来源以教师审核的讲义、仪器说明书、课程规则和典型案例为主。按实验、设备型号、步骤、知识版本建立索引，回答附对应章节与证据图片。检索不到可靠内容时说明依据不足并转教师，避免混用其他学校接法或其他型号的端子规则。学生上传的图片和文字作为待分析数据，不能改写系统权限或教学规则。</w:t>
      </w:r>
    </w:p>
    <w:p>
      <w:r>
        <w:t>反馈结果至少保存：实验会话、当前步骤、图片编号、问题类别、证据位置、命中规则、建议动作、判定状态和模型版本。显示给学生的表述宜短而具体；给教师保留完整依据。模型自报的置信度不直接等同于准确率，阈值必须通过标注集校准。</w:t>
      </w:r>
    </w:p>
    <w:p>
      <w:pPr>
        <w:pStyle w:val="Heading2"/>
      </w:pPr>
      <w:r>
        <w:t>原始数据与计算结果分层保存</w:t>
      </w:r>
    </w:p>
    <w:p>
      <w:r>
        <w:t>每条测量值保存原始输入、单位、仪表量程、读数来源、图片证据、采集或录入时间、确认人和修订历史。OCR只形成候选值，学生确认后进入正式表格；修改原始值产生新版本并注明原因。疑似离群点默认保留，排除数据需教师规则或人工说明，不能为了拟合漂亮自动删除。</w:t>
      </w:r>
    </w:p>
    <w:p>
      <w:r>
        <w:t>计算服务采用版本化公式和参考测试数据，统一处理单位换算、平均值、线性拟合、残差与不确定度。双轴均有明显测量误差时，由教师选用适当拟合方法；不能对所有实验机械使用普通最小二乘。图表同时展示数据点、拟合关系和必要的误差说明。</w:t>
      </w:r>
    </w:p>
    <w:p>
      <w:pPr>
        <w:pStyle w:val="Heading2"/>
      </w:pPr>
      <w:r>
        <w:t>不确定度与有效数字</w:t>
      </w:r>
    </w:p>
    <w:p>
      <w:r>
        <w:t>重复测量按课程约定进行A类评定；仪器分辨力、准确度指标和校准信息用于B类评定。若测量模型为y＝f(x)，合成标准不确定度按灵敏度系数和协方差传播；只有输入量可视为不相关时，才省略协方差项。报告注明所用假设；给出扩展不确定度时注明覆盖因子k，不默认把所有k＝2结果都称为精确95%置信区间。[2]</w:t>
      </w:r>
    </w:p>
    <w:p>
      <w:pPr>
        <w:pStyle w:val="Heading2"/>
      </w:pPr>
      <w:r>
        <w:t>报告与教学评价</w:t>
      </w:r>
    </w:p>
    <w:p>
      <w:r>
        <w:t>报告包含可追溯数据表、计算方法、图表、过程问题和学生讨论。系统检查缺项、量纲、有效数字及结论与数据的一致性，提供分层提示；学生保留独立解释和思考题作答，教师最终确认成绩。AI建议分与教师最终分分别保存，支持回看分歧原因。</w:t>
      </w:r>
    </w:p>
    <w:p>
      <w:r>
        <w:br w:type="page"/>
      </w:r>
    </w:p>
    <w:p>
      <w:pPr>
        <w:pStyle w:val="Heading1"/>
      </w:pPr>
      <w:r>
        <w:t>12  部署条件与单机容量评估</w:t>
      </w:r>
    </w:p>
    <w:p>
      <w:r>
        <w:t>推荐试点采用校内业务与数据服务，结合校内模型服务；如需外部模型，须按校方批准范围使用并约定数据处理方式。小程序通过可访问的HTTPS入口连接后台，由网关转发到校内服务。校园Wi-Fi、移动网络与校外访问分别测试；若内网不可达且不能提供受控入口，应先解决网络方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4535"/>
        <w:gridCol w:w="3402"/>
      </w:tblGrid>
      <w:tr>
        <w:trPr>
          <w:cantSplit/>
          <w:tblHeader/>
        </w:trPr>
        <w:tc>
          <w:tcPr>
            <w:tcW w:type="dxa" w:w="1701"/>
            <w:vAlign w:val="center"/>
            <w:shd w:fill="214B65"/>
          </w:tcPr>
          <w:p>
            <w:pPr>
              <w:spacing w:after="40" w:before="40" w:line="269" w:lineRule="auto"/>
              <w:jc w:val="center"/>
            </w:pPr>
            <w:r>
              <w:rPr>
                <w:b/>
                <w:color w:val="FFFFFF"/>
                <w:sz w:val="18"/>
              </w:rPr>
              <w:t>资源项</w:t>
            </w:r>
          </w:p>
        </w:tc>
        <w:tc>
          <w:tcPr>
            <w:tcW w:type="dxa" w:w="4535"/>
            <w:vAlign w:val="center"/>
            <w:shd w:fill="214B65"/>
          </w:tcPr>
          <w:p>
            <w:pPr>
              <w:spacing w:after="40" w:before="40" w:line="269" w:lineRule="auto"/>
            </w:pPr>
            <w:r>
              <w:rPr>
                <w:b/>
                <w:color w:val="FFFFFF"/>
                <w:sz w:val="18"/>
              </w:rPr>
              <w:t>建议起点</w:t>
            </w:r>
          </w:p>
        </w:tc>
        <w:tc>
          <w:tcPr>
            <w:tcW w:type="dxa" w:w="3402"/>
            <w:vAlign w:val="center"/>
            <w:shd w:fill="214B65"/>
          </w:tcPr>
          <w:p>
            <w:pPr>
              <w:spacing w:after="40" w:before="40" w:line="269" w:lineRule="auto"/>
            </w:pPr>
            <w:r>
              <w:rPr>
                <w:b/>
                <w:color w:val="FFFFFF"/>
                <w:sz w:val="18"/>
              </w:rPr>
              <w:t>确定方法</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业务与数据</w:t>
            </w:r>
          </w:p>
        </w:tc>
        <w:tc>
          <w:tcPr>
            <w:tcW w:type="dxa" w:w="4535"/>
            <w:vAlign w:val="center"/>
            <w:shd w:fill="F0F5F8"/>
          </w:tcPr>
          <w:p>
            <w:pPr>
              <w:spacing w:after="40" w:before="40" w:line="269" w:lineRule="auto"/>
            </w:pPr>
            <w:r>
              <w:rPr>
                <w:b w:val="0"/>
                <w:color w:val="152E43"/>
                <w:sz w:val="18"/>
              </w:rPr>
            </w:r>
            <w:r>
              <w:rPr>
                <w:b w:val="0"/>
                <w:color w:val="152E43"/>
                <w:sz w:val="18"/>
              </w:rPr>
              <w:t>约8至16核CPU、32至64GB内存；数据库、文件与推理隔离资源</w:t>
            </w:r>
          </w:p>
        </w:tc>
        <w:tc>
          <w:tcPr>
            <w:tcW w:type="dxa" w:w="3402"/>
            <w:vAlign w:val="center"/>
            <w:shd w:fill="F0F5F8"/>
          </w:tcPr>
          <w:p>
            <w:pPr>
              <w:spacing w:after="40" w:before="40" w:line="269" w:lineRule="auto"/>
            </w:pPr>
            <w:r>
              <w:rPr>
                <w:b w:val="0"/>
                <w:color w:val="152E43"/>
                <w:sz w:val="18"/>
              </w:rPr>
            </w:r>
            <w:r>
              <w:rPr>
                <w:b w:val="0"/>
                <w:color w:val="152E43"/>
                <w:sz w:val="18"/>
              </w:rPr>
              <w:t>按实际软件组合和课堂压测调整，可复用校内服务器</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本地推理</w:t>
            </w:r>
          </w:p>
        </w:tc>
        <w:tc>
          <w:tcPr>
            <w:tcW w:type="dxa" w:w="4535"/>
            <w:vAlign w:val="center"/>
            <w:shd w:fill="FFFFFF"/>
          </w:tcPr>
          <w:p>
            <w:pPr>
              <w:spacing w:after="40" w:before="40" w:line="269" w:lineRule="auto"/>
            </w:pPr>
            <w:r>
              <w:rPr>
                <w:b w:val="0"/>
                <w:color w:val="152E43"/>
                <w:sz w:val="18"/>
              </w:rPr>
            </w:r>
            <w:r>
              <w:rPr>
                <w:b w:val="0"/>
                <w:color w:val="152E43"/>
                <w:sz w:val="18"/>
              </w:rPr>
              <w:t>单张24GB显存4090可作为试验配置，选定一个主要视觉模型</w:t>
            </w:r>
          </w:p>
        </w:tc>
        <w:tc>
          <w:tcPr>
            <w:tcW w:type="dxa" w:w="3402"/>
            <w:vAlign w:val="center"/>
            <w:shd w:fill="FFFFFF"/>
          </w:tcPr>
          <w:p>
            <w:pPr>
              <w:spacing w:after="40" w:before="40" w:line="269" w:lineRule="auto"/>
            </w:pPr>
            <w:r>
              <w:rPr>
                <w:b w:val="0"/>
                <w:color w:val="152E43"/>
                <w:sz w:val="18"/>
              </w:rPr>
            </w:r>
            <w:r>
              <w:rPr>
                <w:b w:val="0"/>
                <w:color w:val="152E43"/>
                <w:sz w:val="18"/>
              </w:rPr>
              <w:t>以模型权重、量化、图像尺寸、上下文与批量实测显存</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存储与备份</w:t>
            </w:r>
          </w:p>
        </w:tc>
        <w:tc>
          <w:tcPr>
            <w:tcW w:type="dxa" w:w="4535"/>
            <w:vAlign w:val="center"/>
            <w:shd w:fill="F0F5F8"/>
          </w:tcPr>
          <w:p>
            <w:pPr>
              <w:spacing w:after="40" w:before="40" w:line="269" w:lineRule="auto"/>
            </w:pPr>
            <w:r>
              <w:rPr>
                <w:b w:val="0"/>
                <w:color w:val="152E43"/>
                <w:sz w:val="18"/>
              </w:rPr>
            </w:r>
            <w:r>
              <w:rPr>
                <w:b w:val="0"/>
                <w:color w:val="152E43"/>
                <w:sz w:val="18"/>
              </w:rPr>
              <w:t>起步规划约1TB可用空间，另配置独立备份位置</w:t>
            </w:r>
          </w:p>
        </w:tc>
        <w:tc>
          <w:tcPr>
            <w:tcW w:type="dxa" w:w="3402"/>
            <w:vAlign w:val="center"/>
            <w:shd w:fill="F0F5F8"/>
          </w:tcPr>
          <w:p>
            <w:pPr>
              <w:spacing w:after="40" w:before="40" w:line="269" w:lineRule="auto"/>
            </w:pPr>
            <w:r>
              <w:rPr>
                <w:b w:val="0"/>
                <w:color w:val="152E43"/>
                <w:sz w:val="18"/>
              </w:rPr>
            </w:r>
            <w:r>
              <w:rPr>
                <w:b w:val="0"/>
                <w:color w:val="152E43"/>
                <w:sz w:val="18"/>
              </w:rPr>
              <w:t>按图像数量、保留期和增长率测算，不长期保存无用途视频</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实验台改造</w:t>
            </w:r>
          </w:p>
        </w:tc>
        <w:tc>
          <w:tcPr>
            <w:tcW w:type="dxa" w:w="4535"/>
            <w:vAlign w:val="center"/>
            <w:shd w:fill="FFFFFF"/>
          </w:tcPr>
          <w:p>
            <w:pPr>
              <w:spacing w:after="40" w:before="40" w:line="269" w:lineRule="auto"/>
            </w:pPr>
            <w:r>
              <w:rPr>
                <w:b w:val="0"/>
                <w:color w:val="152E43"/>
                <w:sz w:val="18"/>
              </w:rPr>
            </w:r>
            <w:r>
              <w:rPr>
                <w:b w:val="0"/>
                <w:color w:val="152E43"/>
                <w:sz w:val="18"/>
              </w:rPr>
              <w:t>手机支架、补光、端子标签；光学按需增加目镜转接</w:t>
            </w:r>
          </w:p>
        </w:tc>
        <w:tc>
          <w:tcPr>
            <w:tcW w:type="dxa" w:w="3402"/>
            <w:vAlign w:val="center"/>
            <w:shd w:fill="FFFFFF"/>
          </w:tcPr>
          <w:p>
            <w:pPr>
              <w:spacing w:after="40" w:before="40" w:line="269" w:lineRule="auto"/>
            </w:pPr>
            <w:r>
              <w:rPr>
                <w:b w:val="0"/>
                <w:color w:val="152E43"/>
                <w:sz w:val="18"/>
              </w:rPr>
            </w:r>
            <w:r>
              <w:rPr>
                <w:b w:val="0"/>
                <w:color w:val="152E43"/>
                <w:sz w:val="18"/>
              </w:rPr>
              <w:t>先验证1至2个样板台，再复制到试点工位</w:t>
            </w:r>
          </w:p>
        </w:tc>
      </w:tr>
    </w:tbl>
    <w:p>
      <w:pPr>
        <w:spacing w:after="20"/>
      </w:pPr>
    </w:p>
    <w:p>
      <w:pPr>
        <w:pStyle w:val="Heading2"/>
      </w:pPr>
      <w:r>
        <w:t>300余名学生不等于300路同时推理</w:t>
      </w:r>
    </w:p>
    <w:p>
      <w:r>
        <w:t>以一节课40名学生、20个双人工位作为测算场景，每工位每分钟上传1次检查请求，则到达率约为0.33次／秒。若平均占用推理服务6秒，平均需求约为2个等效并发槽位，实际容量还需留出余量；同时到达、图像增大和长回答会进一步增加排队。该计算只是负载模型，不能证明一张4090能够达到此能力。</w:t>
      </w:r>
    </w:p>
    <w:p>
      <w:r>
        <w:t>RTX 4090公开规格为24GB显存。[3] 7B至8B级量化模型可以作为候选，但可加载不代表课堂吞吐达标。显存还需容纳视觉编码、上下文缓存和运行开销。先用真实样本测试20个工位并发，记录P50／P95端到端时延、显存峰值、错误率和每分钟完成量，再决定是否增加GPU或调整部署。</w:t>
      </w:r>
    </w:p>
    <w:p>
      <w:pPr>
        <w:pStyle w:val="Heading2"/>
      </w:pPr>
      <w:r>
        <w:t>容量控制与降级</w:t>
      </w:r>
    </w:p>
    <w:p>
      <w:r>
        <w:t>采用关键步骤主动拍照、图片裁剪压缩、任务队列、请求去重和每工位限流；课堂优先处理求助，报告批阅排到课后。任务超时后显示人工求助入口，保留原始记录。按300人、每人10次实验、每次8张图片、每张0.5MB测算，原图约12GB；还需为衍生文件、日志、备份和增长留出空间。</w:t>
      </w:r>
    </w:p>
    <w:p>
      <w:r>
        <w:br w:type="page"/>
      </w:r>
    </w:p>
    <w:p>
      <w:pPr>
        <w:pStyle w:val="Heading1"/>
      </w:pPr>
      <w:r>
        <w:t>13  教师工作台与运行管理</w:t>
      </w:r>
    </w:p>
    <w:p>
      <w:pPr>
        <w:pStyle w:val="Heading2"/>
      </w:pPr>
      <w:r>
        <w:t>把教师注意力放在需要帮助的工位</w:t>
      </w:r>
    </w:p>
    <w:p>
      <w:r>
        <w:t>课堂看板显示实验进度、最近一次求助、重复错误和数据异常，按教师设定的优先级排序。没有采集证据时显示“尚未检查”，不能显示“安全正常”。教师点击工位可看到当前步骤、证据图、AI建议和学生已采取的动作，能够标记已解决、继续观察或现场处理。</w:t>
      </w:r>
    </w:p>
    <w:p>
      <w:r>
        <w:t>演示示范由教师选择审核过的视频、仪器图或当前案例进行投屏；展示学生案例时隐藏姓名等无关信息。问题可按实验步骤聚合，教师一次讲解后，学生完成复测并回传结果，形成可查看的处理闭环。学生可以指出AI建议不正确，反馈进入待审队列。</w:t>
      </w:r>
    </w:p>
    <w:p>
      <w:pPr>
        <w:pStyle w:val="Heading2"/>
      </w:pPr>
      <w:r>
        <w:t>过程评价的建议结构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8"/>
        <w:gridCol w:w="1701"/>
        <w:gridCol w:w="5669"/>
      </w:tblGrid>
      <w:tr>
        <w:trPr>
          <w:cantSplit/>
          <w:tblHeader/>
        </w:trPr>
        <w:tc>
          <w:tcPr>
            <w:tcW w:type="dxa" w:w="2268"/>
            <w:vAlign w:val="center"/>
            <w:shd w:fill="214B65"/>
          </w:tcPr>
          <w:p>
            <w:pPr>
              <w:spacing w:after="40" w:before="40" w:line="269" w:lineRule="auto"/>
              <w:jc w:val="center"/>
            </w:pPr>
            <w:r>
              <w:rPr>
                <w:b/>
                <w:color w:val="FFFFFF"/>
                <w:sz w:val="18"/>
              </w:rPr>
              <w:t>评价维度</w:t>
            </w:r>
          </w:p>
        </w:tc>
        <w:tc>
          <w:tcPr>
            <w:tcW w:type="dxa" w:w="1701"/>
            <w:vAlign w:val="center"/>
            <w:shd w:fill="214B65"/>
          </w:tcPr>
          <w:p>
            <w:pPr>
              <w:spacing w:after="40" w:before="40" w:line="269" w:lineRule="auto"/>
            </w:pPr>
            <w:r>
              <w:rPr>
                <w:b/>
                <w:color w:val="FFFFFF"/>
                <w:sz w:val="18"/>
              </w:rPr>
              <w:t>建议权重</w:t>
            </w:r>
          </w:p>
        </w:tc>
        <w:tc>
          <w:tcPr>
            <w:tcW w:type="dxa" w:w="5669"/>
            <w:vAlign w:val="center"/>
            <w:shd w:fill="214B65"/>
          </w:tcPr>
          <w:p>
            <w:pPr>
              <w:spacing w:after="40" w:before="40" w:line="269" w:lineRule="auto"/>
            </w:pPr>
            <w:r>
              <w:rPr>
                <w:b/>
                <w:color w:val="FFFFFF"/>
                <w:sz w:val="18"/>
              </w:rPr>
              <w:t>依据</w:t>
            </w:r>
          </w:p>
        </w:tc>
      </w:tr>
      <w:tr>
        <w:trPr>
          <w:cantSplit/>
        </w:trPr>
        <w:tc>
          <w:tcPr>
            <w:tcW w:type="dxa" w:w="2268"/>
            <w:vAlign w:val="center"/>
            <w:shd w:fill="F0F5F8"/>
          </w:tcPr>
          <w:p>
            <w:pPr>
              <w:spacing w:after="40" w:before="40" w:line="269" w:lineRule="auto"/>
              <w:jc w:val="center"/>
            </w:pPr>
            <w:r>
              <w:rPr>
                <w:b w:val="0"/>
                <w:color w:val="152E43"/>
                <w:sz w:val="18"/>
              </w:rPr>
            </w:r>
            <w:r>
              <w:rPr>
                <w:b w:val="0"/>
                <w:color w:val="152E43"/>
                <w:sz w:val="18"/>
              </w:rPr>
              <w:t>预习准备</w:t>
            </w:r>
          </w:p>
        </w:tc>
        <w:tc>
          <w:tcPr>
            <w:tcW w:type="dxa" w:w="1701"/>
            <w:vAlign w:val="center"/>
            <w:shd w:fill="F0F5F8"/>
          </w:tcPr>
          <w:p>
            <w:pPr>
              <w:spacing w:after="40" w:before="40" w:line="269" w:lineRule="auto"/>
            </w:pPr>
            <w:r>
              <w:rPr>
                <w:b w:val="0"/>
                <w:color w:val="152E43"/>
                <w:sz w:val="18"/>
              </w:rPr>
            </w:r>
            <w:r>
              <w:rPr>
                <w:b w:val="0"/>
                <w:color w:val="152E43"/>
                <w:sz w:val="18"/>
              </w:rPr>
              <w:t>10%</w:t>
            </w:r>
          </w:p>
        </w:tc>
        <w:tc>
          <w:tcPr>
            <w:tcW w:type="dxa" w:w="5669"/>
            <w:vAlign w:val="center"/>
            <w:shd w:fill="F0F5F8"/>
          </w:tcPr>
          <w:p>
            <w:pPr>
              <w:spacing w:after="40" w:before="40" w:line="269" w:lineRule="auto"/>
            </w:pPr>
            <w:r>
              <w:rPr>
                <w:b w:val="0"/>
                <w:color w:val="152E43"/>
                <w:sz w:val="18"/>
              </w:rPr>
            </w:r>
            <w:r>
              <w:rPr>
                <w:b w:val="0"/>
                <w:color w:val="152E43"/>
                <w:sz w:val="18"/>
              </w:rPr>
              <w:t>基础概念短测和准备情况</w:t>
            </w:r>
          </w:p>
        </w:tc>
      </w:tr>
      <w:tr>
        <w:trPr>
          <w:cantSplit/>
        </w:trPr>
        <w:tc>
          <w:tcPr>
            <w:tcW w:type="dxa" w:w="2268"/>
            <w:vAlign w:val="center"/>
            <w:shd w:fill="FFFFFF"/>
          </w:tcPr>
          <w:p>
            <w:pPr>
              <w:spacing w:after="40" w:before="40" w:line="269" w:lineRule="auto"/>
              <w:jc w:val="center"/>
            </w:pPr>
            <w:r>
              <w:rPr>
                <w:b w:val="0"/>
                <w:color w:val="152E43"/>
                <w:sz w:val="18"/>
              </w:rPr>
            </w:r>
            <w:r>
              <w:rPr>
                <w:b w:val="0"/>
                <w:color w:val="152E43"/>
                <w:sz w:val="18"/>
              </w:rPr>
              <w:t>操作与过程</w:t>
            </w:r>
          </w:p>
        </w:tc>
        <w:tc>
          <w:tcPr>
            <w:tcW w:type="dxa" w:w="1701"/>
            <w:vAlign w:val="center"/>
            <w:shd w:fill="FFFFFF"/>
          </w:tcPr>
          <w:p>
            <w:pPr>
              <w:spacing w:after="40" w:before="40" w:line="269" w:lineRule="auto"/>
            </w:pPr>
            <w:r>
              <w:rPr>
                <w:b w:val="0"/>
                <w:color w:val="152E43"/>
                <w:sz w:val="18"/>
              </w:rPr>
            </w:r>
            <w:r>
              <w:rPr>
                <w:b w:val="0"/>
                <w:color w:val="152E43"/>
                <w:sz w:val="18"/>
              </w:rPr>
              <w:t>30%</w:t>
            </w:r>
          </w:p>
        </w:tc>
        <w:tc>
          <w:tcPr>
            <w:tcW w:type="dxa" w:w="5669"/>
            <w:vAlign w:val="center"/>
            <w:shd w:fill="FFFFFF"/>
          </w:tcPr>
          <w:p>
            <w:pPr>
              <w:spacing w:after="40" w:before="40" w:line="269" w:lineRule="auto"/>
            </w:pPr>
            <w:r>
              <w:rPr>
                <w:b w:val="0"/>
                <w:color w:val="152E43"/>
                <w:sz w:val="18"/>
              </w:rPr>
            </w:r>
            <w:r>
              <w:rPr>
                <w:b w:val="0"/>
                <w:color w:val="152E43"/>
                <w:sz w:val="18"/>
              </w:rPr>
              <w:t>教师观察、关键检查与纠错记录</w:t>
            </w:r>
          </w:p>
        </w:tc>
      </w:tr>
      <w:tr>
        <w:trPr>
          <w:cantSplit/>
        </w:trPr>
        <w:tc>
          <w:tcPr>
            <w:tcW w:type="dxa" w:w="2268"/>
            <w:vAlign w:val="center"/>
            <w:shd w:fill="F0F5F8"/>
          </w:tcPr>
          <w:p>
            <w:pPr>
              <w:spacing w:after="40" w:before="40" w:line="269" w:lineRule="auto"/>
              <w:jc w:val="center"/>
            </w:pPr>
            <w:r>
              <w:rPr>
                <w:b w:val="0"/>
                <w:color w:val="152E43"/>
                <w:sz w:val="18"/>
              </w:rPr>
            </w:r>
            <w:r>
              <w:rPr>
                <w:b w:val="0"/>
                <w:color w:val="152E43"/>
                <w:sz w:val="18"/>
              </w:rPr>
              <w:t>数据与分析</w:t>
            </w:r>
          </w:p>
        </w:tc>
        <w:tc>
          <w:tcPr>
            <w:tcW w:type="dxa" w:w="1701"/>
            <w:vAlign w:val="center"/>
            <w:shd w:fill="F0F5F8"/>
          </w:tcPr>
          <w:p>
            <w:pPr>
              <w:spacing w:after="40" w:before="40" w:line="269" w:lineRule="auto"/>
            </w:pPr>
            <w:r>
              <w:rPr>
                <w:b w:val="0"/>
                <w:color w:val="152E43"/>
                <w:sz w:val="18"/>
              </w:rPr>
            </w:r>
            <w:r>
              <w:rPr>
                <w:b w:val="0"/>
                <w:color w:val="152E43"/>
                <w:sz w:val="18"/>
              </w:rPr>
              <w:t>35%</w:t>
            </w:r>
          </w:p>
        </w:tc>
        <w:tc>
          <w:tcPr>
            <w:tcW w:type="dxa" w:w="5669"/>
            <w:vAlign w:val="center"/>
            <w:shd w:fill="F0F5F8"/>
          </w:tcPr>
          <w:p>
            <w:pPr>
              <w:spacing w:after="40" w:before="40" w:line="269" w:lineRule="auto"/>
            </w:pPr>
            <w:r>
              <w:rPr>
                <w:b w:val="0"/>
                <w:color w:val="152E43"/>
                <w:sz w:val="18"/>
              </w:rPr>
            </w:r>
            <w:r>
              <w:rPr>
                <w:b w:val="0"/>
                <w:color w:val="152E43"/>
                <w:sz w:val="18"/>
              </w:rPr>
              <w:t>记录完整性、计算正确性、误差讨论</w:t>
            </w:r>
          </w:p>
        </w:tc>
      </w:tr>
      <w:tr>
        <w:trPr>
          <w:cantSplit/>
        </w:trPr>
        <w:tc>
          <w:tcPr>
            <w:tcW w:type="dxa" w:w="2268"/>
            <w:vAlign w:val="center"/>
            <w:shd w:fill="FFFFFF"/>
          </w:tcPr>
          <w:p>
            <w:pPr>
              <w:spacing w:after="40" w:before="40" w:line="269" w:lineRule="auto"/>
              <w:jc w:val="center"/>
            </w:pPr>
            <w:r>
              <w:rPr>
                <w:b w:val="0"/>
                <w:color w:val="152E43"/>
                <w:sz w:val="18"/>
              </w:rPr>
            </w:r>
            <w:r>
              <w:rPr>
                <w:b w:val="0"/>
                <w:color w:val="152E43"/>
                <w:sz w:val="18"/>
              </w:rPr>
              <w:t>报告与反思</w:t>
            </w:r>
          </w:p>
        </w:tc>
        <w:tc>
          <w:tcPr>
            <w:tcW w:type="dxa" w:w="1701"/>
            <w:vAlign w:val="center"/>
            <w:shd w:fill="FFFFFF"/>
          </w:tcPr>
          <w:p>
            <w:pPr>
              <w:spacing w:after="40" w:before="40" w:line="269" w:lineRule="auto"/>
            </w:pPr>
            <w:r>
              <w:rPr>
                <w:b w:val="0"/>
                <w:color w:val="152E43"/>
                <w:sz w:val="18"/>
              </w:rPr>
            </w:r>
            <w:r>
              <w:rPr>
                <w:b w:val="0"/>
                <w:color w:val="152E43"/>
                <w:sz w:val="18"/>
              </w:rPr>
              <w:t>25%</w:t>
            </w:r>
          </w:p>
        </w:tc>
        <w:tc>
          <w:tcPr>
            <w:tcW w:type="dxa" w:w="5669"/>
            <w:vAlign w:val="center"/>
            <w:shd w:fill="FFFFFF"/>
          </w:tcPr>
          <w:p>
            <w:pPr>
              <w:spacing w:after="40" w:before="40" w:line="269" w:lineRule="auto"/>
            </w:pPr>
            <w:r>
              <w:rPr>
                <w:b w:val="0"/>
                <w:color w:val="152E43"/>
                <w:sz w:val="18"/>
              </w:rPr>
            </w:r>
            <w:r>
              <w:rPr>
                <w:b w:val="0"/>
                <w:color w:val="152E43"/>
                <w:sz w:val="18"/>
              </w:rPr>
              <w:t>结论与证据一致性、独立解释和复盘</w:t>
            </w:r>
          </w:p>
        </w:tc>
      </w:tr>
    </w:tbl>
    <w:p>
      <w:pPr>
        <w:spacing w:after="20"/>
      </w:pPr>
    </w:p>
    <w:p>
      <w:r>
        <w:t>权重仅为讨论起点，按课程规则调整；不依据聊天次数或被提示次数直接扣分，避免惩罚主动求助。缺少证据不能自动推断为未操作，涉及成绩的争议由教师处理。</w:t>
      </w:r>
    </w:p>
    <w:p>
      <w:pPr>
        <w:pStyle w:val="Heading2"/>
      </w:pPr>
      <w:r>
        <w:t>权限与数据管理</w:t>
      </w:r>
    </w:p>
    <w:p>
      <w:r>
        <w:t>学生只访问自己或授权小组的数据；教师按授课班级访问，管理员管理设备与服务。组内操作明确记录操作者，禁止共用身份。图片和报告采用授权访问、传输加密和有限时效下载地址；模型密钥放在服务端，不进入小程序。采集以台面与仪器为主，避免无关人脸和音频。</w:t>
      </w:r>
    </w:p>
    <w:p>
      <w:r>
        <w:t>建议课堂图片默认保留至课程结束后的申诉处理期，成绩与报告按学校归档要求保存，期限由校方确认后配置。日常数据不默认用于模型训练；用于优化的样本需完成相应授权与去标识处理。上线前演练备份恢复、误上传删除和账户停用，建立课堂故障联系人及模型回退机制。</w:t>
      </w:r>
    </w:p>
    <w:p>
      <w:r>
        <w:br w:type="page"/>
      </w:r>
    </w:p>
    <w:p>
      <w:pPr>
        <w:pStyle w:val="Heading1"/>
      </w:pPr>
      <w:r>
        <w:t>14  实施计划与交付资源</w:t>
      </w:r>
    </w:p>
    <w:p>
      <w:r>
        <w:t>建议按14至16周组织一期建设，前提是实验设备、课程资料、教师审核时间与网络入口能够及时落实。各阶段以可现场演示和可验收的成果作为结束条件；设备或网络变化时调整计划，不以排期替代质量判断。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84"/>
        <w:gridCol w:w="1701"/>
        <w:gridCol w:w="5953"/>
      </w:tblGrid>
      <w:tr>
        <w:trPr>
          <w:cantSplit/>
          <w:tblHeader/>
        </w:trPr>
        <w:tc>
          <w:tcPr>
            <w:tcW w:type="dxa" w:w="1984"/>
            <w:vAlign w:val="center"/>
            <w:shd w:fill="214B65"/>
          </w:tcPr>
          <w:p>
            <w:pPr>
              <w:spacing w:after="40" w:before="40" w:line="269" w:lineRule="auto"/>
              <w:jc w:val="center"/>
            </w:pPr>
            <w:r>
              <w:rPr>
                <w:b/>
                <w:color w:val="FFFFFF"/>
                <w:sz w:val="18"/>
              </w:rPr>
              <w:t>阶段</w:t>
            </w:r>
          </w:p>
        </w:tc>
        <w:tc>
          <w:tcPr>
            <w:tcW w:type="dxa" w:w="1701"/>
            <w:vAlign w:val="center"/>
            <w:shd w:fill="214B65"/>
          </w:tcPr>
          <w:p>
            <w:pPr>
              <w:spacing w:after="40" w:before="40" w:line="269" w:lineRule="auto"/>
            </w:pPr>
            <w:r>
              <w:rPr>
                <w:b/>
                <w:color w:val="FFFFFF"/>
                <w:sz w:val="18"/>
              </w:rPr>
              <w:t>建议时间</w:t>
            </w:r>
          </w:p>
        </w:tc>
        <w:tc>
          <w:tcPr>
            <w:tcW w:type="dxa" w:w="5953"/>
            <w:vAlign w:val="center"/>
            <w:shd w:fill="214B65"/>
          </w:tcPr>
          <w:p>
            <w:pPr>
              <w:spacing w:after="40" w:before="40" w:line="269" w:lineRule="auto"/>
            </w:pPr>
            <w:r>
              <w:rPr>
                <w:b/>
                <w:color w:val="FFFFFF"/>
                <w:sz w:val="18"/>
              </w:rPr>
              <w:t>主要产物与阶段门槛</w:t>
            </w:r>
          </w:p>
        </w:tc>
      </w:tr>
      <w:tr>
        <w:trPr>
          <w:cantSplit/>
        </w:trPr>
        <w:tc>
          <w:tcPr>
            <w:tcW w:type="dxa" w:w="1984"/>
            <w:vAlign w:val="center"/>
            <w:shd w:fill="F0F5F8"/>
          </w:tcPr>
          <w:p>
            <w:pPr>
              <w:spacing w:after="40" w:before="40" w:line="269" w:lineRule="auto"/>
              <w:jc w:val="center"/>
            </w:pPr>
            <w:r>
              <w:rPr>
                <w:b w:val="0"/>
                <w:color w:val="152E43"/>
                <w:sz w:val="18"/>
              </w:rPr>
            </w:r>
            <w:r>
              <w:rPr>
                <w:b w:val="0"/>
                <w:color w:val="152E43"/>
                <w:sz w:val="18"/>
              </w:rPr>
              <w:t>需求与基线</w:t>
            </w:r>
          </w:p>
        </w:tc>
        <w:tc>
          <w:tcPr>
            <w:tcW w:type="dxa" w:w="1701"/>
            <w:vAlign w:val="center"/>
            <w:shd w:fill="F0F5F8"/>
          </w:tcPr>
          <w:p>
            <w:pPr>
              <w:spacing w:after="40" w:before="40" w:line="269" w:lineRule="auto"/>
            </w:pPr>
            <w:r>
              <w:rPr>
                <w:b w:val="0"/>
                <w:color w:val="152E43"/>
                <w:sz w:val="18"/>
              </w:rPr>
            </w:r>
            <w:r>
              <w:rPr>
                <w:b w:val="0"/>
                <w:color w:val="152E43"/>
                <w:sz w:val="18"/>
              </w:rPr>
              <w:t>第1至2周</w:t>
            </w:r>
          </w:p>
        </w:tc>
        <w:tc>
          <w:tcPr>
            <w:tcW w:type="dxa" w:w="5953"/>
            <w:vAlign w:val="center"/>
            <w:shd w:fill="F0F5F8"/>
          </w:tcPr>
          <w:p>
            <w:pPr>
              <w:spacing w:after="40" w:before="40" w:line="269" w:lineRule="auto"/>
            </w:pPr>
            <w:r>
              <w:rPr>
                <w:b w:val="0"/>
                <w:color w:val="152E43"/>
                <w:sz w:val="18"/>
              </w:rPr>
            </w:r>
            <w:r>
              <w:rPr>
                <w:b w:val="0"/>
                <w:color w:val="152E43"/>
                <w:sz w:val="18"/>
              </w:rPr>
              <w:t>确认2个样板、设备与流程；完成工位拍摄和网络可达性验证</w:t>
            </w:r>
          </w:p>
        </w:tc>
      </w:tr>
      <w:tr>
        <w:trPr>
          <w:cantSplit/>
        </w:trPr>
        <w:tc>
          <w:tcPr>
            <w:tcW w:type="dxa" w:w="1984"/>
            <w:vAlign w:val="center"/>
            <w:shd w:fill="FFFFFF"/>
          </w:tcPr>
          <w:p>
            <w:pPr>
              <w:spacing w:after="40" w:before="40" w:line="269" w:lineRule="auto"/>
              <w:jc w:val="center"/>
            </w:pPr>
            <w:r>
              <w:rPr>
                <w:b w:val="0"/>
                <w:color w:val="152E43"/>
                <w:sz w:val="18"/>
              </w:rPr>
            </w:r>
            <w:r>
              <w:rPr>
                <w:b w:val="0"/>
                <w:color w:val="152E43"/>
                <w:sz w:val="18"/>
              </w:rPr>
              <w:t>小程序与内容</w:t>
            </w:r>
          </w:p>
        </w:tc>
        <w:tc>
          <w:tcPr>
            <w:tcW w:type="dxa" w:w="1701"/>
            <w:vAlign w:val="center"/>
            <w:shd w:fill="FFFFFF"/>
          </w:tcPr>
          <w:p>
            <w:pPr>
              <w:spacing w:after="40" w:before="40" w:line="269" w:lineRule="auto"/>
            </w:pPr>
            <w:r>
              <w:rPr>
                <w:b w:val="0"/>
                <w:color w:val="152E43"/>
                <w:sz w:val="18"/>
              </w:rPr>
            </w:r>
            <w:r>
              <w:rPr>
                <w:b w:val="0"/>
                <w:color w:val="152E43"/>
                <w:sz w:val="18"/>
              </w:rPr>
              <w:t>第3至5周</w:t>
            </w:r>
          </w:p>
        </w:tc>
        <w:tc>
          <w:tcPr>
            <w:tcW w:type="dxa" w:w="5953"/>
            <w:vAlign w:val="center"/>
            <w:shd w:fill="FFFFFF"/>
          </w:tcPr>
          <w:p>
            <w:pPr>
              <w:spacing w:after="40" w:before="40" w:line="269" w:lineRule="auto"/>
            </w:pPr>
            <w:r>
              <w:rPr>
                <w:b w:val="0"/>
                <w:color w:val="152E43"/>
                <w:sz w:val="18"/>
              </w:rPr>
            </w:r>
            <w:r>
              <w:rPr>
                <w:b w:val="0"/>
                <w:color w:val="152E43"/>
                <w:sz w:val="18"/>
              </w:rPr>
              <w:t>扫码、预习、步骤、采集和记录闭环；教师审核课程包</w:t>
            </w:r>
          </w:p>
        </w:tc>
      </w:tr>
      <w:tr>
        <w:trPr>
          <w:cantSplit/>
        </w:trPr>
        <w:tc>
          <w:tcPr>
            <w:tcW w:type="dxa" w:w="1984"/>
            <w:vAlign w:val="center"/>
            <w:shd w:fill="F0F5F8"/>
          </w:tcPr>
          <w:p>
            <w:pPr>
              <w:spacing w:after="40" w:before="40" w:line="269" w:lineRule="auto"/>
              <w:jc w:val="center"/>
            </w:pPr>
            <w:r>
              <w:rPr>
                <w:b w:val="0"/>
                <w:color w:val="152E43"/>
                <w:sz w:val="18"/>
              </w:rPr>
            </w:r>
            <w:r>
              <w:rPr>
                <w:b w:val="0"/>
                <w:color w:val="152E43"/>
                <w:sz w:val="18"/>
              </w:rPr>
              <w:t>识别与计算</w:t>
            </w:r>
          </w:p>
        </w:tc>
        <w:tc>
          <w:tcPr>
            <w:tcW w:type="dxa" w:w="1701"/>
            <w:vAlign w:val="center"/>
            <w:shd w:fill="F0F5F8"/>
          </w:tcPr>
          <w:p>
            <w:pPr>
              <w:spacing w:after="40" w:before="40" w:line="269" w:lineRule="auto"/>
            </w:pPr>
            <w:r>
              <w:rPr>
                <w:b w:val="0"/>
                <w:color w:val="152E43"/>
                <w:sz w:val="18"/>
              </w:rPr>
            </w:r>
            <w:r>
              <w:rPr>
                <w:b w:val="0"/>
                <w:color w:val="152E43"/>
                <w:sz w:val="18"/>
              </w:rPr>
              <w:t>第6至9周</w:t>
            </w:r>
          </w:p>
        </w:tc>
        <w:tc>
          <w:tcPr>
            <w:tcW w:type="dxa" w:w="5953"/>
            <w:vAlign w:val="center"/>
            <w:shd w:fill="F0F5F8"/>
          </w:tcPr>
          <w:p>
            <w:pPr>
              <w:spacing w:after="40" w:before="40" w:line="269" w:lineRule="auto"/>
            </w:pPr>
            <w:r>
              <w:rPr>
                <w:b w:val="0"/>
                <w:color w:val="152E43"/>
                <w:sz w:val="18"/>
              </w:rPr>
            </w:r>
            <w:r>
              <w:rPr>
                <w:b w:val="0"/>
                <w:color w:val="152E43"/>
                <w:sz w:val="18"/>
              </w:rPr>
              <w:t>接线检查、光学辅助、计算与证据追溯；通过离线盲测</w:t>
            </w:r>
          </w:p>
        </w:tc>
      </w:tr>
      <w:tr>
        <w:trPr>
          <w:cantSplit/>
        </w:trPr>
        <w:tc>
          <w:tcPr>
            <w:tcW w:type="dxa" w:w="1984"/>
            <w:vAlign w:val="center"/>
            <w:shd w:fill="FFFFFF"/>
          </w:tcPr>
          <w:p>
            <w:pPr>
              <w:spacing w:after="40" w:before="40" w:line="269" w:lineRule="auto"/>
              <w:jc w:val="center"/>
            </w:pPr>
            <w:r>
              <w:rPr>
                <w:b w:val="0"/>
                <w:color w:val="152E43"/>
                <w:sz w:val="18"/>
              </w:rPr>
            </w:r>
            <w:r>
              <w:rPr>
                <w:b w:val="0"/>
                <w:color w:val="152E43"/>
                <w:sz w:val="18"/>
              </w:rPr>
              <w:t>联调与试讲</w:t>
            </w:r>
          </w:p>
        </w:tc>
        <w:tc>
          <w:tcPr>
            <w:tcW w:type="dxa" w:w="1701"/>
            <w:vAlign w:val="center"/>
            <w:shd w:fill="FFFFFF"/>
          </w:tcPr>
          <w:p>
            <w:pPr>
              <w:spacing w:after="40" w:before="40" w:line="269" w:lineRule="auto"/>
            </w:pPr>
            <w:r>
              <w:rPr>
                <w:b w:val="0"/>
                <w:color w:val="152E43"/>
                <w:sz w:val="18"/>
              </w:rPr>
            </w:r>
            <w:r>
              <w:rPr>
                <w:b w:val="0"/>
                <w:color w:val="152E43"/>
                <w:sz w:val="18"/>
              </w:rPr>
              <w:t>第10至12周</w:t>
            </w:r>
          </w:p>
        </w:tc>
        <w:tc>
          <w:tcPr>
            <w:tcW w:type="dxa" w:w="5953"/>
            <w:vAlign w:val="center"/>
            <w:shd w:fill="FFFFFF"/>
          </w:tcPr>
          <w:p>
            <w:pPr>
              <w:spacing w:after="40" w:before="40" w:line="269" w:lineRule="auto"/>
            </w:pPr>
            <w:r>
              <w:rPr>
                <w:b w:val="0"/>
                <w:color w:val="152E43"/>
                <w:sz w:val="18"/>
              </w:rPr>
            </w:r>
            <w:r>
              <w:rPr>
                <w:b w:val="0"/>
                <w:color w:val="152E43"/>
                <w:sz w:val="18"/>
              </w:rPr>
              <w:t>教师工作台、报告和降级；20工位负载测试及试讲</w:t>
            </w:r>
          </w:p>
        </w:tc>
      </w:tr>
      <w:tr>
        <w:trPr>
          <w:cantSplit/>
        </w:trPr>
        <w:tc>
          <w:tcPr>
            <w:tcW w:type="dxa" w:w="1984"/>
            <w:vAlign w:val="center"/>
            <w:shd w:fill="F0F5F8"/>
          </w:tcPr>
          <w:p>
            <w:pPr>
              <w:spacing w:after="40" w:before="40" w:line="269" w:lineRule="auto"/>
              <w:jc w:val="center"/>
            </w:pPr>
            <w:r>
              <w:rPr>
                <w:b w:val="0"/>
                <w:color w:val="152E43"/>
                <w:sz w:val="18"/>
              </w:rPr>
            </w:r>
            <w:r>
              <w:rPr>
                <w:b w:val="0"/>
                <w:color w:val="152E43"/>
                <w:sz w:val="18"/>
              </w:rPr>
              <w:t>真实课堂试点</w:t>
            </w:r>
          </w:p>
        </w:tc>
        <w:tc>
          <w:tcPr>
            <w:tcW w:type="dxa" w:w="1701"/>
            <w:vAlign w:val="center"/>
            <w:shd w:fill="F0F5F8"/>
          </w:tcPr>
          <w:p>
            <w:pPr>
              <w:spacing w:after="40" w:before="40" w:line="269" w:lineRule="auto"/>
            </w:pPr>
            <w:r>
              <w:rPr>
                <w:b w:val="0"/>
                <w:color w:val="152E43"/>
                <w:sz w:val="18"/>
              </w:rPr>
            </w:r>
            <w:r>
              <w:rPr>
                <w:b w:val="0"/>
                <w:color w:val="152E43"/>
                <w:sz w:val="18"/>
              </w:rPr>
              <w:t>第13至14周</w:t>
            </w:r>
          </w:p>
        </w:tc>
        <w:tc>
          <w:tcPr>
            <w:tcW w:type="dxa" w:w="5953"/>
            <w:vAlign w:val="center"/>
            <w:shd w:fill="F0F5F8"/>
          </w:tcPr>
          <w:p>
            <w:pPr>
              <w:spacing w:after="40" w:before="40" w:line="269" w:lineRule="auto"/>
            </w:pPr>
            <w:r>
              <w:rPr>
                <w:b w:val="0"/>
                <w:color w:val="152E43"/>
                <w:sz w:val="18"/>
              </w:rPr>
            </w:r>
            <w:r>
              <w:rPr>
                <w:b w:val="0"/>
                <w:color w:val="152E43"/>
                <w:sz w:val="18"/>
              </w:rPr>
              <w:t>1至2个班使用，统计误判、时延、复核量与教学反馈</w:t>
            </w:r>
          </w:p>
        </w:tc>
      </w:tr>
      <w:tr>
        <w:trPr>
          <w:cantSplit/>
        </w:trPr>
        <w:tc>
          <w:tcPr>
            <w:tcW w:type="dxa" w:w="1984"/>
            <w:vAlign w:val="center"/>
            <w:shd w:fill="FFFFFF"/>
          </w:tcPr>
          <w:p>
            <w:pPr>
              <w:spacing w:after="40" w:before="40" w:line="269" w:lineRule="auto"/>
              <w:jc w:val="center"/>
            </w:pPr>
            <w:r>
              <w:rPr>
                <w:b w:val="0"/>
                <w:color w:val="152E43"/>
                <w:sz w:val="18"/>
              </w:rPr>
            </w:r>
            <w:r>
              <w:rPr>
                <w:b w:val="0"/>
                <w:color w:val="152E43"/>
                <w:sz w:val="18"/>
              </w:rPr>
              <w:t>整改与验收</w:t>
            </w:r>
          </w:p>
        </w:tc>
        <w:tc>
          <w:tcPr>
            <w:tcW w:type="dxa" w:w="1701"/>
            <w:vAlign w:val="center"/>
            <w:shd w:fill="FFFFFF"/>
          </w:tcPr>
          <w:p>
            <w:pPr>
              <w:spacing w:after="40" w:before="40" w:line="269" w:lineRule="auto"/>
            </w:pPr>
            <w:r>
              <w:rPr>
                <w:b w:val="0"/>
                <w:color w:val="152E43"/>
                <w:sz w:val="18"/>
              </w:rPr>
            </w:r>
            <w:r>
              <w:rPr>
                <w:b w:val="0"/>
                <w:color w:val="152E43"/>
                <w:sz w:val="18"/>
              </w:rPr>
              <w:t>第15至16周</w:t>
            </w:r>
          </w:p>
        </w:tc>
        <w:tc>
          <w:tcPr>
            <w:tcW w:type="dxa" w:w="5953"/>
            <w:vAlign w:val="center"/>
            <w:shd w:fill="FFFFFF"/>
          </w:tcPr>
          <w:p>
            <w:pPr>
              <w:spacing w:after="40" w:before="40" w:line="269" w:lineRule="auto"/>
            </w:pPr>
            <w:r>
              <w:rPr>
                <w:b w:val="0"/>
                <w:color w:val="152E43"/>
                <w:sz w:val="18"/>
              </w:rPr>
            </w:r>
            <w:r>
              <w:rPr>
                <w:b w:val="0"/>
                <w:color w:val="152E43"/>
                <w:sz w:val="18"/>
              </w:rPr>
              <w:t>修复问题、验收回归、培训、运维交接与扩展建议</w:t>
            </w:r>
          </w:p>
        </w:tc>
      </w:tr>
    </w:tbl>
    <w:p>
      <w:pPr>
        <w:spacing w:after="20"/>
      </w:pPr>
    </w:p>
    <w:p>
      <w:pPr>
        <w:pStyle w:val="Heading2"/>
      </w:pPr>
      <w:r>
        <w:t>人员投入与成本构成</w:t>
      </w:r>
    </w:p>
    <w:p>
      <w:r>
        <w:t>建议配置产品或教学设计负责人、前端开发、后端开发、视觉与算法人员，以及阶段性测试和部署支持。以复用现有工程为前提，软件与算法工作量可按约45至60人周作为早期估算，包含样板适配与一轮课堂整改；该值不是报价或交付承诺。学校指定课程负责人、实验技术教师和信息化联系人参与审核及试点。</w:t>
      </w:r>
    </w:p>
    <w:p>
      <w:r>
        <w:t>费用按软件适配、实验教学包、视觉样本标注、硬件与工位改造、部署测试及年度运维分别核算。复用校内服务器时仅核算增量配置；模型接口费按调用量单列，GPU采购以实测需求和正式询价为准。新增实验与新增设备型号按适配复杂度另行估算。</w:t>
      </w:r>
    </w:p>
    <w:p>
      <w:pPr>
        <w:pStyle w:val="Heading2"/>
      </w:pPr>
      <w:r>
        <w:t>交付清单</w:t>
      </w:r>
    </w:p>
    <w:p>
      <w:r>
        <w:t>交付学生小程序、教师工作台升级、2套样板实验教学包、规则与公式说明、经过隔离的验收样例及评测报告、部署配置与接口说明、备份恢复手册、教师培训材料和试点总结。源码、知识资源使用权、运维服务范围及新增实验机制在合作文件中明确。</w:t>
      </w:r>
    </w:p>
    <w:p>
      <w:r>
        <w:br w:type="page"/>
      </w:r>
    </w:p>
    <w:p>
      <w:pPr>
        <w:pStyle w:val="Heading1"/>
      </w:pPr>
      <w:r>
        <w:t>15  验收指标与质量控制</w:t>
      </w:r>
    </w:p>
    <w:p>
      <w:r>
        <w:t>以下为建议验收目标，须在需求阶段锁定测试条件与样本口径；它们不是当前已达到的性能。识别与教学效果分开评价，既测能否发现问题，也测会不会把证据不足的情形错误放行。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3969"/>
        <w:gridCol w:w="3969"/>
      </w:tblGrid>
      <w:tr>
        <w:trPr>
          <w:cantSplit/>
          <w:tblHeader/>
        </w:trPr>
        <w:tc>
          <w:tcPr>
            <w:tcW w:type="dxa" w:w="1701"/>
            <w:vAlign w:val="center"/>
            <w:shd w:fill="214B65"/>
          </w:tcPr>
          <w:p>
            <w:pPr>
              <w:spacing w:after="40" w:before="40" w:line="269" w:lineRule="auto"/>
              <w:jc w:val="center"/>
            </w:pPr>
            <w:r>
              <w:rPr>
                <w:b/>
                <w:color w:val="FFFFFF"/>
                <w:sz w:val="18"/>
              </w:rPr>
              <w:t>验收项</w:t>
            </w:r>
          </w:p>
        </w:tc>
        <w:tc>
          <w:tcPr>
            <w:tcW w:type="dxa" w:w="3969"/>
            <w:vAlign w:val="center"/>
            <w:shd w:fill="214B65"/>
          </w:tcPr>
          <w:p>
            <w:pPr>
              <w:spacing w:after="40" w:before="40" w:line="269" w:lineRule="auto"/>
            </w:pPr>
            <w:r>
              <w:rPr>
                <w:b/>
                <w:color w:val="FFFFFF"/>
                <w:sz w:val="18"/>
              </w:rPr>
              <w:t>建议目标</w:t>
            </w:r>
          </w:p>
        </w:tc>
        <w:tc>
          <w:tcPr>
            <w:tcW w:type="dxa" w:w="3969"/>
            <w:vAlign w:val="center"/>
            <w:shd w:fill="214B65"/>
          </w:tcPr>
          <w:p>
            <w:pPr>
              <w:spacing w:after="40" w:before="40" w:line="269" w:lineRule="auto"/>
            </w:pPr>
            <w:r>
              <w:rPr>
                <w:b/>
                <w:color w:val="FFFFFF"/>
                <w:sz w:val="18"/>
              </w:rPr>
              <w:t>验证方式</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业务闭环</w:t>
            </w:r>
          </w:p>
        </w:tc>
        <w:tc>
          <w:tcPr>
            <w:tcW w:type="dxa" w:w="3969"/>
            <w:vAlign w:val="center"/>
            <w:shd w:fill="F0F5F8"/>
          </w:tcPr>
          <w:p>
            <w:pPr>
              <w:spacing w:after="40" w:before="40" w:line="269" w:lineRule="auto"/>
            </w:pPr>
            <w:r>
              <w:rPr>
                <w:b w:val="0"/>
                <w:color w:val="152E43"/>
                <w:sz w:val="18"/>
              </w:rPr>
            </w:r>
            <w:r>
              <w:rPr>
                <w:b w:val="0"/>
                <w:color w:val="152E43"/>
                <w:sz w:val="18"/>
              </w:rPr>
              <w:t>2个样板从预习到教师确认报告可完整完成</w:t>
            </w:r>
          </w:p>
        </w:tc>
        <w:tc>
          <w:tcPr>
            <w:tcW w:type="dxa" w:w="3969"/>
            <w:vAlign w:val="center"/>
            <w:shd w:fill="F0F5F8"/>
          </w:tcPr>
          <w:p>
            <w:pPr>
              <w:spacing w:after="40" w:before="40" w:line="269" w:lineRule="auto"/>
            </w:pPr>
            <w:r>
              <w:rPr>
                <w:b w:val="0"/>
                <w:color w:val="152E43"/>
                <w:sz w:val="18"/>
              </w:rPr>
            </w:r>
            <w:r>
              <w:rPr>
                <w:b w:val="0"/>
                <w:color w:val="152E43"/>
                <w:sz w:val="18"/>
              </w:rPr>
              <w:t>真实账户、工位与设备执行全部关键路径</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目标错误识别</w:t>
            </w:r>
          </w:p>
        </w:tc>
        <w:tc>
          <w:tcPr>
            <w:tcW w:type="dxa" w:w="3969"/>
            <w:vAlign w:val="center"/>
            <w:shd w:fill="FFFFFF"/>
          </w:tcPr>
          <w:p>
            <w:pPr>
              <w:spacing w:after="40" w:before="40" w:line="269" w:lineRule="auto"/>
            </w:pPr>
            <w:r>
              <w:rPr>
                <w:b w:val="0"/>
                <w:color w:val="152E43"/>
                <w:sz w:val="18"/>
              </w:rPr>
            </w:r>
            <w:r>
              <w:rPr>
                <w:b w:val="0"/>
                <w:color w:val="152E43"/>
                <w:sz w:val="18"/>
              </w:rPr>
              <w:t>可见且属支持范围的错误召回率≥90%，精确率≥90%</w:t>
            </w:r>
          </w:p>
        </w:tc>
        <w:tc>
          <w:tcPr>
            <w:tcW w:type="dxa" w:w="3969"/>
            <w:vAlign w:val="center"/>
            <w:shd w:fill="FFFFFF"/>
          </w:tcPr>
          <w:p>
            <w:pPr>
              <w:spacing w:after="40" w:before="40" w:line="269" w:lineRule="auto"/>
            </w:pPr>
            <w:r>
              <w:rPr>
                <w:b w:val="0"/>
                <w:color w:val="152E43"/>
                <w:sz w:val="18"/>
              </w:rPr>
            </w:r>
            <w:r>
              <w:rPr>
                <w:b w:val="0"/>
                <w:color w:val="152E43"/>
                <w:sz w:val="18"/>
              </w:rPr>
              <w:t>独立盲测；按错误类型分别统计，报告样本量与区间</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不可判定处理</w:t>
            </w:r>
          </w:p>
        </w:tc>
        <w:tc>
          <w:tcPr>
            <w:tcW w:type="dxa" w:w="3969"/>
            <w:vAlign w:val="center"/>
            <w:shd w:fill="F0F5F8"/>
          </w:tcPr>
          <w:p>
            <w:pPr>
              <w:spacing w:after="40" w:before="40" w:line="269" w:lineRule="auto"/>
            </w:pPr>
            <w:r>
              <w:rPr>
                <w:b w:val="0"/>
                <w:color w:val="152E43"/>
                <w:sz w:val="18"/>
              </w:rPr>
            </w:r>
            <w:r>
              <w:rPr>
                <w:b w:val="0"/>
                <w:color w:val="152E43"/>
                <w:sz w:val="18"/>
              </w:rPr>
              <w:t>遮挡、不相关和不清晰场景拒判正确率≥95%</w:t>
            </w:r>
          </w:p>
        </w:tc>
        <w:tc>
          <w:tcPr>
            <w:tcW w:type="dxa" w:w="3969"/>
            <w:vAlign w:val="center"/>
            <w:shd w:fill="F0F5F8"/>
          </w:tcPr>
          <w:p>
            <w:pPr>
              <w:spacing w:after="40" w:before="40" w:line="269" w:lineRule="auto"/>
            </w:pPr>
            <w:r>
              <w:rPr>
                <w:b w:val="0"/>
                <w:color w:val="152E43"/>
                <w:sz w:val="18"/>
              </w:rPr>
            </w:r>
            <w:r>
              <w:rPr>
                <w:b w:val="0"/>
                <w:color w:val="152E43"/>
                <w:sz w:val="18"/>
              </w:rPr>
              <w:t>独立困难样本；同时报告正常图片被拒判比例</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严重错误防护</w:t>
            </w:r>
          </w:p>
        </w:tc>
        <w:tc>
          <w:tcPr>
            <w:tcW w:type="dxa" w:w="3969"/>
            <w:vAlign w:val="center"/>
            <w:shd w:fill="FFFFFF"/>
          </w:tcPr>
          <w:p>
            <w:pPr>
              <w:spacing w:after="40" w:before="40" w:line="269" w:lineRule="auto"/>
            </w:pPr>
            <w:r>
              <w:rPr>
                <w:b w:val="0"/>
                <w:color w:val="152E43"/>
                <w:sz w:val="18"/>
              </w:rPr>
            </w:r>
            <w:r>
              <w:rPr>
                <w:b w:val="0"/>
                <w:color w:val="152E43"/>
                <w:sz w:val="18"/>
              </w:rPr>
              <w:t>预设的明确可见严重错误用例中，不得出现“可通电”等放行结论</w:t>
            </w:r>
          </w:p>
        </w:tc>
        <w:tc>
          <w:tcPr>
            <w:tcW w:type="dxa" w:w="3969"/>
            <w:vAlign w:val="center"/>
            <w:shd w:fill="FFFFFF"/>
          </w:tcPr>
          <w:p>
            <w:pPr>
              <w:spacing w:after="40" w:before="40" w:line="269" w:lineRule="auto"/>
            </w:pPr>
            <w:r>
              <w:rPr>
                <w:b w:val="0"/>
                <w:color w:val="152E43"/>
                <w:sz w:val="18"/>
              </w:rPr>
            </w:r>
            <w:r>
              <w:rPr>
                <w:b w:val="0"/>
                <w:color w:val="152E43"/>
                <w:sz w:val="18"/>
              </w:rPr>
              <w:t>所有结果模板和端到端场景核验，仍保留教师通电确认</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计算正确性</w:t>
            </w:r>
          </w:p>
        </w:tc>
        <w:tc>
          <w:tcPr>
            <w:tcW w:type="dxa" w:w="3969"/>
            <w:vAlign w:val="center"/>
            <w:shd w:fill="F0F5F8"/>
          </w:tcPr>
          <w:p>
            <w:pPr>
              <w:spacing w:after="40" w:before="40" w:line="269" w:lineRule="auto"/>
            </w:pPr>
            <w:r>
              <w:rPr>
                <w:b w:val="0"/>
                <w:color w:val="152E43"/>
                <w:sz w:val="18"/>
              </w:rPr>
            </w:r>
            <w:r>
              <w:rPr>
                <w:b w:val="0"/>
                <w:color w:val="152E43"/>
                <w:sz w:val="18"/>
              </w:rPr>
              <w:t>教师确认的参考案例全部通过</w:t>
            </w:r>
          </w:p>
        </w:tc>
        <w:tc>
          <w:tcPr>
            <w:tcW w:type="dxa" w:w="3969"/>
            <w:vAlign w:val="center"/>
            <w:shd w:fill="F0F5F8"/>
          </w:tcPr>
          <w:p>
            <w:pPr>
              <w:spacing w:after="40" w:before="40" w:line="269" w:lineRule="auto"/>
            </w:pPr>
            <w:r>
              <w:rPr>
                <w:b w:val="0"/>
                <w:color w:val="152E43"/>
                <w:sz w:val="18"/>
              </w:rPr>
            </w:r>
            <w:r>
              <w:rPr>
                <w:b w:val="0"/>
                <w:color w:val="152E43"/>
                <w:sz w:val="18"/>
              </w:rPr>
              <w:t>覆盖单位换算、拟合、不确定度、缺失值与异常输入</w:t>
            </w:r>
          </w:p>
        </w:tc>
      </w:tr>
      <w:tr>
        <w:trPr>
          <w:cantSplit/>
        </w:trPr>
        <w:tc>
          <w:tcPr>
            <w:tcW w:type="dxa" w:w="1701"/>
            <w:vAlign w:val="center"/>
            <w:shd w:fill="FFFFFF"/>
          </w:tcPr>
          <w:p>
            <w:pPr>
              <w:spacing w:after="40" w:before="40" w:line="269" w:lineRule="auto"/>
              <w:jc w:val="center"/>
            </w:pPr>
            <w:r>
              <w:rPr>
                <w:b w:val="0"/>
                <w:color w:val="152E43"/>
                <w:sz w:val="18"/>
              </w:rPr>
            </w:r>
            <w:r>
              <w:rPr>
                <w:b w:val="0"/>
                <w:color w:val="152E43"/>
                <w:sz w:val="18"/>
              </w:rPr>
              <w:t>课堂响应</w:t>
            </w:r>
          </w:p>
        </w:tc>
        <w:tc>
          <w:tcPr>
            <w:tcW w:type="dxa" w:w="3969"/>
            <w:vAlign w:val="center"/>
            <w:shd w:fill="FFFFFF"/>
          </w:tcPr>
          <w:p>
            <w:pPr>
              <w:spacing w:after="40" w:before="40" w:line="269" w:lineRule="auto"/>
            </w:pPr>
            <w:r>
              <w:rPr>
                <w:b w:val="0"/>
                <w:color w:val="152E43"/>
                <w:sz w:val="18"/>
              </w:rPr>
            </w:r>
            <w:r>
              <w:rPr>
                <w:b w:val="0"/>
                <w:color w:val="152E43"/>
                <w:sz w:val="18"/>
              </w:rPr>
              <w:t>20工位试点下图片检查P95≤15秒，失败率≤2%</w:t>
            </w:r>
          </w:p>
        </w:tc>
        <w:tc>
          <w:tcPr>
            <w:tcW w:type="dxa" w:w="3969"/>
            <w:vAlign w:val="center"/>
            <w:shd w:fill="FFFFFF"/>
          </w:tcPr>
          <w:p>
            <w:pPr>
              <w:spacing w:after="40" w:before="40" w:line="269" w:lineRule="auto"/>
            </w:pPr>
            <w:r>
              <w:rPr>
                <w:b w:val="0"/>
                <w:color w:val="152E43"/>
                <w:sz w:val="18"/>
              </w:rPr>
            </w:r>
            <w:r>
              <w:rPr>
                <w:b w:val="0"/>
                <w:color w:val="152E43"/>
                <w:sz w:val="18"/>
              </w:rPr>
              <w:t>统一图像大小与模型，连续60分钟并含同步提交峰值</w:t>
            </w:r>
          </w:p>
        </w:tc>
      </w:tr>
      <w:tr>
        <w:trPr>
          <w:cantSplit/>
        </w:trPr>
        <w:tc>
          <w:tcPr>
            <w:tcW w:type="dxa" w:w="1701"/>
            <w:vAlign w:val="center"/>
            <w:shd w:fill="F0F5F8"/>
          </w:tcPr>
          <w:p>
            <w:pPr>
              <w:spacing w:after="40" w:before="40" w:line="269" w:lineRule="auto"/>
              <w:jc w:val="center"/>
            </w:pPr>
            <w:r>
              <w:rPr>
                <w:b w:val="0"/>
                <w:color w:val="152E43"/>
                <w:sz w:val="18"/>
              </w:rPr>
            </w:r>
            <w:r>
              <w:rPr>
                <w:b w:val="0"/>
                <w:color w:val="152E43"/>
                <w:sz w:val="18"/>
              </w:rPr>
              <w:t>记录与权限</w:t>
            </w:r>
          </w:p>
        </w:tc>
        <w:tc>
          <w:tcPr>
            <w:tcW w:type="dxa" w:w="3969"/>
            <w:vAlign w:val="center"/>
            <w:shd w:fill="F0F5F8"/>
          </w:tcPr>
          <w:p>
            <w:pPr>
              <w:spacing w:after="40" w:before="40" w:line="269" w:lineRule="auto"/>
            </w:pPr>
            <w:r>
              <w:rPr>
                <w:b w:val="0"/>
                <w:color w:val="152E43"/>
                <w:sz w:val="18"/>
              </w:rPr>
            </w:r>
            <w:r>
              <w:rPr>
                <w:b w:val="0"/>
                <w:color w:val="152E43"/>
                <w:sz w:val="18"/>
              </w:rPr>
              <w:t>无已确认记录丢失，无跨班越权访问</w:t>
            </w:r>
          </w:p>
        </w:tc>
        <w:tc>
          <w:tcPr>
            <w:tcW w:type="dxa" w:w="3969"/>
            <w:vAlign w:val="center"/>
            <w:shd w:fill="F0F5F8"/>
          </w:tcPr>
          <w:p>
            <w:pPr>
              <w:spacing w:after="40" w:before="40" w:line="269" w:lineRule="auto"/>
            </w:pPr>
            <w:r>
              <w:rPr>
                <w:b w:val="0"/>
                <w:color w:val="152E43"/>
                <w:sz w:val="18"/>
              </w:rPr>
            </w:r>
            <w:r>
              <w:rPr>
                <w:b w:val="0"/>
                <w:color w:val="152E43"/>
                <w:sz w:val="18"/>
              </w:rPr>
              <w:t>断网重连、重复提交、备份恢复与越权测试</w:t>
            </w:r>
          </w:p>
        </w:tc>
      </w:tr>
    </w:tbl>
    <w:p>
      <w:pPr>
        <w:spacing w:after="20"/>
      </w:pPr>
    </w:p>
    <w:p>
      <w:pPr>
        <w:pStyle w:val="Heading2"/>
      </w:pPr>
      <w:r>
        <w:t>避免被单个准确率误导</w:t>
      </w:r>
    </w:p>
    <w:p>
      <w:r>
        <w:t>召回率＝检出的真实目标错误／全部真实目标错误；精确率＝正确报出的错误／全部报出的错误。以场景为单位统计，另报完整接线场景正确率、人工复核率和错误类型分布。对已知错误场景作出“无法判定”计入该错误的未检出，同时记录其安全拒判行为，不能从分母中删除以提高成绩。</w:t>
      </w:r>
    </w:p>
    <w:p>
      <w:pPr>
        <w:pStyle w:val="Heading2"/>
      </w:pPr>
      <w:r>
        <w:t>教学效果与持续改进</w:t>
      </w:r>
    </w:p>
    <w:p>
      <w:r>
        <w:t>试点前记录教师重复指导次数、每工位等待时间、数据缺项率和报告批阅用时；试点中用同类课程与任务进行对照，报告参与人数、设备差异和观察条件。可以以重复性指导用时降低20%作为探索目标，但不作为尚无基线的保证。发现严重误导时停用对应识别规则，保留正常记录功能，经回归验证后恢复。</w:t>
      </w:r>
    </w:p>
    <w:p>
      <w:r>
        <w:br w:type="page"/>
      </w:r>
    </w:p>
    <w:p>
      <w:pPr>
        <w:pStyle w:val="Heading1"/>
      </w:pPr>
      <w:r>
        <w:t>16  样板演示安排与启动事项</w:t>
      </w:r>
    </w:p>
    <w:p>
      <w:pPr>
        <w:pStyle w:val="Heading2"/>
      </w:pPr>
      <w:r>
        <w:t>面向校方的十五分钟演示</w:t>
      </w:r>
    </w:p>
    <w:p>
      <w:r>
        <w:rPr>
          <w:b/>
        </w:rPr>
        <w:t>1．第0至3分钟：</w:t>
      </w:r>
      <w:r>
        <w:t>学生扫码进入电学实验，完成预习短测；教师端同步看到准备状态。</w:t>
      </w:r>
    </w:p>
    <w:p>
      <w:r>
        <w:rPr>
          <w:b/>
        </w:rPr>
        <w:t>2．第3至7分钟：</w:t>
      </w:r>
      <w:r>
        <w:t>断电电路演示预设错误与照片标注，再用遮挡场景演示“无法判定”和教师复核。</w:t>
      </w:r>
    </w:p>
    <w:p>
      <w:r>
        <w:rPr>
          <w:b/>
        </w:rPr>
        <w:t>3．第7至10分钟：</w:t>
      </w:r>
      <w:r>
        <w:t>用专门标记的演示数据展示单位检查、U与I拟合及记录追溯，不混入正式成绩。</w:t>
      </w:r>
    </w:p>
    <w:p>
      <w:r>
        <w:rPr>
          <w:b/>
        </w:rPr>
        <w:t>4．第10至13分钟：</w:t>
      </w:r>
      <w:r>
        <w:t>展示牛顿环图像检查及人工确认读数后的曲率计算。</w:t>
      </w:r>
    </w:p>
    <w:p>
      <w:r>
        <w:rPr>
          <w:b/>
        </w:rPr>
        <w:t>5．第13至15分钟：</w:t>
      </w:r>
      <w:r>
        <w:t>教师处理求助与报告建议，演示模型不可用时的记录和人工求助。</w:t>
      </w:r>
    </w:p>
    <w:p>
      <w:pPr>
        <w:pStyle w:val="Heading2"/>
      </w:pPr>
      <w:r>
        <w:t>启动前需共同确认</w:t>
      </w:r>
    </w:p>
    <w:p>
      <w:r>
        <w:t>① 首批实验名称、接法与设备型号；② 现行讲义、说明书、数据表和评分量规；③ 试点班级、每班人数、每组人数与工位数量；④ 小程序主体、域名、校园网络和模型部署方式；⑤ 图片留存期、样本使用范围及数据归属；⑥ 验收样本、指标口径、硬件复用和预算边界。</w:t>
      </w:r>
    </w:p>
    <w:p>
      <w:r>
        <w:t>先验证电学样板，再开展电学与光学双样板试点，最后按课程扩展。覆盖约12个班、300余人时，根据同时上课人数确定GPU、网络与工位配置。</w:t>
      </w:r>
    </w:p>
    <w:p>
      <w:pPr>
        <w:pStyle w:val="Heading2"/>
      </w:pPr>
      <w:r>
        <w:t>技术依据与资料索引</w:t>
      </w:r>
    </w:p>
    <w:p>
      <w:pPr>
        <w:spacing w:after="100"/>
      </w:pPr>
      <w:r>
        <w:rPr>
          <w:sz w:val="17"/>
        </w:rPr>
        <w:t>[1] 微信小程序官方示例仓库，组件与API适配参考：https://github.com/wechat-miniprogram/miniprogram-demo 。上线前结合微信开放文档进行真机验证。</w:t>
      </w:r>
    </w:p>
    <w:p>
      <w:pPr>
        <w:spacing w:after="100"/>
      </w:pPr>
      <w:r>
        <w:rPr>
          <w:sz w:val="17"/>
        </w:rPr>
        <w:t>[2] NIST，Combining uncertainty components，不确定度传播与相关量处理：https://physics.nist.gov/cuu/Uncertainty/combination.html 。</w:t>
      </w:r>
    </w:p>
    <w:p>
      <w:pPr>
        <w:spacing w:after="100"/>
      </w:pPr>
      <w:r>
        <w:rPr>
          <w:sz w:val="17"/>
        </w:rPr>
        <w:t>[3] NVIDIA，GeForce RTX 4090官方规格，24GB显存：https://www.nvidia.com/en-ph/geforce/graphics-cards/40-series/rtx-4090/ 。</w:t>
      </w:r>
    </w:p>
    <w:p>
      <w:pPr>
        <w:spacing w:after="100"/>
      </w:pPr>
      <w:r>
        <w:rPr>
          <w:sz w:val="17"/>
        </w:rPr>
        <w:t>[4] 校方交流记录照片，涉及小程序、电学样板、接线纠错、师生互动与算力设想；实施范围以双方确认清单为准。</w:t>
      </w:r>
    </w:p>
    <w:p>
      <w:pPr>
        <w:spacing w:after="100"/>
      </w:pPr>
      <w:r>
        <w:rPr>
          <w:sz w:val="17"/>
        </w:rPr>
        <w:t>[5] 物小智项目README、实验能力规划、牛顿环视觉规则、前端依赖与教师控制器，用于界定现有工程基础。</w:t>
      </w:r>
    </w:p>
    <w:p>
      <w:r>
        <w:rPr>
          <w:sz w:val="16"/>
        </w:rPr>
        <w:t>外部技术资料核验日期  2026年9月16日</w:t>
      </w:r>
    </w:p>
    <w:sectPr w:rsidR="00FC693F" w:rsidRPr="0006063C" w:rsidSect="00034616">
      <w:footerReference w:type="default" r:id="rId9"/>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物小智  ·  电磁学与光学实验智能化方案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Microsoft YaHei" w:hAnsi="Microsoft YaHei"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Microsoft YaHei" w:hAnsi="Microsoft YaHei"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Microsoft YaHei" w:hAnsi="Microsoft YaHe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Microsoft YaHei" w:hAnsi="Microsoft YaHei" w:eastAsia="微软雅黑"/>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微软雅黑"/>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Microsoft YaHei" w:hAnsi="Microsoft YaHei" w:eastAsia="微软雅黑"/>
      <w:b/>
      <w:bCs/>
      <w:color w:val="5669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物小智物理实验智能化建设方案</dc:title>
  <dc:subject>北京化工大学电磁学与光学实验教学试点建议</dc:subject>
  <dc:creator>物小智项目组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