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curvature-based real-options method for member-specific thresholds and contested-price intervals in stage-gate screening under regulatory ambiguity</w:t>
      </w:r>
    </w:p>
    <w:p>
      <w:pPr>
        <w:pStyle w:val="AbstractTitle"/>
      </w:pPr>
      <w:r>
        <w:t xml:space="preserve">Abstract</w:t>
      </w:r>
    </w:p>
    <w:p>
      <w:pPr>
        <w:pStyle w:val="Abstract"/>
      </w:pPr>
      <w:r>
        <w:t xml:space="preserve">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w:t>
      </w:r>
      <w:r>
        <w:t xml:space="preserve"> </w:t>
      </w:r>
      <m:oMath>
        <m:r>
          <m:t>α</m:t>
        </m:r>
      </m:oMath>
      <w:r>
        <w:t xml:space="preserve">-maxmin expected utility (</w:t>
      </w:r>
      <m:oMath>
        <m:r>
          <m:t>α</m:t>
        </m:r>
        <m:r>
          <m:rPr>
            <m:nor/>
          </m:rPr>
          <m:t>-MEU</m:t>
        </m:r>
      </m:oMath>
      <w:r>
        <w:t xml:space="preserve">) benchmark placed it below one half in both coordinates, at a reference value equal to investment cost. Against this benchmark, the largest relative trigger error across all calibrations on the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thus shows member disagreement at the prevailing price before any vote and states its release conditions.</w:t>
      </w:r>
    </w:p>
    <w:p>
      <w:pPr>
        <w:pStyle w:val="FirstParagraph"/>
      </w:pPr>
      <w:r>
        <w:rPr>
          <w:i/>
          <w:iCs/>
        </w:rPr>
        <w:t xml:space="preserve">Keywords.</w:t>
      </w:r>
      <w:r>
        <w:t xml:space="preserve"> </w:t>
      </w:r>
      <w:r>
        <w:t xml:space="preserve">Real options, Stage-gate screening, Regulatory ambiguity, Group decision support,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When the decision concerns timing, real-options analysis reduces it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screening boundary can be restated on the price axis. The committee then reads it in units it already monitors. In this paper, a trigger is a project-value quantity, and a threshold is its image on the price axis.</w:t>
      </w:r>
    </w:p>
    <w:p>
      <w:pPr>
        <w:pStyle w:val="BodyText"/>
      </w:pPr>
      <w:r>
        <w:t xml:space="preserve">Committee members may receive the same engineering, cost, and policy evidence and still place different weights on adverse regulatory scenarios. A single trigger can conceal these differences. A conventional real-options analysis returns one project-level trigger, usually under a representative ambiguity attitude. Member-level dispersion therefore disappears at the modeling stage. Committee decision-support procedures may retain individual assessments but aggregate them into a score, a ranking, or a vote before reporting. In both cases, the assessments are compressed before anyone checks whether their implied classifications agree.</w:t>
      </w:r>
    </w:p>
    <w:p>
      <w:pPr>
        <w:pStyle w:val="BodyText"/>
      </w:pPr>
      <w:r>
        <w:t xml:space="preserve">Member-level dispersion need not change the classification at a given gate. Distinct member thresholds can still lie on the same side of the prevailing price. A price below every member threshold places all members in the wait region. A price at or above every threshold places all members in the invest region. A mixed classification arises only between the lowest and the highest member thresholds. Whether one classification suffices therefore depends on the position of the price relative to the whole threshold set. An aggregate score replaces this set with one number and loses the thresholds. The set remains recoverable, however, from the recorded calibration, ambiguity radius, and member weights. It is conditional on these recorded inputs, and changing them can change the classification of the same prevailing price.</w:t>
      </w:r>
    </w:p>
    <w:p>
      <w:pPr>
        <w:pStyle w:val="BodyText"/>
      </w:pPr>
      <w:r>
        <w:t xml:space="preserve">This paper examined when member heterogeneity changes the current gate classification. It also examined how this information can be reported without aggregating member thresholds in advance. Both questions are posed with an ordered ambiguity set common to all members. Members differ only in their recorded weights on the adverse endpoint of this set. Member triggers follow a closed-form affine endpoint rule. Its accuracy is measured against the</w:t>
      </w:r>
      <w:r>
        <w:t xml:space="preserve"> </w:t>
      </w:r>
      <m:oMath>
        <m:r>
          <m:t>α</m:t>
        </m:r>
      </m:oMath>
      <w:r>
        <w:t xml:space="preserve">-maxmin expected utility (</w:t>
      </w:r>
      <m:oMath>
        <m:r>
          <m:t>α</m:t>
        </m:r>
        <m:r>
          <m:rPr>
            <m:nor/>
          </m:rPr>
          <m:t>-MEU</m:t>
        </m:r>
      </m:oMath>
      <w:r>
        <w:t xml:space="preserve">) optimum under the same model inputs. The two rules can classify the same price differently. We therefore also determined the conditions under which the affine report may be released alone, and the computation required at other gates.</w:t>
      </w:r>
    </w:p>
    <w:p>
      <w:pPr>
        <w:pStyle w:val="BodyText"/>
      </w:pPr>
      <w:r>
        <w:t xml:space="preserve">The model represents regulatory uncertainty as an ordered interval of forward volatilities around an anchor. One component of regulatory uncertainty thus enters through the volatility channel. The committee records one weight for each member. This weight applies to the adverse endpoint of the interval, where the option to wait has the lowest value. Lower volatility reduces the value of waiting and lowers the trigger. The adverse endpoint is therefore the low-volatility endpoint in this timing model.</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The member triggers therefore become marginal carbon-price thresholds in Chinese Yuan per tonne (CNY/t). The smallest and largest thresholds bound the contested-price interval.</w:t>
      </w:r>
    </w:p>
    <w:p>
      <w:pPr>
        <w:pStyle w:val="BodyText"/>
      </w:pPr>
      <w:r>
        <w:t xml:space="preserve">The same construction identifies whether each member trigger lies above or below the no-ambiguity anchor. The trigger is strictly increasing in volatility, so the two endpoint triggers differ. Exactly one weight in</w:t>
      </w:r>
      <w:r>
        <w:t xml:space="preserve"> </w:t>
      </w:r>
      <m:oMath>
        <m:r>
          <m:rPr>
            <m:sty m:val="p"/>
          </m:rPr>
          <m:t>[</m:t>
        </m:r>
        <m:r>
          <m:t>0</m:t>
        </m:r>
        <m:r>
          <m:rPr>
            <m:sty m:val="p"/>
          </m:rPr>
          <m:t>,</m:t>
        </m:r>
        <m:r>
          <m:t>1</m:t>
        </m:r>
        <m:r>
          <m:rPr>
            <m:sty m:val="p"/>
          </m:rPr>
          <m:t>]</m:t>
        </m:r>
      </m:oMath>
      <w:r>
        <w:t xml:space="preserve">, the critical weight, places a member trigger at the anchor. This weight splits the members into two groups around the anchor, and the split carries over to the price thresholds. One half is the weight at which the two endpoint triggers count equally.</w:t>
      </w:r>
    </w:p>
    <w:p>
      <w:pPr>
        <w:pStyle w:val="BodyText"/>
      </w:pPr>
      <w:r>
        <w:t xml:space="preserve">In the application, the ambiguity radii of the gates come from a policy-text series. Its document identifiers and dates are recorded, so a reader with database access can retrieve the same documents.</w:t>
      </w:r>
    </w:p>
    <w:p>
      <w:pPr>
        <w:pStyle w:val="BodyText"/>
      </w:pPr>
      <w:r>
        <w:t xml:space="preserve">The application produced two main results. The first concerned unanimity. Under the reference configuration, every archived price stayed below the contemporaneous lower interval edge. Unanimity was still configuration-dependent. In 15 of the 32 sensitivity configurations, the highest archived price reached or exceeded the lower edge. The second result concerned the common inputs, which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The widest interval produced by the reference profile along the reconstructed path was 6.63 CNY/t.</w:t>
      </w:r>
    </w:p>
    <w:p>
      <w:pPr>
        <w:pStyle w:val="BodyText"/>
      </w:pPr>
      <w:r>
        <w:t xml:space="preserve">The paper makes two contributions. The first is an analytical characterization of the critical weight. Its uniqueness follows from the strict monotonicity of the affine rule, and trigger curvature locates it relative to one half. This curvature changes sign between the standard-deviation and variance coordinates. The direction of each member’s shift is therefore a property of the declared coordinate. The second contribution is a member-indexed reporting design. The member-threshold vector and the contested-price interval bounded by its extremes show whether the prevailing price receives the same classification under every member assessment. Benchmark comparisons and a classification-fidelity analysis quantify the accuracy of this report in price units. In this analysis, small trigger errors could still change the invest-or-wait outcome. A finite-registry safeguard converts these limits into a release rule. Conditioning release on registered configurations may make each release auditable after the fact.</w:t>
      </w:r>
    </w:p>
    <w:p>
      <w:pPr>
        <w:pStyle w:val="BodyText"/>
      </w:pPr>
      <w:r>
        <w:t xml:space="preserve">The study therefore treats disagreement among committee members as a reported quantity with stated accuracy limits. Existing work on real options and on committee decision support mostly reports project-level objects. The reporting gap addressed here lies between these two literatures.</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Investment trigger value</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Trigger at the lower and upper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Pre-commitment benchmark reference value</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Member-specific trigger under the affine rule, Eq. (5)</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accounting adjustments, with</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Positive forward-volatility anchor,</w:t>
            </w:r>
            <w:r>
              <w:t xml:space="preserve"> </w:t>
            </w:r>
            <m:oMath>
              <m:sSub>
                <m:e>
                  <m:bar>
                    <m:barPr>
                      <m:pos m:val="top"/>
                    </m:barPr>
                    <m:e>
                      <m:r>
                        <m:t>σ</m:t>
                      </m:r>
                    </m:e>
                  </m:bar>
                </m:e>
                <m:sub>
                  <m:r>
                    <m:t>0</m:t>
                  </m:r>
                </m:sub>
              </m:sSub>
              <m:r>
                <m:rPr>
                  <m:sty m:val="p"/>
                </m:rPr>
                <m:t>&gt;</m:t>
              </m:r>
              <m:r>
                <m:t>0</m:t>
              </m:r>
            </m:oMath>
            <w:r>
              <w:t xml:space="preserve">, estimated from history in the application</w:t>
            </w:r>
          </w:p>
        </w:tc>
      </w:tr>
      <w:tr>
        <w:tc>
          <w:tcPr/>
          <w:p>
            <w:pPr>
              <w:pStyle w:val="Compact"/>
              <w:jc w:val="left"/>
            </w:pPr>
            <m:oMath>
              <m:sSub>
                <m:e>
                  <m:r>
                    <m:t>σ</m:t>
                  </m:r>
                </m:e>
                <m:sub>
                  <m:r>
                    <m:t>p</m:t>
                  </m:r>
                </m:sub>
              </m:sSub>
            </m:oMath>
          </w:p>
        </w:tc>
        <w:tc>
          <w:tcPr/>
          <w:p>
            <w:pPr>
              <w:pStyle w:val="Compact"/>
              <w:jc w:val="left"/>
            </w:pPr>
            <w:r>
              <w:t xml:space="preserve">Carbon-price volatility, forward parameter of the GBM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net of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closed-form</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endpoint under the</w:t>
            </w:r>
            <w:r>
              <w:t xml:space="preserve"> </w:t>
            </w:r>
            <m:oMath>
              <m:r>
                <m:t>α</m:t>
              </m:r>
            </m:oMath>
            <w:r>
              <w:t xml:space="preserve">-maxmin 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Marked variants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A gate report built from member thresholds and a price-axis interval relates to three research streams. Ambiguity-aware real options provide the trigger analysis. Committee decision support provides the reporting context, and text-based uncertainty measures provide one application input. Each stream returns a different object to a review gate.</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higher volatility raises the value of waiting and increases the investment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In their results,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It nests MEU at</w:t>
      </w:r>
      <w:r>
        <w:t xml:space="preserve"> </w:t>
      </w:r>
      <m:oMath>
        <m:r>
          <m:t>α</m:t>
        </m:r>
        <m:r>
          <m:rPr>
            <m:sty m:val="p"/>
          </m:rPr>
          <m:t>=</m:t>
        </m:r>
        <m:r>
          <m:t>1</m:t>
        </m:r>
      </m:oMath>
      <w:r>
        <w:t xml:space="preserve">. Under this broader formulation, Schröder (2011) showed the dependence of the decision on the ambiguity attitude as well as on the ambiguity.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recursive solution of an optimal-stopping problem requires dynamic consistency. The direction of the effect of ambiguity on exercise timing also varies with the setting. In Miao and Wang (2011), ambiguity could accelerate or delay option exercise. The direction depended on whether ambiguity affected continuation payoffs, termination payoffs, or both. These results do not transfer directly to volatility ambiguity. Drift and volatility enter the characteristic equation through different terms, so the comparative statics for drift ambiguity require rederivation. Since</w:t>
      </w:r>
      <w:r>
        <w:t xml:space="preserve"> </w:t>
      </w:r>
      <m:oMath>
        <m:r>
          <m:t>α</m:t>
        </m:r>
        <m:r>
          <m:rPr>
            <m:nor/>
          </m:rPr>
          <m:t>-MEU</m:t>
        </m:r>
      </m:oMath>
      <w:r>
        <w:t xml:space="preserve"> </w:t>
      </w:r>
      <w:r>
        <w:t xml:space="preserve">is generally not dynamically consistent, the benchmark in this paper is a pre-commitment rule. It is compared with a recursive alternative, which is time-consistent by construction.</w:t>
      </w:r>
    </w:p>
    <w:p>
      <w:pPr>
        <w:pStyle w:val="BodyText"/>
      </w:pPr>
      <w:r>
        <w:t xml:space="preserve">Several formulations also place ambiguity on volatility, and they address other decision questions. They can be sorted by the object each one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return a stopping region. Multiple-prior and time-consistent stopping treatments return this region or an equilibrium policy (Riedel, 2009; Huang and Yu, 2021). Formulations concerned with commitment return a single robust decision. Recursive multiple priors belong to this group (Chen and Epstein, 2002; Epstein and Schneider, 2003). So do robust control (Hansen and Sargent, 2001) and distributionally robust optimization (Mohajerin Esfahani and Kuhn, 2018). They evaluate uncertainty at the level of the decision problem and return one decision robust over the whole set. A robust recursion returns the same type of object. A rectangularity condition preserves the structure of the Bellman recursion (Iyengar, 2005). The ambiguity set may also be a confidence region estimated from observed data (Wiesemann et al., 2013). The reported output remains one worst-case policy. Mazzon and Tankov (2024) worked under smooth ambiguity (Klibanoff et al., 2005). They reduced a coal-plant divestment problem with learning to a family of standard stopping problems. Their output is still the policy of a single decision maker. Values, policies, regions, and robust decisions are all indexed by the problem. None of the reviewed formulations returns the price range over which members disagree.</w:t>
      </w:r>
    </w:p>
    <w:p>
      <w:pPr>
        <w:pStyle w:val="BodyText"/>
      </w:pPr>
      <w:r>
        <w:t xml:space="preserve">One strand of the ambiguity literature works with sets of valuations. In the Knightian decision theory of Bewley (2002), incomplete preferences represent ambiguity. One act ranks above another only if its expected utility is higher under every prior in the set. Some pairs remain unranked.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(2002)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The member-threshold vector precedes the aggregation step, and any aggregation is a declared downstream procedure.</w:t>
      </w:r>
    </w:p>
    <w:p>
      <w:pPr>
        <w:pStyle w:val="BodyText"/>
      </w:pPr>
      <w:r>
        <w:t xml:space="preserve">The present method reports a vector of member triggers indexed by recorded weights before the collective choice. The contested-price interval is computed from this vector. A project-level formulation can supply such a vector only after an explicit member-indexing step. For the pre-commitment objective, this step solves the same scalar problem at each recorded weight. A time-consistent formulation yields scalar thresholds only under one condition. The equilibrium stopping region of every member must have a unique boundary in the same ordered state variable. The volatility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These studies produced project-level or system-level decisions.</w:t>
      </w:r>
    </w:p>
    <w:p>
      <w:pPr>
        <w:pStyle w:val="BodyText"/>
      </w:pPr>
      <w:r>
        <w:t xml:space="preserve">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and the present report precedes any vote. The present setting differs from this literature in three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The interval reported here measures the spread of one-sided thresholds across members, and the gate reports this spread without resolving it.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and values the project.</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These outputs are updated as conditions change (Violos et al., 2025). Group decision methods such as TOPSIS-based scoring (Hwang and Yoon, 1981) also compress heterogeneous evaluations into a single score or ranking. A score ranks alternatives at one decision point. A member-specific threshold is the level of the state variable at which the screening classification of a member changes. A committee can use both. The thresholds locate the prevailing price relative to each member, and a scoring procedure ranks the remaining alternatives. The interval width measures dispersion among model-implied screening thresholds in price units.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The model counted as requisite once further sensitivity analysis generated no new intuitions. Franco and Montibeller (2010) developed this stance into facilitated modeling for groups. The present method offers a quantitative device for this tradition in one setting. It quantifies the threshold implications of recorded weights without a further aggregation step. Aggregation procedures, and procedures deciding above the individual member, both operate downstream of this report. Dong et al. (2026) integrated information across attributes and periods to produce superiority-probability comparisons and probabilistic rankings. Song and Li (2026) represented numerical and linguistic preference relations and aggregated them at the subgroup level. They then solved minimum-adjustment consensus models under limited compromise. Portfolio-selection studies kept the decision above the individual member (Marques et al., 2022; Shen and Li, 2023). Later portfolio models did the same (Saiz et al., 2024; Shen et al., 2025). A multi-stage design did the same (Shavazipour and Stewart, 2026). Robust and adaptive designs use an uncertainty set to select one policy with acceptable performance across the set. These studies address what the organization should commit to. The present method examines whether the individuals screening one project currently agree, and by how much in carbon-price units.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A consensus model, a ranking, or a portfolio selection could use them at a later stage. It would need a stated rule for how member thresholds enter its objectives and constraints.</w:t>
      </w:r>
    </w:p>
    <w:p>
      <w:pPr>
        <w:pStyle w:val="BodyText"/>
      </w:pPr>
      <w:r>
        <w:t xml:space="preserve">Recording these weights requires an elicitation step. An elicitation instrument must meet three requirements. It returns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It is reproducible at the same gate, because the recorded weight determines the member threshold and enters the gate audit record. Its precision is assessed against the review band around the critical weight, and a member inside this band receives a de-emphasized label. Matching-probability tasks, lottery equivalents, and structured vignettes meet the first requirement under a stated mapping. The second and third requirements constrain administration. They translate into a precision target for testing a candidate protocol before any gate.</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w:t>
      </w:r>
    </w:p>
    <w:p>
      <w:pPr>
        <w:pStyle w:val="BodyText"/>
      </w:pPr>
      <w:r>
        <w:t xml:space="preserve">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include the MacBERT-based climate policy uncertainty index for China of Ma et al. (2023). Such classifiers require labeled training data. The limits of fixed term lists and labeled data motivate the unsupervised, embedding-based construction in the application. The construction follows the text-as-data approach reviewed by Gentzkow et al. (2019). The resulting series measures semantic dispersion across contemporaneous policy documents.</w:t>
      </w:r>
    </w:p>
    <w:p>
      <w:pPr>
        <w:pStyle w:val="BodyText"/>
      </w:pPr>
      <w:r>
        <w:t xml:space="preserve">Table 1 summarizes the relation of the three streams to the contested-price interval. The reviewed real-options formulations return project-level objects. Committee decision support returns aggregated scores, rankings, or consensus measures. Neither stream reports member-level classifications at the prevailing price. Text-based measures supply candidate inputs, and none of the reviewed measures links them to member-level screening rules. A member-indexed threshold vector on the price axis, with a stated accuracy standard and explicit release conditions, may fill this gap. Its construction starts from a precise statement of the gate decision and of the inputs shared by all members.</w:t>
      </w:r>
    </w:p>
    <w:p>
      <w:pPr>
        <w:pStyle w:val="TableCaption"/>
      </w:pPr>
      <w:r>
        <w:t xml:space="preserve">Table 1. Relation of prior literature streams to the contested-price interval and its width. The first two rows are the streams underlying the method. The third row is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The third row i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Member-level decomposition of the trigger at a review gate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Structured review processes and governance outputs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gate decision and its inputs come first, because every reported threshold depends on them. Some inputs are shared by all members, and one input varies across members.</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Consider a sequence of review gates. At each gate, a project receives a binary invest-or-wait classification before the committee makes its collective decision. The committee also specifies an interval of forward volatilities, called the ambiguity set of the gate. Eq. (1) parameterizes this set by a single radius around an anchor. Members share a common regulatory information set. Heterogeneity enters only through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 of the ambiguity set.</w:t>
      </w:r>
    </w:p>
    <w:p>
      <w:pPr>
        <w:pStyle w:val="BodyText"/>
      </w:pPr>
      <w:r>
        <w:t xml:space="preserve">The method takes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the project inputs</w:t>
      </w:r>
      <w:r>
        <w:t xml:space="preserve"> </w:t>
      </w:r>
      <m:oMath>
        <m:r>
          <m:t>I</m:t>
        </m:r>
      </m:oMath>
      <w:r>
        <w:t xml:space="preserve"> </w:t>
      </w:r>
      <w:r>
        <w:t xml:space="preserve">and</w:t>
      </w:r>
      <w:r>
        <w:t xml:space="preserve"> </w:t>
      </w:r>
      <m:oMath>
        <m:r>
          <m:t>Q</m:t>
        </m:r>
      </m:oMath>
      <w:r>
        <w:t xml:space="preserve">. It also takes the declared ambiguity radius</w:t>
      </w:r>
      <w:r>
        <w:t xml:space="preserve"> </w:t>
      </w:r>
      <m:oMath>
        <m:sSub>
          <m:e>
            <m:r>
              <m:t>h</m:t>
            </m:r>
          </m:e>
          <m:sub>
            <m:r>
              <m:t>t</m:t>
            </m:r>
          </m:sub>
        </m:sSub>
      </m:oMath>
      <w:r>
        <w:t xml:space="preserv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and the prevailing price</w:t>
      </w:r>
      <w:r>
        <w:t xml:space="preserve"> </w:t>
      </w:r>
      <m:oMath>
        <m:sSub>
          <m:e>
            <m:r>
              <m:t>P</m:t>
            </m:r>
          </m:e>
          <m:sub>
            <m:r>
              <m:t>t</m:t>
            </m:r>
          </m:sub>
        </m:sSub>
      </m:oMath>
      <w:r>
        <w:t xml:space="preserve">. It returns the member-specific price thresholds and a classification of</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three layers. The input layer supplies the radius and the prevailing price. The analytical layer produces the member triggers and the critical weight. The interface layer converts the triggers into price-axis thresholds and applies the release rule. It then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Only</w:t>
      </w:r>
      <w:r>
        <w:t xml:space="preserve"> </w:t>
      </w:r>
      <m:oMath>
        <m:sSub>
          <m:e>
            <m:r>
              <m:t>h</m:t>
            </m:r>
          </m:e>
          <m:sub>
            <m:r>
              <m:t>t</m:t>
            </m:r>
          </m:sub>
        </m:sSub>
      </m:oMath>
      <w:r>
        <w:t xml:space="preserve"> </w:t>
      </w:r>
      <w:r>
        <w:t xml:space="preserve">enters the member thresholds and the interval, and</w:t>
      </w:r>
      <w:r>
        <w:t xml:space="preserve"> </w:t>
      </w:r>
      <m:oMath>
        <m:sSub>
          <m:e>
            <m:r>
              <m:t>P</m:t>
            </m:r>
          </m:e>
          <m:sub>
            <m:r>
              <m:t>t</m:t>
            </m:r>
          </m:sub>
        </m:sSub>
      </m:oMath>
      <w:r>
        <w:t xml:space="preserve"> </w:t>
      </w:r>
      <w:r>
        <w:t xml:space="preserve">enters at the classification step. The dashed block shows the derivation of</w:t>
      </w:r>
      <w:r>
        <w:t xml:space="preserve"> </w:t>
      </w:r>
      <m:oMath>
        <m:sSub>
          <m:e>
            <m:r>
              <m:t>h</m:t>
            </m:r>
          </m:e>
          <m:sub>
            <m:r>
              <m:t>t</m:t>
            </m:r>
          </m:sub>
        </m:sSub>
      </m:oMath>
      <w:r>
        <w:t xml:space="preserve"> </w:t>
      </w:r>
      <w:r>
        <w:t xml:space="preserve">in the application. It runs from a policy-text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and the rolling variability signal</w:t>
      </w:r>
      <w:r>
        <w:t xml:space="preserve"> </w:t>
      </w:r>
      <m:oMath>
        <m:sSub>
          <m:e>
            <m:r>
              <m:t>w</m:t>
            </m:r>
          </m:e>
          <m:sub>
            <m:r>
              <m:t>t</m:t>
            </m:r>
          </m:sub>
        </m:sSub>
      </m:oMath>
      <w:r>
        <w:t xml:space="preserve">. A committee declaring its radius directly omits this block.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The three model assumptions are as follows.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The application-side input is the ambiguity radius. The common information set and the recorded weights remain fixed within a gate, and each member is classified separately. The weights are reporting inputs registered in advance.</w:t>
      </w:r>
    </w:p>
    <w:p>
      <w:pPr>
        <w:pStyle w:val="BodyText"/>
      </w:pPr>
      <w:r>
        <w:t xml:space="preserve">The volatility channel carries ambiguity as a maintained modeling assumption. Ambiguity concerns the width of the forward distribution and leaves its mean unaffected. The policy-text signal of the application fits this reading. It records variation in semantic dispersion and carries no directional information about the course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this mapping unsettled, so the signal-to-radius map is treated as a convention. Forward volatility enters as a single parameter. Declaring the ambiguity set in standard-deviation units fixes the coordinate for evaluating trigger curvature. This declaration therefore also fixes the sign of the critical-weight displacement.</w:t>
      </w:r>
    </w:p>
    <w:p>
      <w:pPr>
        <w:pStyle w:val="BodyText"/>
      </w:pPr>
      <w:r>
        <w:t xml:space="preserve">The application-side input enters the model as a single number.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review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and</w:t>
      </w:r>
      <w:r>
        <w:t xml:space="preserve"> </w:t>
      </w:r>
      <m:oMath>
        <m:sSub>
          <m:e>
            <m:r>
              <m:t>h</m:t>
            </m:r>
          </m:e>
          <m:sub>
            <m:r>
              <m:t>t</m:t>
            </m:r>
          </m:sub>
        </m:sSub>
      </m:oMath>
      <w:r>
        <w:t xml:space="preserve"> </w:t>
      </w:r>
      <w:r>
        <w:t xml:space="preserve">denotes the ambiguity radius.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Every numerical result is evaluated on a finite grid, and its scope is stated with the result. The primary radius range covers relative radii up to 22%. The extended range adds a 33% stress radius. A committee may declare this radius directly or derive it from an auxiliary series, as in the application.</w:t>
      </w:r>
    </w:p>
    <w:p>
      <w:pPr>
        <w:pStyle w:val="BodyText"/>
      </w:pPr>
      <w:r>
        <w:t xml:space="preserve">These definitions fix the setting of the report. The committee shares the calibration, the project inputs, the ambiguity set, and the prevailing price. Members differ only in one recorded weight. The remaining task is analytical. It maps each weight to a trigger, converts the triggers into prices, and states when the resulting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shared inputs and the member weights define the information available at a gate. The model turns these inputs into reported objects, from the single trigger of a conventional analysis to a release rule for the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The exponent</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We impose</w:t>
      </w:r>
      <w:r>
        <w:t xml:space="preserve"> </w:t>
      </w:r>
      <m:oMath>
        <m:r>
          <m:t>r</m:t>
        </m:r>
        <m:r>
          <m:rPr>
            <m:sty m:val="p"/>
          </m:rPr>
          <m:t>&gt;</m:t>
        </m:r>
        <m:sSub>
          <m:e>
            <m:r>
              <m:t>μ</m:t>
            </m:r>
          </m:e>
          <m:sub>
            <m:r>
              <m:t>c</m:t>
            </m:r>
          </m:sub>
        </m:sSub>
        <m:r>
          <m:rPr>
            <m:sty m:val="p"/>
          </m:rPr>
          <m:t>&gt;</m:t>
        </m:r>
        <m:r>
          <m:t>0</m:t>
        </m:r>
      </m:oMath>
      <w:r>
        <w:t xml:space="preserve">. This condition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It defines the admissible parameter domain. For a calibration outside this domain, the committee records the absence of a finite trigger. The trigger in Eq. (2) is strictly increasing in</w:t>
      </w:r>
      <w:r>
        <w:t xml:space="preserve"> </w:t>
      </w:r>
      <m:oMath>
        <m:sSub>
          <m:e>
            <m:r>
              <m:t>σ</m:t>
            </m:r>
          </m:e>
          <m:sub>
            <m:r>
              <m:t>p</m:t>
            </m:r>
          </m:sub>
        </m:sSub>
      </m:oMath>
      <w:r>
        <w:t xml:space="preserve"> </w:t>
      </w:r>
      <w:r>
        <w:t xml:space="preserve">(Dixit and Pindyck, 1994). With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the minimum and maximum triggers are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proof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Each of the three terms is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 The Supplementary Material contains the proofs of all propositions and corollaries.</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implies</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The odd-order terms of the two expansions cancel. The difference between these endpoint gaps is therefore</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weight recorded for member</w:t>
      </w:r>
      <w:r>
        <w:t xml:space="preserve"> </w:t>
      </w:r>
      <m:oMath>
        <m:r>
          <m:t>i</m:t>
        </m:r>
      </m:oMath>
      <w:r>
        <w:t xml:space="preserve"> </w:t>
      </w:r>
      <w:r>
        <w:t xml:space="preserve">is</w:t>
      </w:r>
      <w:r>
        <w:t xml:space="preserve"> </w:t>
      </w:r>
      <m:oMath>
        <m:sSub>
          <m:e>
            <m:r>
              <m:t>α</m:t>
            </m:r>
          </m:e>
          <m:sub>
            <m:r>
              <m:t>i</m:t>
            </m:r>
          </m:sub>
        </m:sSub>
      </m:oMath>
      <w:r>
        <w:t xml:space="preserve">. An elicitation instrument produces the response, and a stated normalization maps it onto</w:t>
      </w:r>
      <w:r>
        <w:t xml:space="preserve"> </w:t>
      </w:r>
      <m:oMath>
        <m:r>
          <m:rPr>
            <m:sty m:val="p"/>
          </m:rPr>
          <m:t>[</m:t>
        </m:r>
        <m:r>
          <m:t>0</m:t>
        </m:r>
        <m:r>
          <m:rPr>
            <m:sty m:val="p"/>
          </m:rPr>
          <m:t>,</m:t>
        </m:r>
        <m:r>
          <m:t>1</m:t>
        </m:r>
        <m:r>
          <m:rPr>
            <m:sty m:val="p"/>
          </m:rPr>
          <m:t>]</m:t>
        </m:r>
      </m:oMath>
      <w:r>
        <w:t xml:space="preserve">. In this GBM timing problem, the adverse endpoint is the low-volatility endpoint. Lower volatility reduces the value of the option to wait (Dixit and Pindyck, 1994). More weight on this endpoint therefore lowers the member trigger and the corresponding member threshold.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The benchmark objective yields the same ordering at every admissible calibration.</w:t>
      </w:r>
    </w:p>
    <w:p>
      <w:pPr>
        <w:pStyle w:val="BodyText"/>
      </w:pPr>
      <w:r>
        <w:t xml:space="preserve">Three properties motivate the affine choice. First, it preserves a monotone correspondence between recorded weights and member thresholds, which keeps the member-threshold vector interpretable. Second, it has a closed form, which keeps the critical-weight derivation transparent. Third, it reproduces both endpoint triggers without an arbitrary reference project value. The pre-commitment benchmark requires such a value. A one-parameter nonlinear family of rules reduced the trigger error against the benchmark. It lost the above-one-half location of the critical weight and needed a radius-specific fit to align the directional labels. It also added one item to the registered configuration.</w:t>
      </w:r>
    </w:p>
    <w:p>
      <w:pPr>
        <w:pStyle w:val="BodyText"/>
      </w:pPr>
      <w:r>
        <w:t xml:space="preserve">Observed choices alone need not identify a unique interior</w:t>
      </w:r>
      <w:r>
        <w:t xml:space="preserve"> </w:t>
      </w:r>
      <m:oMath>
        <m:r>
          <m:t>α</m:t>
        </m:r>
      </m:oMath>
      <w:r>
        <w:t xml:space="preserve"> </w:t>
      </w:r>
      <w:r>
        <w:t xml:space="preserve">(Eichberger et al., 2011). This paper therefore treats</w:t>
      </w:r>
      <w:r>
        <w:t xml:space="preserve"> </w:t>
      </w:r>
      <m:oMath>
        <m:r>
          <m:t>α</m:t>
        </m:r>
      </m:oMath>
      <w:r>
        <w:t xml:space="preserve"> </w:t>
      </w:r>
      <w:r>
        <w:t xml:space="preserve">as a gate input, elicited or configured institutionally. A smooth-ambiguity member map would also index each member by a second-order belief over priors (Klibanoff et al., 2005; Chen et al., 2025). It would also need an ambiguity-aversion function. The present design needs one recorded weight per member.</w:t>
      </w:r>
    </w:p>
    <w:p>
      <w:pPr>
        <w:pStyle w:val="BodyText"/>
      </w:pPr>
      <w:r>
        <w:t xml:space="preserve">The rule also supports a directional reading of each member trigger. At a positive radius, a member trigger below the anchor is acceleration-oriented, and a trigger above the anchor is delay-oriented. These directional labels complement the invest-or-wait classifications. Their direction can be checked against the drift-ambiguity literature. Nishimura and Ozaki (2007) placed ambiguity on drift. At</w:t>
      </w:r>
      <w:r>
        <w:t xml:space="preserve"> </w:t>
      </w:r>
      <m:oMath>
        <m:r>
          <m:t>α</m:t>
        </m:r>
        <m:r>
          <m:rPr>
            <m:sty m:val="p"/>
          </m:rPr>
          <m:t>=</m:t>
        </m:r>
        <m:r>
          <m:t>1</m:t>
        </m:r>
      </m:oMath>
      <w:r>
        <w:t xml:space="preserve"> </w:t>
      </w:r>
      <w:r>
        <w:t xml:space="preserve">and a positive radius, the shift here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Here,</w:t>
      </w:r>
      <w:r>
        <w:t xml:space="preserve"> </w:t>
      </w:r>
      <m:oMath>
        <m:r>
          <m:t>h</m:t>
        </m:r>
      </m:oMath>
      <w:r>
        <w:t xml:space="preserve"> </w:t>
      </w:r>
      <w:r>
        <w:t xml:space="preserve">denotes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In the denominator, the</w:t>
      </w:r>
      <w:r>
        <w:t xml:space="preserve"> </w:t>
      </w:r>
      <m:oMath>
        <m:r>
          <m:t>O</m:t>
        </m:r>
        <m:r>
          <m:rPr>
            <m:sty m:val="p"/>
          </m:rPr>
          <m:t>(</m:t>
        </m:r>
        <m:r>
          <m:t>h</m:t>
        </m:r>
        <m:r>
          <m:rPr>
            <m:sty m:val="p"/>
          </m:rPr>
          <m:t>)</m:t>
        </m:r>
      </m:oMath>
      <w:r>
        <w:t xml:space="preserve"> </w:t>
      </w:r>
      <w:r>
        <w:t xml:space="preserve">terms of the two endpoint expansions add, and their</w:t>
      </w:r>
      <w:r>
        <w:t xml:space="preserve"> </w:t>
      </w:r>
      <m:oMath>
        <m:r>
          <m:t>O</m:t>
        </m:r>
        <m:r>
          <m:rPr>
            <m:sty m:val="p"/>
          </m:rPr>
          <m:t>(</m:t>
        </m:r>
        <m:sSup>
          <m:e>
            <m:r>
              <m:t>h</m:t>
            </m:r>
          </m:e>
          <m:sup>
            <m:r>
              <m:t>2</m:t>
            </m:r>
          </m:sup>
        </m:sSup>
        <m:r>
          <m:rPr>
            <m:sty m:val="p"/>
          </m:rPr>
          <m:t>)</m:t>
        </m:r>
      </m:oMath>
      <w:r>
        <w:t xml:space="preserve"> </w:t>
      </w:r>
      <w:r>
        <w:t xml:space="preserve">terms cancel. In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It pushes the critical weight above one half. The second term reflects concavity with respect to variance and works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locates this sign change relative to one half. This condition can be stated independently of the present model.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The above-one-half result therefore rests on convexity and the affine form alone. A vanishing Jensen gap places the critical weight exactly at one half.</w:t>
      </w:r>
    </w:p>
    <w:p>
      <w:pPr>
        <w:pStyle w:val="BodyText"/>
      </w:pPr>
      <w:r>
        <w:t xml:space="preserve">The trigger is strictly convex in</w:t>
      </w:r>
      <w:r>
        <w:t xml:space="preserve"> </w:t>
      </w:r>
      <m:oMath>
        <m:sSub>
          <m:e>
            <m:r>
              <m:t>σ</m:t>
            </m:r>
          </m:e>
          <m:sub>
            <m:r>
              <m:t>p</m:t>
            </m:r>
          </m:sub>
        </m:sSub>
      </m:oMath>
      <w:r>
        <w:t xml:space="preserve"> </w:t>
      </w:r>
      <w:r>
        <w:t xml:space="preserve">and strictly concave in</w:t>
      </w:r>
      <w:r>
        <w:t xml:space="preserve"> </w:t>
      </w:r>
      <m:oMath>
        <m:sSubSup>
          <m:e>
            <m:r>
              <m:t>σ</m:t>
            </m:r>
          </m:e>
          <m:sub>
            <m:r>
              <m:t>p</m:t>
            </m:r>
          </m:sub>
          <m:sup>
            <m:r>
              <m:t>2</m:t>
            </m:r>
          </m:sup>
        </m:sSubSup>
      </m:oMath>
      <w:r>
        <w:t xml:space="preserve">. A declaration of the same relative radius in variance units therefore reverses the Jensen gap. It places the critical weight below one half. The location of the critical weight thus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dispersion of the ratio widens with the radius. At a 10% relative radius, the critical weight was 0.517 in standard-deviation units and 0.496 in variance units. The gap between the two grew with the radius. At a matched relative radius, the two coordinates select different pairs of endpoint volatilities. They therefore describe two different ambiguity sets. The second model assumption fixes this declaration. The committee declares the ambiguity set in the units of its scenarios, and the directional labels are read against this declaration.</w:t>
      </w:r>
    </w:p>
    <w:p>
      <w:pPr>
        <w:pStyle w:val="BodyText"/>
      </w:pPr>
      <w:r>
        <w:t xml:space="preserve">Under the pre-commitment</w:t>
      </w:r>
      <w:r>
        <w:t xml:space="preserve"> </w:t>
      </w:r>
      <m:oMath>
        <m:r>
          <m:t>α</m:t>
        </m:r>
        <m:r>
          <m:rPr>
            <m:nor/>
          </m:rPr>
          <m:t>-MEU</m:t>
        </m:r>
      </m:oMath>
      <w:r>
        <w:t xml:space="preserve"> </w:t>
      </w:r>
      <w:r>
        <w:t xml:space="preserve">rule, the critical weight also moves with the reference project value. A directional label from this rule is therefore readable only with both the declared coordinate and the declared reference value. For a given calibration and radius, the affine label depends on the declared coordinate alone.</w:t>
      </w:r>
    </w:p>
    <w:p>
      <w:pPr>
        <w:pStyle w:val="BodyText"/>
      </w:pPr>
      <w:r>
        <w:t xml:space="preserve">The above-one-half result requires the Jensen-gap criterion to apply. Joint ambiguity over several channels has no natural pair of scalar ordered endpoints. The criterion then requires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The critical weight therefore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classification implied by the member triggers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w:t>
      </w:r>
      <w:r>
        <w:t xml:space="preserve"> </w:t>
      </w:r>
      <m:oMath>
        <m:r>
          <m:t>Q</m:t>
        </m:r>
      </m:oMath>
      <w:r>
        <w:t xml:space="preserve"> </w:t>
      </w:r>
      <w:r>
        <w:t xml:space="preserve">denotes annual captured emissions. It equals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applies a positive common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Two profiles with the same extreme weights therefore yield the same interval at a fixed positive radius. The gap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To leading order, the width factorizes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This approximation reproduced the exact width within 0.06% over the primary radius range. The width is thus approximately the product of three factors. These are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At</w:t>
      </w:r>
      <w:r>
        <w:t xml:space="preserve"> </w:t>
      </w:r>
      <m:oMath>
        <m:sSub>
          <m:e>
            <m:r>
              <m:t>h</m:t>
            </m:r>
          </m:e>
          <m:sub>
            <m:r>
              <m:t>t</m:t>
            </m:r>
          </m:sub>
        </m:sSub>
        <m:r>
          <m:rPr>
            <m:sty m:val="p"/>
          </m:rPr>
          <m:t>=</m:t>
        </m:r>
        <m:r>
          <m:t>0</m:t>
        </m:r>
      </m:oMath>
      <w:r>
        <w:t xml:space="preserve">, the width is zero, and no price produces a mixed classification. A change in the weight of one member moves an edge only when it changes the smallest or the largest recorded weight. The width then changes as well.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with distinct thresholds.</w:t>
      </w:r>
    </w:p>
    <w:p>
      <w:pPr>
        <w:pStyle w:val="BodyText"/>
      </w:pPr>
      <w:r>
        <w:rPr>
          <w:i/>
          <w:iCs/>
        </w:rPr>
        <w:t xml:space="preserve">Basis of the threshold.</w:t>
      </w:r>
      <w:r>
        <w:t xml:space="preserve"> </w:t>
      </w:r>
      <w:r>
        <w:t xml:space="preserve">The comparison between the prevailing price and the member thresholds is meaningful only on a stated threshold basis.</w:t>
      </w:r>
      <w:r>
        <w:t xml:space="preserve"> </w:t>
      </w:r>
      <m:oMath>
        <m:sSup>
          <m:e>
            <m:r>
              <m:t>P</m:t>
            </m:r>
          </m:e>
          <m:sup>
            <m:r>
              <m:rPr>
                <m:sty m:val="p"/>
              </m:rPr>
              <m:t>∗</m:t>
            </m:r>
          </m:sup>
        </m:sSup>
      </m:oMath>
      <w:r>
        <w:t xml:space="preserve"> </w:t>
      </w:r>
      <w:r>
        <w:t xml:space="preserve">is a marginal carbon-price threshold under the stated cash-flow mapping. It excludes operating costs, the energy penalty, transport and storage costs, and subsidies. Excluded costs are properties of the project, and members differ only in their recorded weights. Such costs therefore enter as common adjustments.</w:t>
      </w:r>
    </w:p>
    <w:p>
      <w:pPr>
        <w:pStyle w:val="BodyText"/>
      </w:pPr>
      <w:r>
        <w:rPr>
          <w:i/>
          <w:iCs/>
        </w:rPr>
        <w:t xml:space="preserve">Common adjustments.</w:t>
      </w:r>
      <w:r>
        <w:t xml:space="preserve"> </w:t>
      </w:r>
      <w:r>
        <w:t xml:space="preserve">Two adjustments of practical interest act identically on every member threshold through different operations.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shift leaves the interval width and the absolute threshold error of the affine rule unchanged. The factor rescales both, so the error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both constant across members,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Table 2 lists the affine rule and three alternative trigger formulations. All except the equilibrium of Huang and Yu (2021) are evaluated numerically. The pre-commitment</w:t>
      </w:r>
      <w:r>
        <w:t xml:space="preserve"> </w:t>
      </w:r>
      <m:oMath>
        <m:r>
          <m:t>α</m:t>
        </m:r>
        <m:r>
          <m:rPr>
            <m:nor/>
          </m:rPr>
          <m:t>-MEU</m:t>
        </m:r>
      </m:oMath>
      <w:r>
        <w:t xml:space="preserve"> </w:t>
      </w:r>
      <w:r>
        <w:t xml:space="preserve">optimum serves as the accuracy benchmark. The recursive</w:t>
      </w:r>
      <w:r>
        <w:t xml:space="preserve"> </w:t>
      </w:r>
      <m:oMath>
        <m:r>
          <m:t>α</m:t>
        </m:r>
      </m:oMath>
      <w:r>
        <w:t xml:space="preserve">-mixture of the generator serves as an analytical comparator.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The standard real-options expression gives</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At this step, the ambiguity set is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whose value decreases in volatility. The</w:t>
      </w:r>
      <w:r>
        <w:t xml:space="preserve"> </w:t>
      </w:r>
      <m:oMath>
        <m:r>
          <m:t>α</m:t>
        </m:r>
        <m:r>
          <m:rPr>
            <m:nor/>
          </m:rPr>
          <m:t>-MEU</m:t>
        </m:r>
      </m:oMath>
      <w:r>
        <w:t xml:space="preserve"> </w:t>
      </w:r>
      <w:r>
        <w:t xml:space="preserve">objective for a trigger rule is</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Bounded scalar optimization computes it. Solving this scalar problem at each recorded weight yields the benchmark member-threshold vector. The maximization runs over constant triggers. The solution is therefore optimal within the class of constant-threshold rules under the pre-commitment criterion.</w:t>
      </w:r>
    </w:p>
    <w:p>
      <w:pPr>
        <w:pStyle w:val="BodyText"/>
      </w:pPr>
      <w:r>
        <w:t xml:space="preserve">Unlike the affine rule, the benchmark vector depends on the reference project value</w:t>
      </w:r>
      <w:r>
        <w:t xml:space="preserve"> </w:t>
      </w:r>
      <m:oMath>
        <m:sSub>
          <m:e>
            <m:r>
              <m:t>V</m:t>
            </m:r>
          </m:e>
          <m:sub>
            <m:r>
              <m:t>0</m:t>
            </m:r>
          </m:sub>
        </m:sSub>
      </m:oMath>
      <w:r>
        <w:t xml:space="preserv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This value lay in the domain at every evaluated cell. A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this is a conservative sufficient form of the domain condition. Both calculations use the same economic primitives, volatility endpoints, recorded weights, and radius grid.</w:t>
      </w:r>
    </w:p>
    <w:p>
      <w:pPr>
        <w:pStyle w:val="BodyText"/>
      </w:pPr>
      <w:r>
        <w:t xml:space="preserve">Table 2 arranges the four formulations by role. The recursive</w:t>
      </w:r>
      <w:r>
        <w:t xml:space="preserve"> </w:t>
      </w:r>
      <m:oMath>
        <m:r>
          <m:t>α</m:t>
        </m:r>
      </m:oMath>
      <w:r>
        <w:t xml:space="preserve">-mixture shares two features with the affine rule, a closed form and independence from the reference value. The benchmark serves as the comparator at the same reporting granularity, a member-indexed threshold vector. It is required whenever the affine-only release rule fails. The equilibrium of Huang and Yu (2021) completes the table.</w:t>
      </w:r>
    </w:p>
    <w:p>
      <w:pPr>
        <w:pStyle w:val="BodyText"/>
      </w:pPr>
      <w:r>
        <w:t xml:space="preserve">Two conditions qualify the benchmark vector as the accuracy standard.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the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Both conditions have closed forms in the calibration and the radius. A gate can therefore check them without solving the benchmark. Condition (14) held at all 33 admissible calibrations across the admissible radius range, with a slack of at least</w:t>
      </w:r>
      <w:r>
        <w:t xml:space="preserve"> </w:t>
      </w:r>
      <m:oMath>
        <m:r>
          <m:t>0.906</m:t>
        </m:r>
        <m:r>
          <m:t>I</m:t>
        </m:r>
      </m:oMath>
      <w:r>
        <w:t xml:space="preserve">. The global-maximizer property therefore held for every reported benchmark value. A separate scan covered 30,090 cells defined by calibration, radius, reference value, and weight. It counted exactly one interior maximum of</w:t>
      </w:r>
      <w:r>
        <w:t xml:space="preserve"> </w:t>
      </w:r>
      <m:oMath>
        <m:sSup>
          <m:e>
            <m:r>
              <m:t>J</m:t>
            </m:r>
          </m:e>
          <m:sup>
            <m:r>
              <m:t>α</m:t>
            </m:r>
          </m:sup>
        </m:sSup>
      </m:oMath>
      <w:r>
        <w:t xml:space="preserve"> </w:t>
      </w:r>
      <w:r>
        <w:t xml:space="preserve">in every cell.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The relative gap was at most</w:t>
      </w:r>
      <w:r>
        <w:t xml:space="preserve"> </w:t>
      </w:r>
      <m:oMath>
        <m:r>
          <m:t>4.5</m:t>
        </m:r>
        <m:r>
          <m:rPr>
            <m:sty m:val="p"/>
          </m:rPr>
          <m:t>×</m:t>
        </m:r>
        <m:sSup>
          <m:e>
            <m:r>
              <m:t>10</m:t>
            </m:r>
          </m:e>
          <m:sup>
            <m:r>
              <m:rPr>
                <m:sty m:val="p"/>
              </m:rPr>
              <m:t>−</m:t>
            </m:r>
            <m:r>
              <m:t>6</m:t>
            </m:r>
          </m:sup>
        </m:sSup>
      </m:oMath>
      <w:r>
        <w:t xml:space="preserve">, confirmed at 40-digit precision. This failure lies above the 10% cap, where the release rule already requires a dual report.</w:t>
      </w:r>
    </w:p>
    <w:p>
      <w:pPr>
        <w:pStyle w:val="TableCaption"/>
      </w:pPr>
      <w:r>
        <w:t xml:space="preserve">Table 2. Decision-rule outputs and their roles in this paper.</w:t>
      </w:r>
    </w:p>
    <w:tbl>
      <w:tblPr>
        <w:tblStyle w:val="Table"/>
        <w:tblW w:type="auto" w:w="0"/>
        <w:tblLook w:firstRow="1" w:lastRow="0" w:firstColumn="0" w:lastColumn="0" w:noHBand="0" w:noVBand="0" w:val="0020"/>
        <w:tblCaption w:val="Table 2. Decision-rule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Closed-form mechanism, independent of the reference value, preserving member thresholds</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Direct comparator, benchmark available by recomputation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Third comparator. Its critical weight has the closed form of Eq. (17) and lies above one half. The variance mixture fixes this value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On the constant-endpoint set of this paper, the recursive row is time-consistent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Applying the same</w:t>
      </w:r>
      <w:r>
        <w:t xml:space="preserve"> </w:t>
      </w:r>
      <m:oMath>
        <m:r>
          <m:t>α</m:t>
        </m:r>
      </m:oMath>
      <w:r>
        <w:t xml:space="preserve">-mixture at every state yields a rule dynamically consistent by construction. In this setting, the rule also has a closed form. Under convexity of the continuation value, the generator collapses to the ordinary geometric Brownian form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The recursive trigger is then</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It is free of any reference project value.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threshold. A time-consistent formulation thus meets the reporting condition in this setting. The recursive columns of Table 4 report the implied critical weight and interval width. The recursive rule remains a comparator for one reason. Mixing the two generators mixes variances, so a recorded weight indexes an effective volatility. Under the affine rule, the weight indexes a position between the two endpoint triggers.</w:t>
      </w:r>
    </w:p>
    <w:p>
      <w:pPr>
        <w:pStyle w:val="BodyText"/>
      </w:pPr>
      <w:r>
        <w:t xml:space="preserve">Eqs. (17) and (7) locate the difference between the two rules.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Its coefficient of</w:t>
      </w:r>
      <w:r>
        <w:t xml:space="preserve"> </w:t>
      </w:r>
      <m:oMath>
        <m:r>
          <m:t>h</m:t>
        </m:r>
      </m:oMath>
      <w:r>
        <w:t xml:space="preserve"> </w:t>
      </w:r>
      <w:r>
        <w:t xml:space="preserve">equals the geometric term of the curvature ratio. The affine coefficient also retains a negative</w:t>
      </w:r>
      <w:r>
        <w:t xml:space="preserve"> </w:t>
      </w:r>
      <m:oMath>
        <m:r>
          <m:t>β</m:t>
        </m:r>
      </m:oMath>
      <w:r>
        <w:t xml:space="preserve">-curvature correction. Near the anchor, the affine critical weight therefore lies below the recursive one. Table 4 compares all three formulations, and this ordering held at every evaluated radius. The affine and recursive critical weights lay above one half. The pre-commitment critical weight at</w:t>
      </w:r>
      <w:r>
        <w:t xml:space="preserve"> </w:t>
      </w:r>
      <m:oMath>
        <m:sSub>
          <m:e>
            <m:r>
              <m:t>V</m:t>
            </m:r>
          </m:e>
          <m:sub>
            <m:r>
              <m:t>0</m:t>
            </m:r>
          </m:sub>
        </m:sSub>
        <m:r>
          <m:rPr>
            <m:sty m:val="p"/>
          </m:rPr>
          <m:t>=</m:t>
        </m:r>
        <m:r>
          <m:t>I</m:t>
        </m:r>
      </m:oMath>
      <w:r>
        <w:t xml:space="preserve"> </w:t>
      </w:r>
      <w:r>
        <w:t xml:space="preserve">lay below one half and decreased in the radius. Under the benchmark at this reference value, both the sign of Corollary 1 and the monotonicity of Corollary 2 reverse. At the baseline calibration and the four-member reference profile, the widths differed far less than the labels. At a 10% radius, the widths were 10.945 CNY/t (affine), 11.027 CNY/t (recursive), and 10.717 CNY/t (pre-commitment). The two comparators lay within 2.1% of the affine width. This distance grew with the radius and reached 6.4% at the 33% stress radius. This magnitude was close to the 6.15% maximum trigger error over all calibrations and the full radius grid.</w:t>
      </w:r>
    </w:p>
    <w:p>
      <w:pPr>
        <w:pStyle w:val="BodyText"/>
      </w:pPr>
      <w:r>
        <w:t xml:space="preserve">The closed forms in Eqs. (6) and (17) both rest on the perpetual geometric Brownian structure. Eq. (17) requires a convex continuation value, so the generator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These were a finite investment horizon, a mean-reverting log price, and a jump diffusion. Each specification is solved on one grid shared by the three volatility endpoints. The discretization bias in the trigger level then largely cancels in the ratio. Table 3 reports the binding cells.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Three steps then supply the required trigger values. First, the two endpoint triggers must exist and remain ordered. Second, the trigger must be monotone and curved in the declared coordinate. Third, the weight equating the affine threshold with the anchor threshold is recomputed from the new continuation value. The jump row of Table 3 follows these three steps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which binds the above-one-half claim. The finite-horizon grid carries six horizons, the mean-reversion grid four reversion speeds, and the jump grid three variance shares. In the mean-reversion and jump grids, one of these settings is a solver control. The three grids give 24, 16, and 12 cells. On the jump grid, the no-jump control bound at every radius, because moving declared variance into jumps raised the critical weight. On the mean-reversion grid, the</w:t>
      </w:r>
      <w:r>
        <w:t xml:space="preserve"> </w:t>
      </w:r>
      <m:oMath>
        <m:r>
          <m:t>κ</m:t>
        </m:r>
        <m:r>
          <m:rPr>
            <m:sty m:val="p"/>
          </m:rPr>
          <m:t>=</m:t>
        </m:r>
        <m:r>
          <m:t>0</m:t>
        </m:r>
      </m:oMath>
      <w:r>
        <w:t xml:space="preserve"> </w:t>
      </w:r>
      <w:r>
        <w:t xml:space="preserve">control bound at the 10%, 22%, and 33% radii. A positive reversion speed raised the critical weight at these radii. At the 5% radius,</w:t>
      </w:r>
      <w:r>
        <w:t xml:space="preserve"> </w:t>
      </w:r>
      <m:oMath>
        <m:r>
          <m:t>κ</m:t>
        </m:r>
        <m:r>
          <m:rPr>
            <m:sty m:val="p"/>
          </m:rPr>
          <m:t>=</m:t>
        </m:r>
        <m:r>
          <m:t>0.30</m:t>
        </m:r>
      </m:oMath>
      <w:r>
        <w:t xml:space="preserve"> </w:t>
      </w:r>
      <w:r>
        <w:t xml:space="preserve">bound by 0.0005. The perpetual row is the exact affine value of Eq. (6). Each departure is solved by the Crank-Nicolson method. The three volatility endpoints share one logarithmic grid within each departure, so the level bias cancels in the ratio. The free boundary is interpolated between nodes.</w:t>
      </w:r>
    </w:p>
    <w:p>
      <w:pPr>
        <w:pStyle w:val="TableCaption"/>
      </w:pPr>
      <w:r>
        <w:t xml:space="preserve">Table 4. Critical weight and interval width under different</w:t>
      </w:r>
      <w:r>
        <w:t xml:space="preserve"> </w:t>
      </w:r>
      <m:oMath>
        <m:r>
          <m:t>h</m:t>
        </m:r>
        <m:r>
          <m:rPr>
            <m:sty m:val="p"/>
          </m:rPr>
          <m:t>/</m:t>
        </m:r>
        <m:sSub>
          <m:e>
            <m:bar>
              <m:barPr>
                <m:pos m:val="top"/>
              </m:barPr>
              <m:e>
                <m:r>
                  <m:t>σ</m:t>
                </m:r>
              </m:e>
            </m:bar>
          </m:e>
          <m:sub>
            <m:r>
              <m:t>0</m:t>
            </m:r>
          </m:sub>
        </m:sSub>
      </m:oMath>
      <w:r>
        <w:t xml:space="preserve"> </w:t>
      </w:r>
      <w:r>
        <w:t xml:space="preserve">settings and the three trigger formulations.</w:t>
      </w:r>
    </w:p>
    <w:tbl>
      <w:tblPr>
        <w:tblStyle w:val="Table"/>
        <w:tblW w:type="auto" w:w="0"/>
        <w:tblLook w:firstRow="0" w:lastRow="0" w:firstColumn="0" w:lastColumn="0" w:noHBand="0" w:noVBand="0" w:val="0000"/>
        <w:tblCaption w:val="Table 4. Critical weight and interval width under different h/\overline{\sigma}_0 settings and the three trigger formulations."/>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column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fell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In Proposition 4,</w:t>
      </w:r>
      <w:r>
        <w:t xml:space="preserve"> </w:t>
      </w:r>
      <m:oMath>
        <m:sSubSup>
          <m:e>
            <m:r>
              <m:t>V</m:t>
            </m:r>
          </m:e>
          <m:sub>
            <m:r>
              <m:rPr>
                <m:sty m:val="p"/>
              </m:rPr>
              <m:t>l</m:t>
            </m:r>
            <m:r>
              <m:rPr>
                <m:sty m:val="p"/>
              </m:rPr>
              <m:t>i</m:t>
            </m:r>
            <m:r>
              <m:rPr>
                <m:sty m:val="p"/>
              </m:rPr>
              <m:t>n</m:t>
            </m:r>
          </m:sub>
          <m:sup>
            <m:r>
              <m:rPr>
                <m:sty m:val="p"/>
              </m:rPr>
              <m:t>∗</m:t>
            </m:r>
          </m:sup>
        </m:sSubSup>
      </m:oMath>
      <w:r>
        <w:t xml:space="preserve"> </w:t>
      </w:r>
      <w:r>
        <w:t xml:space="preserve">denotes the trigger from Eq. (5), and</w:t>
      </w:r>
      <w:r>
        <w:t xml:space="preserve"> </w:t>
      </w:r>
      <m:oMath>
        <m:sSubSup>
          <m:e>
            <m:r>
              <m:t>V</m:t>
            </m:r>
          </m:e>
          <m:sub>
            <m:r>
              <m:t>α</m:t>
            </m:r>
            <m:r>
              <m:rPr>
                <m:nor/>
              </m:rPr>
              <m:t>-MEU</m:t>
            </m:r>
          </m:sub>
          <m:sup>
            <m:r>
              <m:rPr>
                <m:sty m:val="p"/>
              </m:rPr>
              <m:t>∗</m:t>
            </m:r>
          </m:sup>
        </m:sSubSup>
      </m:oMath>
      <w:r>
        <w:t xml:space="preserve"> </w:t>
      </w:r>
      <w:r>
        <w:t xml:space="preserve">denotes the optimum of Eq. (13). The proposition separates the size of the trigger error from the location of the critical weight.</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Part (i) puts the trigger discrepancy at order</w:t>
      </w:r>
      <w:r>
        <w:rPr>
          <w:i/>
          <w:iCs/>
        </w:rPr>
        <w:t xml:space="preserve"> </w:t>
      </w:r>
      <m:oMath>
        <m:sSup>
          <m:e>
            <m:r>
              <m:t>h</m:t>
            </m:r>
          </m:e>
          <m:sup>
            <m:r>
              <m:t>2</m:t>
            </m:r>
          </m:sup>
        </m:sSup>
      </m:oMath>
      <w:r>
        <w:rPr>
          <w:i/>
          <w:iCs/>
        </w:rPr>
        <w:t xml:space="preserve">. The critical weights of the two formulations, however,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w:t>
      </w:r>
      <w:r>
        <w:t xml:space="preserve"> </w:t>
      </w:r>
      <m:oMath>
        <m:r>
          <m:t>K</m:t>
        </m:r>
      </m:oMath>
      <w:r>
        <w:t xml:space="preserve"> </w:t>
      </w:r>
      <w:r>
        <w:t xml:space="preserve">equaled 1.0495 at the baseline calibration.</w:t>
      </w:r>
    </w:p>
    <w:p>
      <w:pPr>
        <w:pStyle w:val="BodyText"/>
      </w:pPr>
      <w:r>
        <w:t xml:space="preserve">The position of the benchmark critical weight relative to one half depends on the reference project value. Over the baseline grid, the benchmark critical weight fell on both sides of one half.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everywhere. On the evaluated grid, the two never coincided at a positive radius. At</w:t>
      </w:r>
      <w:r>
        <w:t xml:space="preserve"> </w:t>
      </w:r>
      <m:oMath>
        <m:sSub>
          <m:e>
            <m:r>
              <m:t>V</m:t>
            </m:r>
          </m:e>
          <m:sub>
            <m:r>
              <m:t>0</m:t>
            </m:r>
          </m:sub>
        </m:sSub>
        <m:r>
          <m:rPr>
            <m:sty m:val="p"/>
          </m:rPr>
          <m:t>=</m:t>
        </m:r>
        <m:r>
          <m:t>I</m:t>
        </m:r>
      </m:oMath>
      <w:r>
        <w:t xml:space="preserve">, 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band of weights with opposite labels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Parts (i) and (ii) of Proposition 4 characterize the trigger-level error. This error does not pass to the interval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The width is only</w:t>
      </w:r>
      <w:r>
        <w:t xml:space="preserve"> </w:t>
      </w:r>
      <m:oMath>
        <m:r>
          <m:t>O</m:t>
        </m:r>
        <m:r>
          <m:rPr>
            <m:sty m:val="p"/>
          </m:rPr>
          <m:t>(</m:t>
        </m:r>
        <m:r>
          <m:t>h</m:t>
        </m:r>
        <m:r>
          <m:rPr>
            <m:sty m:val="p"/>
          </m:rPr>
          <m:t>)</m:t>
        </m:r>
      </m:oMath>
      <w:r>
        <w:t xml:space="preserve"> </w:t>
      </w:r>
      <w:r>
        <w:t xml:space="preserve">when the extreme weights differ.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when the extreme weights are symmetric about one half. Without this symmetry, the relative width error is</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The directional labels depend on the location of the critical weight, and two reporting rules follow. First, a label is released only with the reference project value and the declared ambiguity coordinate. Under the benchmark, the side of one half depends on the reference value. Under the affine rule, it depends on the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 contested-price interval and the invest-or-wait classification depend on the member thresholds and fall under a separate safeguard.</w:t>
      </w:r>
    </w:p>
    <w:p>
      <w:pPr>
        <w:pStyle w:val="BodyText"/>
      </w:pPr>
      <w:r>
        <w:t xml:space="preserve">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This corresponds to at most 1.47 CNY/t in the marginal carbon-price threshold. On the extended range, the maximum reached 2.82%. The 33 admissible economic calibrations form a 36-point Cartesian grid minus three cells violating</w:t>
      </w:r>
      <w:r>
        <w:t xml:space="preserve"> </w:t>
      </w:r>
      <m:oMath>
        <m:r>
          <m:t>r</m:t>
        </m:r>
        <m:r>
          <m:rPr>
            <m:sty m:val="p"/>
          </m:rPr>
          <m:t>&gt;</m:t>
        </m:r>
        <m:sSub>
          <m:e>
            <m:r>
              <m:t>μ</m:t>
            </m:r>
          </m:e>
          <m:sub>
            <m:r>
              <m:t>c</m:t>
            </m:r>
          </m:sub>
        </m:sSub>
      </m:oMath>
      <w:r>
        <w:t xml:space="preserve">. Across them, the maxima rose to 2.74% on the primary range and 6.15% on the full grid. The interval-width error for the four-member reference profile was also computed at the largest radius of the reconstructed signal path. It was at most 2.25% across the tested reference values. Figure 3 maps the relative trigger error over the full grid of radii and weights at the baseline calibration.</w:t>
      </w:r>
    </w:p>
    <w:p>
      <w:pPr>
        <w:pStyle w:val="BodyText"/>
      </w:pPr>
      <w:r>
        <w:t xml:space="preserve">The dependence of the benchmark vector on</w:t>
      </w:r>
      <w:r>
        <w:t xml:space="preserve"> </w:t>
      </w:r>
      <m:oMath>
        <m:sSub>
          <m:e>
            <m:r>
              <m:t>V</m:t>
            </m:r>
          </m:e>
          <m:sub>
            <m:r>
              <m:t>0</m:t>
            </m:r>
          </m:sub>
        </m:sSub>
      </m:oMath>
      <w:r>
        <w:t xml:space="preserve"> </w:t>
      </w:r>
      <w:r>
        <w:t xml:space="preserve">affects the directional labels. Fixing</w:t>
      </w:r>
      <w:r>
        <w:t xml:space="preserve"> </w:t>
      </w:r>
      <m:oMath>
        <m:sSub>
          <m:e>
            <m:r>
              <m:t>V</m:t>
            </m:r>
          </m:e>
          <m:sub>
            <m:r>
              <m:t>0</m:t>
            </m:r>
          </m:sub>
        </m:sSub>
        <m:r>
          <m:rPr>
            <m:sty m:val="p"/>
          </m:rPr>
          <m:t>=</m:t>
        </m:r>
        <m:r>
          <m:t>I</m:t>
        </m:r>
      </m:oMath>
      <w:r>
        <w:t xml:space="preserve"> </w:t>
      </w:r>
      <w:r>
        <w:t xml:space="preserve">removes this dependence only through a second reporting choice. The affine rule needs no such choice, since it uses only the two endpoint triggers and the recorded weights.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 The release envelopes were constructed and audited against the benchmark.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full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The grid covers ambiguity radius</w:t>
      </w:r>
      <w:r>
        <w:t xml:space="preserve"> </w:t>
      </w:r>
      <m:oMath>
        <m:r>
          <m:t>h</m:t>
        </m:r>
        <m:r>
          <m:rPr>
            <m:sty m:val="p"/>
          </m:rPr>
          <m:t>/</m:t>
        </m:r>
        <m:sSub>
          <m:e>
            <m:bar>
              <m:barPr>
                <m:pos m:val="top"/>
              </m:barPr>
              <m:e>
                <m:r>
                  <m:t>σ</m:t>
                </m:r>
              </m:e>
            </m:bar>
          </m:e>
          <m:sub>
            <m:r>
              <m:t>0</m:t>
            </m:r>
          </m:sub>
        </m:sSub>
      </m:oMath>
      <w:r>
        <w:t xml:space="preserve"> </w:t>
      </w:r>
      <w:r>
        <w:t xml:space="preserve">and recorded weight</w:t>
      </w:r>
      <w:r>
        <w:t xml:space="preserve"> </w:t>
      </w:r>
      <m:oMath>
        <m:r>
          <m:t>α</m:t>
        </m:r>
      </m:oMath>
      <w:r>
        <w:t xml:space="preserve"> </w:t>
      </w:r>
      <w:r>
        <w:t xml:space="preserve">at the baseline calibration and</w:t>
      </w:r>
      <w:r>
        <w:t xml:space="preserve"> </w:t>
      </w:r>
      <m:oMath>
        <m:sSub>
          <m:e>
            <m:r>
              <m:t>V</m:t>
            </m:r>
          </m:e>
          <m:sub>
            <m:r>
              <m:t>0</m:t>
            </m:r>
          </m:sub>
        </m:sSub>
        <m:r>
          <m:rPr>
            <m:sty m:val="p"/>
          </m:rPr>
          <m:t>=</m:t>
        </m:r>
        <m:r>
          <m:t>I</m:t>
        </m:r>
      </m:oMath>
      <w:r>
        <w:t xml:space="preserve">. Shading shows the relative trigger error in percent.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peaked near</w:t>
      </w:r>
      <w:r>
        <w:t xml:space="preserve"> </w:t>
      </w:r>
      <m:oMath>
        <m:r>
          <m:t>α</m:t>
        </m:r>
        <m:r>
          <m:rPr>
            <m:sty m:val="p"/>
          </m:rPr>
          <m:t>=</m:t>
        </m:r>
        <m:r>
          <m:t>1</m:t>
        </m:r>
        <m:r>
          <m:rPr>
            <m:sty m:val="p"/>
          </m:rPr>
          <m:t>/</m:t>
        </m:r>
        <m:r>
          <m:t>2</m:t>
        </m:r>
      </m:oMath>
      <w:r>
        <w:t xml:space="preserve"> </w:t>
      </w:r>
      <w:r>
        <w:t xml:space="preserve">and vanished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Small trigger errors can still change classifications when a price lies between the affine and benchmark thresholds. The comparison is therefore made on the price axis, vector against vector. Two quantities are computed for each configuration.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unsupported by the benchmark. These geometric diagnostics require no price distribution.</w:t>
      </w:r>
    </w:p>
    <w:p>
      <w:pPr>
        <w:pStyle w:val="BodyText"/>
      </w:pPr>
      <w:r>
        <w:t xml:space="preserve">The criteria are evaluated on a fixed deterministic design. The design combines the 33 admissible calibrations with four panel sizes (3, 5, 7, and 9) and six recorded-weight profiles. It uses relative radii of 5%, 10%, 15%, and 22%. The reference project value equals the investment cost. The design contains 3,168 configurations. A protocol dated 22 July 2026 fixed the design dimensions and the two criteria before any outcome was inspected. The original weight profiles and simulation code were not retained. The reported results therefore come from a re-specified design in the replication archive.</w:t>
      </w:r>
    </w:p>
    <w:p>
      <w:pPr>
        <w:pStyle w:val="BodyText"/>
      </w:pPr>
      <w:r>
        <w:t xml:space="preserve">Criterion C1 requires at least 95% of configurations to attain an IoU of at least 0.90. Criterion C2 requires the 95th percentile of the omitted mixed share to be at most 5%. Both criteria concern the tail of the distribution. On the full set, 89.5% of configurations attained an IoU of at least 0.90, below the 95% required by C1. The 95th percentile of the omitted mixed share was 7.65%, above the C2 limit. The full set therefore met neither criterion. At the 10% radius alone, 98.2% of configurations met the IoU requirement. On the pooled 5% and 10% set, this share was 99.1%, and the 95th percentile of the omitted mixed share was 4.15%. Both criteria held on this restricted set. The restriction was introduced after the evaluation on the full set, and the criteria were kept as declared.</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examined whether the member-threshold vector retains price-axis information lost by any single trigger. It compares the affine member-threshold vector with single-trigger compressions of the benchmark vector. The simulation generates 2,000 panels for each combination of five radii, four panel sizes, and five weight families. Each simulated panel draws one of the 33 calibrations. The design contains 200,000 panels, 160,000 of them within the primary radius range.</w:t>
      </w:r>
    </w:p>
    <w:p>
      <w:pPr>
        <w:pStyle w:val="BodyText"/>
      </w:pPr>
      <w:r>
        <w:t xml:space="preserve">Member-vector loss is the mean absolute price-axis distance between each affine threshold and its benchmark counterpart. It is expressed as a percentage of the anchor threshold. Four single-trigger candidates enter the comparison. They are the anchor threshold, the benchmark thresholds at the mean and median recorded weights, and the largest benchmark member threshold. The loss of a candidate is computed by replacing every affine threshold with the candidate threshold. For each panel, a restricted ex post comparator selects the candidate with the lowest loss. It uses the benchmark vector after the panel is generated. The comparison therefore runs against the most favorable of the four candidate summaries in hindsight.</w:t>
      </w:r>
    </w:p>
    <w:p>
      <w:pPr>
        <w:pStyle w:val="BodyText"/>
      </w:pPr>
      <w:r>
        <w:t xml:space="preserve">Criterion C3 has two parts. The median member-vector loss must be at most one half of the median loss of the comparator. The 95% design-cell resampling interval for the improvement must also exclude zero. The four primary radii, four panel sizes, and five weight families define 80 design cells. Each cell contributes the median paired loss difference within it.</w:t>
      </w:r>
    </w:p>
    <w:p>
      <w:pPr>
        <w:pStyle w:val="BodyText"/>
      </w:pPr>
      <w:r>
        <w:t xml:space="preserve">Across the in-range panels, the median member-vector loss was 0.224% of the anchor threshold. The median loss of the comparator was 1.944%, a reduction of 88.5%. The member-threshold vector had the lower loss in 99.5% of the panels. The experiment quantifies the price-axis information lost when a benchmark vector with</w:t>
      </w:r>
      <w:r>
        <w:t xml:space="preserve"> </w:t>
      </w:r>
      <m:oMath>
        <m:r>
          <m:t>m</m:t>
        </m:r>
      </m:oMath>
      <w:r>
        <w:t xml:space="preserve"> </w:t>
      </w:r>
      <w:r>
        <w:t xml:space="preserve">members is compressed to one threshold.</w:t>
      </w:r>
    </w:p>
    <w:p>
      <w:pPr>
        <w:pStyle w:val="BodyText"/>
      </w:pPr>
      <w:r>
        <w:t xml:space="preserve">The comparator selected the median-weight benchmark threshold in every tested panel, as the absolute-distance loss implies for odd panel sizes. Across the 80 design cells, the median cell-level loss difference was 1.65% of the anchor threshold. Its 95% resampling interval ran from 1.31% to 2.06%, so Criterion C3 was met. The improvement was spread across the design and survived the resampling.</w:t>
      </w:r>
    </w:p>
    <w:p>
      <w:pPr>
        <w:pStyle w:val="BodyText"/>
      </w:pPr>
      <w:r>
        <w:t xml:space="preserve">A second question concerns how much of this gain requires the full vector. A separate deterministic grid, equal in size to the fidelity evaluation set, addressed it. A three-threshold summary reported the smallest, median, and largest benchmark thresholds. It cut the median loss to 0.502% of the anchor threshold. The best single trigger reached 2.240%, and the member-threshold vector reached 0.235%. The full vector thus removed 53% of the loss left by the three-threshold summary. It was the more accurate of the two in 72.5% of configurations. Three-member panels form a quarter of this grid. There, the three-threshold summary reproduces the benchmark vector exactly. The comparison is informative only on the remaining cells. Adding a min-max midpoint and a quartile-based composite to the comparator set left the ordering unchanged. Most of the improvement over a single trigger therefore came from reporting more than one threshold. The member-indexed vector also identifies the member behind each threshold, which a sorted summary cannot do.</w:t>
      </w:r>
    </w:p>
    <w:p>
      <w:pPr>
        <w:pStyle w:val="BodyText"/>
      </w:pPr>
      <w:r>
        <w:t xml:space="preserve">Table 6 reports the Monte Carlo results by radius, and each row summarizes 40,000 simulated panels. Its omitted-share percentiles differed from the deterministic statistics because the simulation drew random weight profiles.</w:t>
      </w:r>
    </w:p>
    <w:p>
      <w:pPr>
        <w:pStyle w:val="BodyText"/>
      </w:pPr>
      <w:r>
        <w:t xml:space="preserve">The same panels supply two inputs for an institution setting its own criteria. The first input is a length in price units, the omitted mixed share multiplied by the benchmark width. Table 6 reports this length normalized by the anchor threshold. It ran from 0.09% at a 5% radius to 3.60% at the stress radius. At the anchor threshold, these values equaled about 0.10 and 4.24 CNY/t. The second input is panel dependence. Fidelity improved monotonically with panel size and degraded under one-sided weight skew. A skewed profile brings the two interval edges closer together. A given trigger displacement then removes a larger share of the benchmark interval. The weakest cell was a three-member panel under skew. A committee can compare these lengths with the price band over which it regards the gate decision as open. It can then set its own release cap.</w:t>
      </w:r>
    </w:p>
    <w:p>
      <w:pPr>
        <w:pStyle w:val="BodyText"/>
      </w:pPr>
      <w:r>
        <w:t xml:space="preserve">A three-member panel under skew is visible at the gate without the benchmark. A dispersion statistic of the recorded weights might therefore serve as an escalation rule. The natural candidate is the ratio of the full interval width to its interquartile counterpart. This ratio failed as an escalation rule. For three-member panels, this ratio equals two for every profile. Classification fidelity for these panels ranged from 48.5% to 99.2%, measured as the share of configurations with an IoU of at least 0.90. For larger panels, the correlation between the ratio and fidelity stayed below 0.25. The weight shape and the panel size did separate passing cells from failing cells, and a gate records both. The release rule nonetheless conditions on price-axis distances, because its proximity conditions catch the affected gates directly.</w:t>
      </w:r>
    </w:p>
    <w:p>
      <w:pPr>
        <w:pStyle w:val="BodyText"/>
      </w:pPr>
      <w:r>
        <w:t xml:space="preserve">The four-member application profile was evaluated separately and deterministically. The evaluation used 30 direct comparisons between the affine rule and the benchmark, over five radii and six reference values. These checks and the 32 archived-price cells of Table 13 are archived in the replication package.</w:t>
      </w:r>
    </w:p>
    <w:p>
      <w:pPr>
        <w:pStyle w:val="TableCaption"/>
      </w:pPr>
      <w:r>
        <w:t xml:space="preserve">Table 6. Classification fidelity and price-axis information loss across simulated panels of sizes 3, 5, 7, and 9. The 33% radius is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The 33% radius i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benchmark share / anchor-normalized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weakened as the radius grew. The loss was sharpest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The distance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label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and the member condition binds. Both distances are retained for audit. The envelope contains the registered maximum member-trigger error plus a numerical tolerance.</w:t>
      </w:r>
      <w:r>
        <w:t xml:space="preserve"> </w:t>
      </w:r>
      <m:oMath>
        <m:sSub>
          <m:e>
            <m:r>
              <m:t>E</m:t>
            </m:r>
          </m:e>
          <m:sub>
            <m:r>
              <m:rPr>
                <m:scr m:val="script"/>
                <m:sty m:val="p"/>
              </m:rPr>
              <m:t>R</m:t>
            </m:r>
          </m:sub>
        </m:sSub>
      </m:oMath>
      <w:r>
        <w:t xml:space="preserve"> </w:t>
      </w:r>
      <w:r>
        <w:t xml:space="preserve">carries the anchor threshold</w:t>
      </w:r>
      <w:r>
        <w:t xml:space="preserve"> </w:t>
      </w:r>
      <m:oMath>
        <m:sSubSup>
          <m:e>
            <m:r>
              <m:t>P</m:t>
            </m:r>
          </m:e>
          <m:sub>
            <m:r>
              <m:t>0</m:t>
            </m:r>
          </m:sub>
          <m:sup>
            <m:r>
              <m:rPr>
                <m:sty m:val="p"/>
              </m:rPr>
              <m:t>∗</m:t>
            </m:r>
          </m:sup>
        </m:sSubSup>
      </m:oMath>
      <w:r>
        <w:t xml:space="preserve"> </w:t>
      </w:r>
      <w:r>
        <w:t xml:space="preserve">as a multiplicative factor, with the tolerance inside the bracket. A common rescaling of the member thresholds therefore rescales</w:t>
      </w:r>
      <w:r>
        <w:t xml:space="preserve"> </w:t>
      </w:r>
      <m:oMath>
        <m:sSub>
          <m:e>
            <m:r>
              <m:t>E</m:t>
            </m:r>
          </m:e>
          <m:sub>
            <m:r>
              <m:rPr>
                <m:scr m:val="script"/>
                <m:sty m:val="p"/>
              </m:rPr>
              <m:t>R</m:t>
            </m:r>
          </m:sub>
        </m:sSub>
      </m:oMath>
      <w:r>
        <w:t xml:space="preserve"> </w:t>
      </w:r>
      <w:r>
        <w:t xml:space="preserve">by the same factor. The anchor-normalized trigger error stays invariant. The release decision can still change, because the prevailing price stays fixed while the thresholds rescale. The registry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It then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A past release can thus be reconstructed on its original price axis.</w:t>
      </w:r>
    </w:p>
    <w:p>
      <w:pPr>
        <w:pStyle w:val="BodyText"/>
      </w:pPr>
      <w:r>
        <w:t xml:space="preserve">The benchmark may be requested at any gate, and the registry governs only its omission.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The reporting interface passes the member-threshold vector and the fallback status. A match must come from the frozen serialized key. Rounded display values and values reparsed from the upstream signal file do not qualify. Interpolation is excluded, because no certified release envelope exists between evaluated radius keys. The cap is a hard cutoff, so a rounded configuration constant can fall on the wrong side of it. One low-radius scenario targeted exactly 10% and yielded 10.30% at its rounded constant, outside the affine-only region. Exact-key matching prevents this error. An institution may prespecify a rule mapping each gate radius to a registered key.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This sufficient condition guarantees a single stationary point of the benchmark objective. When it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It then compares the objective at all of them and at both endpoints before releasing a benchmark classification. Condition (15) is recorded separately, because it governs the one-sided reading of the dual report. Recomputation costs one bounded scalar solve per member. The algorithm fixes the number of solves, and the wall-clock time depends on the computing environment. In prospective institutional use, the registry should be append-only. Algorithm 1 states the matching, versioning, and solver rules.</w:t>
      </w:r>
    </w:p>
    <w:p>
      <w:pPr>
        <w:pStyle w:val="BodyText"/>
      </w:pPr>
      <w:r>
        <w:t xml:space="preserve">The registry makes a released classification auditable after the fact. A registry cell is indexed by the economic calibration, the radius key, and the reference value. It carries the envelope version and the solver version. The gate audit record adds the recorded weights, the prevailing price, and the cost-to-volume inputs. A later reviewer can then identify the inputs behind a past classification. The reviewer can also recompute it without re-eliciting any weight. Under the append-only rule, a revised input opens a new dated cell. The earlier cell stays readable with its original guarantee. The rule also isolated the disagreement cells in the registry. Across the 3,960 registered configurations, the two formulations disagreed in 57 cells. None of these cells cleared the radius cap and both proximity conditions together. Two of the 57 lay at a 10% radius, where a proximity flag caught them. The envelopes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A denser</w:t>
      </w:r>
      <w:r>
        <w:t xml:space="preserve"> </w:t>
      </w:r>
      <m:oMath>
        <m:r>
          <m:t>α</m:t>
        </m:r>
      </m:oMath>
      <w:r>
        <w:t xml:space="preserve"> </w:t>
      </w:r>
      <w:r>
        <w:t xml:space="preserve">grid detected no exceedance in the 165 calibration-radius cells. A second check compared the finite weight grid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cap follows from the deterministic fidelity evaluation. It is the largest evaluated radius at which both criteria held, and the criteria were fixed before the outcomes were inspected. A refinement at intermediate radii, added after the locked outcomes had been seen, located the failure just above the cap. C2 failed first, at 11%. There, the 95th percentile of the omitted mixed share reached 5.4%, against the 5% limit. At the 10% radius, the same quantity was 4.96%, so the binding radius passed C2 by 0.04 percentage points. The breach at 11% was 0.4 percentage points, which suggests a gradual loss of accuracy across the cap. By Proposition 4(i), raising the cap from 10% to 22% would multiply the leading error term by about five.</w:t>
      </w:r>
    </w:p>
    <w:p>
      <w:pPr>
        <w:pStyle w:val="BodyText"/>
      </w:pPr>
      <w:r>
        <w:t xml:space="preserve">The cap was retained after the criteria had been evaluated. It was therefore tested on 18 calibrations and five weight profiles absent from the evaluated grid, with six calibrations outside its range. The release quantity behaved similarly on this held-out set. The largest within-cell member-threshold deviation had a 95th percentile across cells of 0.5141 CNY/t on the held-out set. The corresponding value on the evaluated grid was 0.5143 CNY/t. The normalized fidelity criteria were more sensitive to the weight profile. They held on four of the five held-out profiles. They failed on one profile with weights clustered within 0.06 of one half. For this profile, the benchmark interval shrank to 0.72% of the anchor threshold. A similar absolute discrepancy then became a much larger relative one. IoU normalizes by the union of the two intervals, and the omitted mixed share normalizes by the benchmark width. Both registered this effect, although the absolute deviation stayed the same. For this reason, the release rule conditions on absolute price-axis distances. Release at a gate also requires both proximity distances to exceed the registered envelope.</w:t>
      </w:r>
    </w:p>
    <w:p>
      <w:pPr>
        <w:pStyle w:val="BodyText"/>
      </w:pPr>
      <w:r>
        <w:t xml:space="preserve">Above the cap, the dual report is mandatory. The differences between the two rules there ran in one direction. Across the three larger radii and the weakest profiles, member-level classifications agreed in more than nine cases in ten. In no evaluated cell did the affine rule classify a price as invest while the benchmark classified it as wait. Proposition 3(ii) explains this pattern. Under the one-sidedness condition, the affine report errs toward deferral. The condition held throughout the affine-only region.</w:t>
      </w:r>
    </w:p>
    <w:p>
      <w:pPr>
        <w:pStyle w:val="BodyText"/>
      </w:pPr>
      <w:r>
        <w:t xml:space="preserve">Figure 4 shows the release decision as a single pass over the four registered conditions. These conditions bound the member thresholds and thus the released classification. They bound the released interval width</w:t>
      </w:r>
      <w:r>
        <w:t xml:space="preserve"> </w:t>
      </w:r>
      <m:oMath>
        <m:sSub>
          <m:e>
            <m:r>
              <m:t>B</m:t>
            </m:r>
          </m:e>
          <m:sub>
            <m:r>
              <m:t>t</m:t>
            </m:r>
          </m:sub>
        </m:sSub>
      </m:oMath>
      <w:r>
        <w:t xml:space="preserve"> </w:t>
      </w:r>
      <w:r>
        <w:t xml:space="preserve">only in absolute terms, within</w:t>
      </w:r>
      <w:r>
        <w:t xml:space="preserve"> </w:t>
      </w:r>
      <m:oMath>
        <m:r>
          <m:t>2</m:t>
        </m:r>
        <m:sSub>
          <m:e>
            <m:r>
              <m:t>E</m:t>
            </m:r>
          </m:e>
          <m:sub>
            <m:r>
              <m:rPr>
                <m:scr m:val="script"/>
                <m:sty m:val="p"/>
              </m:rPr>
              <m:t>R</m:t>
            </m:r>
          </m:sub>
        </m:sSub>
      </m:oMath>
      <w:r>
        <w:t xml:space="preserve">. At the reference project value of the release rule, the width error for the four-member reference profile was 1.29%. The larger 2.25% figure came from other tested reference values, outside the release region. The width shrinks as the recorded weights cluster. On tightly clustered profiles, the same absolute error is therefore a larger fraction of the width. Input validity is checked on a separate branch. A failed upstream acceptance check blocks the threshold report.</w:t>
      </w:r>
    </w:p>
    <w:p>
      <w:pPr>
        <w:pStyle w:val="BodyText"/>
      </w:pPr>
      <w:r>
        <w:t xml:space="preserve">The model results fall into two groups. The analytical group holds wherever the maintained model holds. A unique critical weight splits the members around the no-ambiguity anchor, and trigger curvature in the declared coordinate locates it relative to one half. The numerical group rests on a finite registry. The affine rule stayed close to the benchmark on the evaluated grid, yet small trigger errors could still change a classification. The release rule therefore ties affine-only reporting to registered configurations and price-axis distances. The practical relevance of these properties depends on the inputs of a specific project.</w:t>
      </w:r>
    </w:p>
    <w:p>
      <w:pPr>
        <w:pStyle w:val="CaptionedFigure"/>
      </w:pPr>
      <w:r>
        <w:drawing>
          <wp:inline>
            <wp:extent cx="5334000" cy="145974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459744"/>
                    </a:xfrm>
                    <a:prstGeom prst="rect">
                      <a:avLst/>
                    </a:prstGeom>
                    <a:noFill/>
                    <a:ln w="9525">
                      <a:noFill/>
                      <a:headEnd/>
                      <a:tailEnd/>
                    </a:ln>
                  </pic:spPr>
                </pic:pic>
              </a:graphicData>
            </a:graphic>
          </wp:inline>
        </w:drawing>
      </w:r>
    </w:p>
    <w:p>
      <w:pPr>
        <w:pStyle w:val="ImageCaption"/>
      </w:pPr>
      <w:r>
        <w:t xml:space="preserve">Figure 4. Release decision for one gate. The gate first verifies the registered input acceptance checks, and a failure blocks the threshold report. Four registered conditions follow in sequence. The calibration and radius key must be registered exactly.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registered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Both member tables are issued in this mode. A gate-level classification is released only when the two three-state summaries agree, and individual member assignments may still differ. A discrepancy triggers a benchmark-model review, with no precedence for either rule. Directional labels carry</w:t>
      </w:r>
      <w:r>
        <w:t xml:space="preserve"> </w:t>
      </w:r>
      <m:oMath>
        <m:sSub>
          <m:e>
            <m:r>
              <m:t>V</m:t>
            </m:r>
          </m:e>
          <m:sub>
            <m:r>
              <m:t>0</m:t>
            </m:r>
          </m:sub>
        </m:sSub>
      </m:oMath>
      <w:r>
        <w:t xml:space="preserve"> </w:t>
      </w:r>
      <w:r>
        <w:t xml:space="preserve">and are de-emphasized inside the review band of</w:t>
      </w:r>
      <w:r>
        <w:t xml:space="preserve"> </w:t>
      </w:r>
      <m:oMath>
        <m:acc>
          <m:accPr>
            <m:chr m:val="̃"/>
          </m:accPr>
          <m:e>
            <m:r>
              <m:t>α</m:t>
            </m:r>
          </m:e>
        </m:acc>
      </m:oMath>
      <w:r>
        <w:t xml:space="preserv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A 600-MW coal-fired CCUS retrofit supplies such project inputs. The application uses four inputs. The first is the economic calibration with the project inputs. The second is an ambiguity radius from a date-reconstructed policy-text signal. The third and fourth are a four-member reference profile of recorded weights and the archived price series. The construction returns member thresholds and quarterly contested-price intervals. Daily China Emission Allowance (CEA) prices are compared with the corresponding quarterly intervals, and each archived price is classified retrospectively. The anchor, corpus, and encoder are fixed ex post. For example, the volatility anchor estimated on 2024 and 2025 data applies to the entire historical signal path. Sensitivity checks varied the profiles, inputs,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The issuing bodies are the National Development and Reform Commission (NDRC) and the National Energy Administration (NEA). The State Council and the Ministry of Ecology and Environment (MEE) issued the remaining records. Of these records, 678 fall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retained records classified under energy, climate, carbon markets, or emissions trading, based on source tags and a title keyword filter. A document-type screen kept substantive plans, notices, guidance, and formal responses. It excluded press releases, routine administrative notices without policy content, and non-Chinese texts.</w:t>
      </w:r>
    </w:p>
    <w:p>
      <w:pPr>
        <w:pStyle w:val="BodyText"/>
      </w:pPr>
      <w:r>
        <w:t xml:space="preserve">The dispersion signal is quarterly, so incorrect document dates distort its path. Dates in the database may differ from official issuance dates. An audit therefore matched each record to an official agency page where possible. It resolved such a page for 414 of the 682 records. Two date assignments were compared. The reference assignment uses the date printed in each archived record and is reproducible from the archive alone. The page-date assignment uses a verified agency page date where available and the printed date otherwise. The two assignments produced different paths for the quarterly signal and the interval width. Four records bear 2015 printed dates and fall outside the window, so they are excluded. Four other records carry month-only dates. A month identifies the quarter, and these four records lie inside the window and are retained.</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signal tracks temporal variation in dispersion through the rolling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writes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Six alternative dispersion statistics on the same vectors moved the peak quarter in two cases. None of them changed the gate outcome. One corpus-composition check moved both the peak quarter and the peak width. Excluding documents longer than 2,000 characters before truncation retained 384 of the 678 records. The peak quarter shifted from 2024Q4 to 2023Q1, and the peak interval width rose from 6.63 to 8.59 CNY/t. The Spearman rank correlation between this length-filtered path and the reference path was 0.61. One of two replacement encoders also moved the peak. MacBERT-base placed the peak in 2019Q2 at a width of 5.42 CNY/t. Its quarterly signal had a Spearman rank correlation of 0.305 with the reference.</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cost depends on the radius source.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count assumes a fixed embedding dimension and a four-quarter history. The fallback adds one benchmark optimization per member. One release envelope on the 2,001-point weight grid took about 0.2 seconds per calibration-radius cell. This wall-clock figure varies with machine load.</w:t>
      </w:r>
    </w:p>
    <w:p>
      <w:pPr>
        <w:pStyle w:val="BodyText"/>
      </w:pPr>
      <w:r>
        <w:t xml:space="preserve">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The ambiguity radius then equals the signal before the admissibility cap. Before the national emissions trading scheme (ETS), the lagged signal showed a positive but imprecise association with realized volatility. During the national ETS period, the estimated slope changed sign. Over the 18 quarters of this period, the slope was</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interval for the shorter estimation window spanned zero. Neither subsample identified a stable value for</w:t>
      </w:r>
      <w:r>
        <w:t xml:space="preserve"> </w:t>
      </w:r>
      <m:oMath>
        <m:sSub>
          <m:e>
            <m:r>
              <m:t>c</m:t>
            </m:r>
          </m:e>
          <m:sub>
            <m:r>
              <m:t>w</m:t>
            </m:r>
          </m:sub>
        </m:sSub>
      </m:oMath>
      <w:r>
        <w:t xml:space="preserve">. Five further diagnostics covered directional association, temporal-order permutation, construct validity, an event-style check, and national ETS stability. None of them supported a stable mapping. The series therefore serves as a scenario input configuring the radius. With 18 quarterly observations in the national ETS window and 17 before it, any association was estimated imprecisely.</w:t>
      </w:r>
    </w:p>
    <w:p>
      <w:pPr>
        <w:pStyle w:val="BodyText"/>
      </w:pPr>
      <w:r>
        <w:t xml:space="preserve">The signal was also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 Slope estimates distinguishable from zero still left the scale open. Propagating the pre-ETS slope to the thresholds gave a width envelope of up to 19.2 CNY/t. This value was about 2.9 times the configured peak width of 6.63 CNY/t. The pre-ETS slope and the national ETS slope differed by 61.08, with a standard error of 30.94. The 95% interval for this difference, based on the</w:t>
      </w:r>
      <w:r>
        <w:t xml:space="preserve"> </w:t>
      </w:r>
      <m:oMath>
        <m:r>
          <m:t>t</m:t>
        </m:r>
      </m:oMath>
      <w:r>
        <w:t xml:space="preserve"> </w:t>
      </w:r>
      <w:r>
        <w:t xml:space="preserve">distribution with 23 Welch degrees of freedom, contained zero. The data therefore did not fix even the direction of a rescaling. A mapping re-estimated on the national ETS window explained none of the out-of-sample variation in 2024 and 2025.</w:t>
      </w:r>
    </w:p>
    <w:p>
      <w:pPr>
        <w:pStyle w:val="BodyText"/>
      </w:pPr>
      <w:r>
        <w:t xml:space="preserve">Two properties suit this series to its illustrative role. First, an institution can archive and re-encode the documents. With the corpus, encoding pipeline, and scaling convention recorded, a past radius can be recomputed without re-eliciting any judgment. Second, the documents come from the same regulatory process whose ambiguity the gate considers.</w:t>
      </w:r>
    </w:p>
    <w:p>
      <w:pPr>
        <w:pStyle w:val="BodyText"/>
      </w:pPr>
      <w:r>
        <w:t xml:space="preserve">Two calibration routes could replace the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several items. These are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They also include the volatility-anchor window, the encoder version, the admissibility cap, and the review cadence. The scaling constant is then</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target radius, achieved radius, rounded display value, and canonical registry key are distinct fields. Release matching follows the exact-key rule. Under exact matching, an unseen radius triggers benchmark recomputation. Prospective affine-only use therefore requires a radius discretization declared in advance or a release envelope certified over a continuous radius interval.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Input</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Input</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requirements</w:t>
      </w:r>
    </w:p>
    <w:p>
      <w:pPr>
        <w:pStyle w:val="BodyText"/>
      </w:pPr>
      <w:r>
        <w:rPr>
          <w:b/>
          <w:bCs/>
        </w:rPr>
        <w:t xml:space="preserve">Input</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Input</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and benchmark reference</w:t>
      </w:r>
      <w:r>
        <w:t xml:space="preserve"> </w:t>
      </w:r>
      <m:oMath>
        <m:sSub>
          <m:e>
            <m:r>
              <m:t>V</m:t>
            </m:r>
          </m:e>
          <m:sub>
            <m:r>
              <m:t>0</m:t>
            </m:r>
          </m:sub>
        </m:sSub>
      </m:oMath>
      <w:r>
        <w:t xml:space="preserve"> </w:t>
      </w:r>
      <w:r>
        <w:t xml:space="preserve">inside the benchmark domain</w:t>
      </w:r>
    </w:p>
    <w:p>
      <w:pPr>
        <w:pStyle w:val="BodyText"/>
      </w:pPr>
      <w:r>
        <w:rPr>
          <w:b/>
          <w:bCs/>
        </w:rPr>
        <w:t xml:space="preserve">Input</w:t>
      </w:r>
      <w:r>
        <w:t xml:space="preserve"> </w:t>
      </w:r>
      <w:r>
        <w:t xml:space="preserve">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Input</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Output</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audit record, and reporting mode</w:t>
      </w:r>
    </w:p>
    <w:p>
      <w:pPr>
        <w:pStyle w:val="BodyText"/>
      </w:pPr>
      <w:r>
        <w:rPr>
          <w:b/>
          <w:bCs/>
        </w:rPr>
        <w:t xml:space="preserve">Output</w:t>
      </w:r>
      <w:r>
        <w:t xml:space="preserve"> </w:t>
      </w:r>
      <w:r>
        <w:t xml:space="preserve">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w:t>
      </w:r>
      <m:oMath>
        <m:r>
          <m:rPr>
            <m:sty m:val="p"/>
          </m:rPr>
          <m:t>⊳</m:t>
        </m:r>
      </m:oMath>
      <w:r>
        <w:t xml:space="preserve"> </w:t>
      </w:r>
      <w:r>
        <w:rPr>
          <w:i/>
          <w:iCs/>
        </w:rPr>
        <w:t xml:space="preserve">filled when the lookup or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 record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and the mode</w:t>
      </w:r>
    </w:p>
    <w:p>
      <w:pPr>
        <w:pStyle w:val="BodyText"/>
      </w:pPr>
      <w:r>
        <w:t xml:space="preserve">52.</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record,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These returns come from 475 daily national CEA closing prices in 2024 and 2025. The Shanghai pilot and national CEA data are separate series, so no return spans the market boundary. The annualized estimate was 0.249. No liquid CEA options market existed over the sample period, so this historical estimate serves as the forward-volatility anchor.</w:t>
      </w:r>
    </w:p>
    <w:p>
      <w:pPr>
        <w:pStyle w:val="BodyText"/>
      </w:pPr>
      <w:r>
        <w:t xml:space="preserve">Table 8 places the anchor threshold beside external capture-cost references for context. The anchor threshold was 117.7 CNY/t, and a demonstration reference lies near 250 CNY/t.</w:t>
      </w:r>
      <w:r>
        <w:t xml:space="preserve"> </w:t>
      </w:r>
      <m:oMath>
        <m:sSup>
          <m:e>
            <m:r>
              <m:t>P</m:t>
            </m:r>
          </m:e>
          <m:sup>
            <m:r>
              <m:rPr>
                <m:sty m:val="p"/>
              </m:rPr>
              <m:t>∗</m:t>
            </m:r>
          </m:sup>
        </m:sSup>
      </m:oMath>
      <w:r>
        <w:t xml:space="preserve"> </w:t>
      </w:r>
      <w:r>
        <w:t xml:space="preserve">is a marginal threshold, and the references are technology costs. The common-adjustment identity gives the amount a committee adds to the reported basis before comparing the two. Table 9 evaluates this identity at illustrative values of</w:t>
      </w:r>
      <w:r>
        <w:t xml:space="preserve"> </w:t>
      </w:r>
      <m:oMath>
        <m:r>
          <m:rPr>
            <m:sty m:val="p"/>
          </m:rPr>
          <m:t>Δ</m:t>
        </m:r>
      </m:oMath>
      <w:r>
        <w:t xml:space="preserve"> </w:t>
      </w:r>
      <w:r>
        <w:t xml:space="preserve">spanning these references. In a hypothetical accounting scenario with</w:t>
      </w:r>
      <w:r>
        <w:t xml:space="preserve"> </w:t>
      </w:r>
      <m:oMath>
        <m:r>
          <m:rPr>
            <m:sty m:val="p"/>
          </m:rPr>
          <m:t>Δ</m:t>
        </m:r>
        <m:r>
          <m:rPr>
            <m:sty m:val="p"/>
          </m:rPr>
          <m:t>=</m:t>
        </m:r>
        <m:r>
          <m:t>250</m:t>
        </m:r>
      </m:oMath>
      <w:r>
        <w:t xml:space="preserve"> CNY/t, the interval moved to</w:t>
      </w:r>
      <w:r>
        <w:t xml:space="preserve"> </w:t>
      </w:r>
      <m:oMath>
        <m:r>
          <m:rPr>
            <m:sty m:val="p"/>
          </m:rPr>
          <m:t>[</m:t>
        </m:r>
        <m:r>
          <m:t>363.38</m:t>
        </m:r>
        <m:r>
          <m:rPr>
            <m:sty m:val="p"/>
          </m:rPr>
          <m:t>,</m:t>
        </m:r>
        <m:r>
          <m:t> </m:t>
        </m:r>
        <m:r>
          <m:t>370.01</m:t>
        </m:r>
        <m:r>
          <m:rPr>
            <m:sty m:val="p"/>
          </m:rPr>
          <m:t>)</m:t>
        </m:r>
      </m:oMath>
      <w:r>
        <w:t xml:space="preserve"> CNY/t. A committee comparing against a figure with these components reads the gate at this adjusted level.</w:t>
      </w:r>
    </w:p>
    <w:p>
      <w:pPr>
        <w:pStyle w:val="BodyText"/>
      </w:pPr>
      <w:r>
        <w:t xml:space="preserve">The cost adjustment enters the thresholds additively, and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The classification at a fixed prevailing price may move with them. Both inputs may carry considerable appraisal uncertainty. The reconstructed reference path peaked in 2024Q4 at a radius of 6.057% of the volatility anchor. At this radius, the baseline lower interval edge was 113.38 CNY/t. This edge lay above the highest archived price of 105.65 CNY/t. A 10% reduction in</w:t>
      </w:r>
      <w:r>
        <w:t xml:space="preserve"> </w:t>
      </w:r>
      <m:oMath>
        <m:r>
          <m:t>I</m:t>
        </m:r>
        <m:r>
          <m:rPr>
            <m:sty m:val="p"/>
          </m:rPr>
          <m:t>/</m:t>
        </m:r>
        <m:r>
          <m:t>Q</m:t>
        </m:r>
      </m:oMath>
      <w:r>
        <w:t xml:space="preserve"> </w:t>
      </w:r>
      <w:r>
        <w:t xml:space="preserve">moved the edge to 102.04 CNY/t. The same archived price then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option trigger. It excludes capture OPEX,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Technology-cost figure.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basis of every other result in this paper. The remaining rows apply the common-adjustment identity. The</w:t>
      </w:r>
      <w:r>
        <w:t xml:space="preserve"> </w:t>
      </w:r>
      <m:oMath>
        <m:r>
          <m:rPr>
            <m:sty m:val="p"/>
          </m:rPr>
          <m:t>Δ</m:t>
        </m:r>
      </m:oMath>
      <w:r>
        <w:t xml:space="preserve"> </w:t>
      </w:r>
      <w:r>
        <w:t xml:space="preserve">values are illustrative settings spanning the external references of Table 8.</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 The identity holds for adjustments common across members and constant per tonne.</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component configurations under a common economic calibration. The first two configurations yield a single trigger and no member-level dispersion. The third introduces member-level dispersion with the relative radius fixed at 10% of the volatility anchor. Its interval width is therefore the same at every gate. The full method updates the interval at every gate.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The cap bound at none of them. Exact key matching was the binding constraint. The 2024Q4 peak radius is a registered key, and the other 36 gate radii are not. The release rule therefore sends these 36 gates to benchmark recomputation. With a radius discretization registered in advance, an institution rounds all 37 radii to registered keys at or below the cap. Table 11 fixes the relative radius at the cap, the upper limit of affine-only eligibility, and reports member triggers and thresholds. The reference profile contains four equally spaced recorded weights from 0.25 to 1.00. Its weight range of 0.750 was the widest among five profiles compared at a common radius. Under the affine, strictly decreasing map, it therefore produced the largest interval width among the five. The weight</w:t>
      </w:r>
      <w:r>
        <w:t xml:space="preserve"> </w:t>
      </w:r>
      <m:oMath>
        <m:r>
          <m:t>α</m:t>
        </m:r>
        <m:r>
          <m:rPr>
            <m:sty m:val="p"/>
          </m:rPr>
          <m:t>=</m:t>
        </m:r>
        <m:r>
          <m:t>0.50</m:t>
        </m:r>
      </m:oMath>
      <w:r>
        <w:t xml:space="preserve"> </w:t>
      </w:r>
      <w:r>
        <w:t xml:space="preserve">lay just below the critical weight. The affine rule labeled this weight delay-oriented by a narrow margin, and the benchmark labeled it acceleration-oriented. The thresholds barely moved across formulations. At the reference-peak radius, the affine, recursive, and pre-commitment widths were 6.630, 6.660, and 6.545 CNY/t. The latter two differed from the reported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gate may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changed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Figure 5 lets the radius vary across review gates and shows the contested-price interval under the reference configuration. The volatility anchor stays fixed at its estimated value, so all width variation comes from the reconstructed radius path. The shaded band lies between the two extreme member thresholds. The width reached 6.63 CNY/t in 2024Q4. The lower panel compares the observed daily CEA price with the lower interval edge on the same time axis.</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dotted series is the Shanghai pilot price before the national market, and the solid series is the national CEA price. The closest-approach annotation compares the lower edge with the national CEA observations only. On the reported path, the lowest lower edge and the highest archived price both fell in 2024Q4. This difference is therefore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Retaining the member-threshold vector and its interval therefore left the three-state classification unchanged along this price path.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sensitivity configurations perturb the baseline calibration, and the archived price history is the same in each. Any change in classification therefore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design as complete gate reports. These two cells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They differ only in the evaluated radius.</w:t>
      </w:r>
    </w:p>
    <w:p>
      <w:pPr>
        <w:pStyle w:val="BodyText"/>
      </w:pPr>
      <w:r>
        <w:t xml:space="preserve">In Configuration A, the radius was the frozen reference peak, and the interval was 4.56 CNY/t wide. Its upper edge lay 0.002 CNY/t below the prevailing price. All four members classified this price as invest, and the gate was unanimous. The member with the smallest recorded weight holds the upper edge, so the edge margin equals the nearest-member distance. This distance of 0.002 CNY/t was far below the registered envelope of 0.059 CNY/t. The proximity conditions failed, and the gate issued a dual report after benchmark recomputation. The benchmark placed the upper threshold at 105.60 CNY/t, against an affine value of 105.65 CNY/t, and the price cleared both. The conservative proximity rule fired, although the recomputation confirmed unanimous investment. In Configuration B, at the 10% radius, the interval widened to 7.53 CNY/t and contained the unchanged prevailing price. Three members classified the price as invest. The member with the smallest recorded weight classified it as wait, so the gate was mixed. Both proximity distances rose to 1.092 CNY/t, against an envelope of 0.160 CNY/t. The affine-only report was released.</w:t>
      </w:r>
    </w:p>
    <w:p>
      <w:pPr>
        <w:pStyle w:val="BodyText"/>
      </w:pPr>
      <w:r>
        <w:t xml:space="preserve">In this pair, the wider interval eased release, because the test depends on the distance from the prevailing price to the nearest threshold. Widening carried the upper threshold past the price.</w:t>
      </w:r>
    </w:p>
    <w:p>
      <w:pPr>
        <w:pStyle w:val="TableCaption"/>
      </w:pPr>
      <w:r>
        <w:t xml:space="preserve">Table 12. Worked reports for two cells of the 32-cell robustness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robustness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 (</w:t>
            </w:r>
            <m:oMath>
              <m:r>
                <m:t>ρ</m:t>
              </m:r>
              <m:r>
                <m:rPr>
                  <m:sty m:val="p"/>
                </m:rPr>
                <m:t>=</m:t>
              </m:r>
              <m:r>
                <m:t>6.057</m:t>
              </m:r>
              <m:r>
                <m:rPr>
                  <m:sty m:val="p"/>
                </m:rPr>
                <m:t>%</m:t>
              </m:r>
            </m:oMath>
            <w:r>
              <w:t xml:space="preserve">)</w:t>
            </w:r>
          </w:p>
        </w:tc>
        <w:tc>
          <w:tcPr>
            <w:gridSpan w:val="2"/>
          </w:tcPr>
          <w:p>
            <w:pPr>
              <w:pStyle w:val="Compact"/>
              <w:jc w:val="center"/>
            </w:pPr>
            <w:r>
              <w:t xml:space="preserve">Configuration B (</w:t>
            </w:r>
            <m:oMath>
              <m:r>
                <m:t>ρ</m:t>
              </m:r>
              <m:r>
                <m:rPr>
                  <m:sty m:val="p"/>
                </m:rPr>
                <m:t>=</m:t>
              </m:r>
              <m:r>
                <m:t>10</m:t>
              </m:r>
              <m:r>
                <m:rPr>
                  <m:sty m:val="p"/>
                </m:rPr>
                <m:t>%</m:t>
              </m:r>
            </m:oMath>
            <w:r>
              <w:t xml:space="preserve">)</w:t>
            </w:r>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Price-date sensitivity flag, margin below the 1.97 CNY/t buffer (diagnostic only)</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at the reference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was 105.6481 CNY/t before rounding, and the prevailing price was 105.65 CNY/t. The edge therefore lay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shown for comparison.</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Table 13 evaluates the baseline calibration, five economic-parameter perturbations, and two additional volatility anchors from Table 14. Each configuration is compared with the highest of the 1,073 archived observations, which minimizes both signed margins. The release test uses absolute distances, and the highest price need not minimize them. For each cell, the table reports the signed margin of each interval edge, defined as the edge minus the price. A non-positive lower-edge margin means at least one member classifies the price as invest. Unanimous investment also requires a non-positive upper-edge margin, with the whole interval at or below the price.</w:t>
      </w:r>
    </w:p>
    <w:p>
      <w:pPr>
        <w:pStyle w:val="BodyText"/>
      </w:pPr>
      <w:r>
        <w:t xml:space="preserve">The lower-edge margin was negative in 15 of the 32 cells. Both margins were negative in four cells across two rows. Three of these lay in the</w:t>
      </w:r>
      <w:r>
        <w:t xml:space="preserve"> </w:t>
      </w:r>
      <m:oMath>
        <m:r>
          <m:t>r</m:t>
        </m:r>
        <m:r>
          <m:rPr>
            <m:sty m:val="p"/>
          </m:rPr>
          <m:t>=</m:t>
        </m:r>
        <m:r>
          <m:t>0.06</m:t>
        </m:r>
      </m:oMath>
      <w:r>
        <w:t xml:space="preserve"> </w:t>
      </w:r>
      <w:r>
        <w:t xml:space="preserve">row. At this discount rate, the upper edge fell below the highest archived price at radii up to 22%. At the 33% stress radius, the interval widened enough to contain this price again. Two opposing channels drive the level shift. The smaller characteristic root raises the project-value trigger, and the thinner net discount margin shrinks the price conversion. The margin channel dominated, so every threshold fell. The fourth cell is the lower volatility anchor at the frozen reference-peak radius. There, the upper edge fell 0.002 CNY/t below the price. This cell is Configuration A of Table 12, routed by the safeguard to benchmark recomputation. The upper-edge margin also depends on the estimation window of the volatility anchor. The thresholds were recomputed at the reference-peak radius under five national and two pilot windows. Either the relative or the absolute radius was held fixed across anchors. The archived price stayed outside the interval in every window. The two pilot windows gave a volatility anchor of about 0.95 and thresholds above 500 CNY/t.</w:t>
      </w:r>
    </w:p>
    <w:p>
      <w:pPr>
        <w:pStyle w:val="BodyText"/>
      </w:pPr>
      <w:r>
        <w:t xml:space="preserve">Under the baseline calibration, the highest archived price entered the interval at the 22% radius, the upper bound of the primary range. The operational rule of Eq. (18) raised an edge or member proximity flag in five cells. Four of these lay at the 22% and 33% radii, where the mandatory wide-radius branch already covers all 16 cells. The fifth was the narrow-radius cell of Table 12. The 16 mandatory cells and this flag gave 17 benchmark fallbacks across the 32 cells. These fallbacks captured every disagreement on the fixed cells. One gate-state disagreement occurred at the 33% radius under</w:t>
      </w:r>
      <w:r>
        <w:t xml:space="preserve"> </w:t>
      </w:r>
      <m:oMath>
        <m:r>
          <m:t>r</m:t>
        </m:r>
        <m:r>
          <m:rPr>
            <m:sty m:val="p"/>
          </m:rPr>
          <m:t>=</m:t>
        </m:r>
        <m:r>
          <m:t>0.06</m:t>
        </m:r>
      </m:oMath>
      <w:r>
        <w:t xml:space="preserve">. There, the affine rule reported a mixed gate, and the benchmark reported unanimous invest. Two member-label disagreements also occurred. Six of the 32 cells placed the highest archived price within 1.97 CNY/t of an interval edge. This buffer represents the recording granularity of the archived price series. Three of these six cells were among the five flagged cells. The unanimous-wait outcome of the reference configuration therefore did not extend to the whole design.</w:t>
      </w:r>
    </w:p>
    <w:p>
      <w:pPr>
        <w:pStyle w:val="TableCaption"/>
      </w:pPr>
      <w:r>
        <w:t xml:space="preserve">Table 13. Distance from the highest archived carbon price to each edge of the contested-price interval. The configurations are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Distance from the highest archived carbon price to each edge of the contested-price interval. The configurations are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The 10% and 22% radii bracket the primary radius range, and 33% is the stress radius. The first radius uses the frozen archived canonical serialized key, and its displayed value is rounded for the table only. Classifications and release decisions use unrounded values. A margin below 0.05 CNY/t in absolute value is shown at four decimals, so its sign remains legible. The difference between the two margin columns equals the interval width up to rounding. It equaled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The economic-parameter perturbations also moved the critical weight. Table 14 summarizes them with the historical volatility anchors. Across all positive-radius cases, the critical weight stayed above one half, and its value moved with the volatility anchor and the economic primitives. The member-threshold ordering stayed unchanged throughout.</w:t>
      </w:r>
    </w:p>
    <w:p>
      <w:pPr>
        <w:pStyle w:val="TableCaption"/>
      </w:pPr>
      <w:r>
        <w:t xml:space="preserve">Table 14. Sensitivity of the critical weight within the volatility-channel model.</w:t>
      </w:r>
    </w:p>
    <w:tbl>
      <w:tblPr>
        <w:tblStyle w:val="Table"/>
        <w:tblW w:type="auto" w:w="0"/>
        <w:tblLook w:firstRow="0" w:lastRow="0" w:firstColumn="0" w:lastColumn="0" w:noHBand="0" w:noVBand="0" w:val="0000"/>
        <w:tblCaption w:val="Table 14. Sensitivity of the critical weight within the volatility-channel model."/>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analytical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The reference weights are illustrative, and no committee pilot or repeated-response data were collected. A prospective implementation should prespecify standardized administration and checks of attention and comprehension. It should also prespecify a test-retest assessment of rank-order reliability and an assessment of scale comparability across cycles. A matching-probability task in the style of Dimmock et al. (2016) is one option.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Extreme weights setting interval edges should prompt a documented review before any exclusion. Two further choices belong to institutional policy. The first is reporting granularity. The edges, the width, and the three-state summary are symmetric functions of the member thresholds. They stay unchanged if the thresholds circulate as a sorted list without member labels. A sorted list, however, removes the member-level reading. An identified table keeps this reading but also exposes the most divergent member in the minutes, as the documented review does. The second choice is the elicitation schedule. The extreme recorded weights alone determine both edges. A member aware of this mapping could move the reported interval through the choice of weight. The method assumes weights recorded in advance. Collection before project materials circulate establishes a pre-disclosure reference, provided the elicitation names the common information behind the weights. A project-specific adjustment would require a second elicitation under a documented information set.</w:t>
      </w:r>
    </w:p>
    <w:p>
      <w:pPr>
        <w:pStyle w:val="BodyText"/>
      </w:pPr>
      <w:r>
        <w:t xml:space="preserve">The model yields one acceptance threshold for elicitation precision. Under the classical error model, consider a member whose recorded weight lies a distance</w:t>
      </w:r>
      <w:r>
        <w:t xml:space="preserve"> </w:t>
      </w:r>
      <m:oMath>
        <m:r>
          <m:t>d</m:t>
        </m:r>
      </m:oMath>
      <w:r>
        <w:t xml:space="preserve"> </w:t>
      </w:r>
      <w:r>
        <w:t xml:space="preserve">from the critical weight. This member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At the illustrative review band, this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remain subject to the review band. No instrument precision can secure a stable label arbitrarily close to this weight.</w:t>
      </w:r>
    </w:p>
    <w:p>
      <w:pPr>
        <w:pStyle w:val="BodyText"/>
      </w:pPr>
      <w:r>
        <w:t xml:space="preserve">Table 15 collects the configuration decisions a prospective gate must record, organized by the three layers of Figure 1. The text items of the input layer are needed only for a radius derived from documents. These items are the encoder, layer, pooling, normalization, truncation, corpus screen, and the constant</w:t>
      </w:r>
      <w:r>
        <w:t xml:space="preserve"> </w:t>
      </w:r>
      <m:oMath>
        <m:sSub>
          <m:e>
            <m:r>
              <m:t>c</m:t>
            </m:r>
          </m:e>
          <m:sub>
            <m:r>
              <m:t>w</m:t>
            </m:r>
          </m:sub>
        </m:sSub>
      </m:oMath>
      <w:r>
        <w:t xml:space="preserve">. A committee declaring its radii directly drops all of them. Its threshold report stays reproducible from the recorded radius. The judgment behind this radius, however, cannot be regenerated from a text pipeline. The registry snapshot authorizes affine-only release. An institution always issuing the dual report therefore needs no registry. It then loses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 prospective configuration fixes four items. These are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belongs to this core, because the directional labels are unreadable without it. Weights assigned to a hypothetical profile still yield a well-defined interval, which serves as a sensitivity band over a stipulated grid.</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acceptance rule. The rule meets the precision target</w:t>
            </w:r>
            <w:r>
              <w:t xml:space="preserve"> </w:t>
            </w:r>
            <m:oMath>
              <m:sSub>
                <m:e>
                  <m:r>
                    <m:t>σ</m:t>
                  </m:r>
                </m:e>
                <m:sub>
                  <m:r>
                    <m:t>α</m:t>
                  </m:r>
                </m:sub>
              </m:sSub>
              <m:r>
                <m:rPr>
                  <m:sty m:val="p"/>
                </m:rPr>
                <m:t>≤</m:t>
              </m:r>
              <m:r>
                <m:t>0.039</m:t>
              </m:r>
            </m:oMath>
            <w:r>
              <w:t xml:space="preserve"> </w:t>
            </w:r>
            <w:r>
              <w:t xml:space="preserve">at</w:t>
            </w:r>
            <w:r>
              <w:t xml:space="preserve"> </w:t>
            </w:r>
            <m:oMath>
              <m:r>
                <m:t>d</m:t>
              </m:r>
              <m:r>
                <m:rPr>
                  <m:sty m:val="p"/>
                </m:rPr>
                <m:t>=</m:t>
              </m:r>
              <m:r>
                <m:t>0.05</m:t>
              </m:r>
            </m:oMath>
            <w:r>
              <w:t xml:space="preserve"> </w:t>
            </w:r>
            <w:r>
              <w:t xml:space="preserve">and</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The fourth column lists the items a deploying institution supplies.</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Five preconditions govern whether the interval rests on a basis the gate accepts. Each precondition names an accounting choice, a model assumption, or an input-validity question. Each is documented before the report is interpreted.</w:t>
      </w:r>
    </w:p>
    <w:p>
      <w:pPr>
        <w:pStyle w:val="BodyText"/>
      </w:pPr>
      <w:r>
        <w:t xml:space="preserve">The first precondition is the cost basis.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it only at scale.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invest. In this sweep, the classification changed only for adjustments of tens of CNY/t, a scale specific to the reference configuration. The reported thresholds also carry basis risk against the realized carbon cost of a plant. Two common components deserve mention.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Solving the stopping problem on a finite horizon moved the critical weight by less than 0.03 at every examined radius. This bound held between a five-year horizon and the perpetuity. A gate reporting on an annuity basis rescales the envelope with the thresholds.</w:t>
      </w:r>
    </w:p>
    <w:p>
      <w:pPr>
        <w:pStyle w:val="BodyText"/>
      </w:pPr>
      <w:r>
        <w:t xml:space="preserve">The third precondition is the ambiguity channel. At a 10% volatility radius, adding drift ambiguity of the same relative size multiplied the interval width by 2.41. It also raised the maximum relative trigger error from 0.26% to 1.48%. The volatility-only declaration reached at most 1.26% on the primary grid, at any radius up to 22%. The joint value at a 10% radius therefore already exceeded this maximum. A gate under a joint declaration therefore re-evaluates accuracy before release.</w:t>
      </w:r>
    </w:p>
    <w:p>
      <w:pPr>
        <w:pStyle w:val="BodyText"/>
      </w:pPr>
      <w:r>
        <w:t xml:space="preserve">The fourth precondition is the price process. On the log of the 1,073 archived observations, an augmented Dickey-Fuller regression did not reject a unit root, with or without a trend. The Lo-MacKinlay variance ratio did not reject a random walk at two, five, ten, or twenty days. These tests did not reject the persistence assumed by the geometric Brownian motion for the price level. The same returns rejected Gaussian increments. The implied mean-reversion speed was 0.818 per year, with an interval containing zero. The series therefore did not identify a speed. The point estimate still lay above the largest speed in the departure check. On this grid, a positive speed moved the anchor threshold from 116.88 CNY/t to between 97.16 and 99.81 CNY/t. The level shift alone exceeded the 7.73 CNY/t reference margin. The figure of 116.88 CNY/t is the anchor threshold recomputed on the same Crank-Nicolson grid. This comparison isolates mean reversion from the level bias of the solver. A gate expecting mean reversion should therefore recalibrate. Moving half the declared variance into jumps, at the same total, had a smaller effect. The anchor threshold moved from 116.88 to 115.41 CNY/t, and the interval width moved by at most 1.04%. The critical weight moved up. On the evaluated grids, the reported object moved under mean reversion and stayed nearly in place under the specified jumps.</w:t>
      </w:r>
    </w:p>
    <w:p>
      <w:pPr>
        <w:pStyle w:val="BodyText"/>
      </w:pPr>
      <w:r>
        <w:t xml:space="preserve">The fifth precondition is the radius input. The policy-text series is an application input. Its mapping to realized volatility was unstable in the available record. A registered constant sets the radius scale, and the reference result changes with this constant. A radius based on the sampling uncertainty of the volatility anchor was 6.37%, close to the 6.057% peak of the reference path. It left the archived price outside the interval. A radius based on the dispersion of quarterly realized volatility was about seven times wider and made the gate mixed. Every evaluated input alternative changing the classification lay outside the 10% cap.</w:t>
      </w:r>
    </w:p>
    <w:p>
      <w:pPr>
        <w:pStyle w:val="BodyText"/>
      </w:pPr>
      <w:r>
        <w:t xml:space="preserve">A transfer to a new application takes six steps. Three steps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It then rederives trigger monotonicity, curvature, and the critical weight. Three further steps rebuild the reporting apparatus. The fourth maps the member objects to a common operational scale. The fifth reconstructs the finite benchmark comparison and the versioned release registry. The sixth validates the input, the elicitation, and the scale before deployment. The workflow carries over across applications, and the formulas and signs obtained here need rederivation or checking.</w:t>
      </w:r>
    </w:p>
    <w:p>
      <w:pPr>
        <w:pStyle w:val="BodyText"/>
      </w:pPr>
      <w:r>
        <w:t xml:space="preserve">The application suggests three conclusions. First, the reference configuration kept every gate unanimous. In 15 of the 32 sensitivity configurations, the highest archived price reached the lower interval edge. Second, the common appraisal inputs moved the interval edges more than member disagreement did. Third, the cost basis, horizon, ambiguity channel, price process, and radius input shaped the reading of every reported threshold. These patterns come from one retrospective reconstruction and may differ in other projects. They nonetheless indicate where a committee might focus before reading the member-threshold vector. They also frame the overall conclusions of the study.</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The model and the CCUS application together addressed one stage-gate reporting problem. Members sharing the same project information may weight adverse scenarios differently and classify the prevailing price differently. A compressed report hides whether they do. Within the maintained model, the member-threshold vector and the contested-price interval showed at each gate whether members agreed. A unique critical weight partitioned the thresholds around the no-ambiguity anchor, and trigger curvature determined its location.</w:t>
      </w:r>
    </w:p>
    <w:p>
      <w:pPr>
        <w:pStyle w:val="BodyText"/>
      </w:pPr>
      <w:r>
        <w:t xml:space="preserve">Under the affine rule, the side of one half on which the critical weight fell followed from trigger curvature in the declared ambiguity coordinate. Under the pre-commitment benchmark, it also depended on the reference project value. In standard-deviation units, the affine critical weight lay above one half throughout the domain. A symmetric declaration in variance units at the same relative radius selected different endpoint volatilities and reversed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Across the 33 admissible calibrations, the maximum member-trigger error was 2.74% of the benchmark over the primary radius range up to 22%. It reached 6.15% with the 33% stress radius included. Small trigger errors did not guarantee identical classifications. The two prespecified fidelity criteria held only at the evaluated radii up to 10%. On held-out configurations, the price-axis distance used for release behaved as on the evaluated grid. The normalized criteria failed on one weight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baseline unanimity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failed in 15 of the 32 sensitivity configurations. Eleven of these 15 cells went to benchmark recomputation, ten of them at radii above the affine-only cap. The remaining four were binding and releasable on the affine report alone. Two practical implications follow. In this illustration, member disagreement moved the reported edges less than the common appraisal inputs did. A committee with an unsettled cost basis would weigh member attitudes inside an interval narrower than the shift from a 10% cost revision. Repeated unanimous classifications may also arise with dispersed member thresholds, because the prevailing price can stay outside the contested interval. Unanimity alone therefore says little about the closeness of the thresholds. These implications hold under the maintained model, the reference profile, and the declared ambiguity coordinate.</w:t>
      </w:r>
    </w:p>
    <w:p>
      <w:pPr>
        <w:pStyle w:val="BodyText"/>
      </w:pPr>
      <w:r>
        <w:t xml:space="preserve">The method covers a binary invest-or-wait screen with a common ordered ambiguity set and a scalar threshold. The reconstruction used a fixed corpus, and the member profiles and simulated panels are design inputs. The anchor estimated on 2024 and 2025 data was applied retrospectively. Under an as-of anchor over the 14 gates with enough data, the peak quarter and the unanimous-wait outcome stayed unchanged. The report is only as stable as the recorded weights. A drift of 0.05 per gate changed the three-state summary in 28.9% of simulated panels, so the re-elicitation cadence is a design parameter. On the evaluated grids, the above-one-half location survived mean reversion, a finite horizon, and a jump diffusion at fixed declared variance. The threshold level moved under these departures. Drift ambiguity, joint ambiguity, and regime switching call for a documented recalibration before transfer. Future work could use committee-level behavioral data to test whether recorded weights match pre-deliberation positions. Such data could also reveal how often real committees face mixed classifications. Further extensions could model the vote, bargaining, and strategic reporting of recorded weights on top of the member-threshold report.</w:t>
      </w:r>
    </w:p>
    <w:p>
      <w:pPr>
        <w:pStyle w:val="BodyText"/>
      </w:pPr>
      <w:r>
        <w:t xml:space="preserve">The study suggests a modest change in how a stage gate reports regulatory ambiguity. The report keeps one threshold per member on the price axis and states whether one classification suffices at the prevailing price. It also records the conditions under which the affine report may stand alone. A committee can then discuss disagreement as a measured quantity before any vote. Later reviewers can reconstruct the basis of each classification from the registered inputs.</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processed data and the code. Its README itemizes the contents, and a per-file SHA-256 manifest lists every file. The 74 commands listed in the README were run from a clean copy. Of these, 68 completed, and 5 were skipped because their inputs are not redistributed.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points the pipeline to a local copy. The carbon prices are published CEA and Shanghai pilot closing prices. The encoder weights are publicly released models used under their own licenses. The archive includes the processed price series and the derived document vectors.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curvature-based real-options method for member-specific thresholds and contested-price intervals in stage-gate screening under regulatory ambiguity</dc:title>
  <dc:creator/>
  <cp:keywords/>
  <dcterms:created xsi:type="dcterms:W3CDTF">2026-09-27T17:03:58Z</dcterms:created>
  <dcterms:modified xsi:type="dcterms:W3CDTF">2026-09-27T17:03:58Z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screen irreversible investments before regulatory conditions settle. A representative trigger or aggregate score may hide whether members classify the prevailing price alike. This study constructs member-specific triggers as affine combinations of the two endpoint triggers of an ordered volatility ambiguity set. A perpetuity mapping converts them into price thresholds, whose extremes bound a contested-price interval. At a positive radius, a unique critical weight places a member trigger at the no-ambiguity anchor, and trigger curvature determines its location. Under the affine rule, the analysis placed this weight above one half in standard-deviation units and below it in variance units. A pre-commitment \alpha-maxmin expected utility (\alpha\text{-MEU}) benchmark placed it below one half in both coordinates, at a reference value equal to investment cost. Against this benchmark, the largest relative trigger error across all calibrations on the primary radius range was 2.74%. Small trigger errors did not guarantee identical classifications. Two prespecified classification-fidelity criteria held at the evaluated radii up to 10%. A finite registry routes wide-radius, near-threshold, and unregistered gates to benchmark recomputation. The member-threshold vector reduced the median simulated price-axis loss by 88.5% against the ex post best of four single-trigger summaries. In a carbon capture, utilization, and storage (CCUS) retrofit, every archived price stayed below the lower interval edge in the reference case. In 15 of 32 sensitivity configurations, the highest archived price reached or exceeded this edge. The report thus shows member disagreement at the prevailing price before any vote and states its release conditions.</vt:lpwstr>
  </property>
</Properties>
</file>