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1400" w:line="312" w:lineRule="auto"/>
      </w:pPr>
    </w:p>
    <w:p>
      <w:pPr>
        <w:spacing w:after="120" w:before="1200" w:line="312" w:lineRule="auto"/>
        <w:jc w:val="center"/>
      </w:pPr>
      <w:r>
        <w:rPr>
          <w:b/>
          <w:i w:val="0"/>
          <w:color w:val="5A6B7B"/>
          <w:sz w:val="26"/>
          <w:rFonts w:ascii="Arial" w:hAnsi="Arial" w:eastAsia="Microsoft JhengHei"/>
        </w:rPr>
        <w:t>2026 中華電信智慧創新應用大賽　作品提案規劃書</w:t>
      </w:r>
    </w:p>
    <w:p>
      <w:pPr>
        <w:spacing w:after="440" w:before="0" w:line="312" w:lineRule="auto"/>
        <w:jc w:val="center"/>
      </w:pPr>
      <w:r>
        <w:rPr>
          <w:b/>
          <w:i w:val="0"/>
          <w:color w:val="0F6E5C"/>
          <w:sz w:val="26"/>
          <w:rFonts w:ascii="Arial" w:hAnsi="Arial" w:eastAsia="Microsoft JhengHei"/>
        </w:rPr>
        <w:t>智慧製造</w:t>
      </w:r>
    </w:p>
    <w:p>
      <w:pPr>
        <w:spacing w:after="120" w:before="0" w:line="312" w:lineRule="auto"/>
        <w:jc w:val="center"/>
      </w:pPr>
      <w:r>
        <w:rPr>
          <w:b/>
          <w:i w:val="0"/>
          <w:color w:val="1F4E79"/>
          <w:sz w:val="60"/>
          <w:rFonts w:ascii="Arial" w:hAnsi="Arial" w:eastAsia="Microsoft JhengHei"/>
        </w:rPr>
        <w:t>Factory Guardian AI</w:t>
      </w:r>
    </w:p>
    <w:p>
      <w:pPr>
        <w:spacing w:after="360" w:before="0" w:line="312" w:lineRule="auto"/>
        <w:jc w:val="center"/>
      </w:pPr>
      <w:r>
        <w:rPr>
          <w:b/>
          <w:i w:val="0"/>
          <w:color w:val="1B2A38"/>
          <w:sz w:val="34"/>
          <w:rFonts w:ascii="Arial" w:hAnsi="Arial" w:eastAsia="Microsoft JhengHei"/>
        </w:rPr>
        <w:t>可稽核的多模態工廠異常處置 Agent</w:t>
      </w:r>
    </w:p>
    <w:p>
      <w:pPr>
        <w:spacing w:after="800" w:before="0" w:line="360" w:lineRule="auto"/>
        <w:jc w:val="center"/>
      </w:pPr>
      <w:r>
        <w:rPr>
          <w:b w:val="0"/>
          <w:i w:val="0"/>
          <w:color w:val="1B2A38"/>
          <w:sz w:val="26"/>
          <w:rFonts w:ascii="Arial" w:hAnsi="Arial" w:eastAsia="Microsoft JhengHei"/>
        </w:rPr>
        <w:t>當設備、產線或工安異常發生時，AI 不只警告，而是自動完成</w:t>
        <w:br/>
        <w:t>偵測 → 診斷 → 影響分析 → 方案規劃 → 安全檢查 → 人工核准 → 執行／派工 → 驗證恢復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600"/>
        <w:gridCol w:w="6812"/>
      </w:tblGrid>
      <w:tr>
        <w:trPr>
          <w:tblHeader/>
          <w:cantSplit/>
        </w:trPr>
        <w:tc>
          <w:tcPr>
            <w:tcW w:type="dxa" w:w="26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項目</w:t>
            </w:r>
          </w:p>
        </w:tc>
        <w:tc>
          <w:tcPr>
            <w:tcW w:type="dxa" w:w="68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內容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隊伍名稱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FactoryGuardian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參賽組別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社會組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參賽主題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智慧製造（機聯網、產線戰情中心、AI 視覺檢測、工安、預測維護）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作品型態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可執行系統（非簡報）：CLI ＋ Web Dashboard ＋ REST API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文件版本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2026 年 8 月 17 日</w:t>
            </w:r>
          </w:p>
        </w:tc>
      </w:tr>
    </w:tbl>
    <w:p>
      <w:pPr>
        <w:spacing w:after="80" w:before="0" w:line="312" w:lineRule="auto"/>
      </w:pPr>
    </w:p>
    <w:p>
      <w:pPr>
        <w:spacing w:after="360" w:before="0" w:line="312" w:lineRule="auto"/>
      </w:pP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412"/>
      </w:tblGrid>
      <w:tr>
        <w:tc>
          <w:tcPr>
            <w:tcW w:type="dxa" w:w="9412"/>
            <w:shd w:val="clear" w:fill="FBF1F0"/>
            <w:tcBorders>
              <w:top w:val="single" w:sz="8" w:color="9E2B25"/>
              <w:left w:val="single" w:sz="8" w:color="9E2B25"/>
              <w:bottom w:val="single" w:sz="8" w:color="9E2B25"/>
              <w:right w:val="single" w:sz="8" w:color="9E2B25"/>
            </w:tcBorders>
          </w:tcPr>
          <w:p>
            <w:pPr>
              <w:spacing w:after="40" w:line="300" w:lineRule="auto"/>
            </w:pPr>
            <w:r>
              <w:rPr>
                <w:b/>
                <w:color w:val="9E2B25"/>
                <w:sz w:val="24"/>
                <w:rFonts w:ascii="Arial" w:hAnsi="Arial" w:eastAsia="Microsoft JhengHei"/>
              </w:rPr>
              <w:t xml:space="preserve">SYNTHETIC DEMO DATA　</w:t>
            </w:r>
            <w:r>
              <w:rPr>
                <w:color w:val="1B2A38"/>
                <w:sz w:val="24"/>
                <w:rFonts w:ascii="Arial" w:hAnsi="Arial" w:eastAsia="Microsoft JhengHei"/>
              </w:rPr>
              <w:t>本平台之 Sensor／Orders／Maintenance History／Manual 皆為競賽用合成資料，不代表任何真實工廠或設備商規格。事件、Agent 決策、狀態更新與 KPI 驗證則均為真實執行；外部公開資料集（UCI AI4I 2020、DCASE2020／MIMII）僅用於方法驗證，與 Demo 資料流完全隔離。</w:t>
            </w:r>
          </w:p>
        </w:tc>
      </w:tr>
    </w:tbl>
    <w:p>
      <w:pPr>
        <w:spacing w:after="80" w:before="0" w:line="312" w:lineRule="auto"/>
      </w:pPr>
    </w:p>
    <w:p>
      <w:r>
        <w:br w:type="page"/>
      </w:r>
    </w:p>
    <w:p>
      <w:pPr>
        <w:spacing w:after="240" w:before="0" w:line="312" w:lineRule="auto"/>
      </w:pPr>
      <w:r>
        <w:rPr>
          <w:b/>
          <w:i w:val="0"/>
          <w:color w:val="1F4E79"/>
          <w:sz w:val="34"/>
          <w:rFonts w:ascii="Arial" w:hAnsi="Arial" w:eastAsia="Microsoft JhengHei"/>
        </w:rPr>
        <w:t>目錄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600"/>
        <w:gridCol w:w="6812"/>
      </w:tblGrid>
      <w:tr>
        <w:trPr>
          <w:tblHeader/>
          <w:cantSplit/>
        </w:trPr>
        <w:tc>
          <w:tcPr>
            <w:tcW w:type="dxa" w:w="26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章節</w:t>
            </w:r>
          </w:p>
        </w:tc>
        <w:tc>
          <w:tcPr>
            <w:tcW w:type="dxa" w:w="68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內容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一、作品主題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一句話定位｜告警不等於處置｜八階段閉環｜目前完成度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二、設計理念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四條紅線｜為什麼是 Agentic AI｜邊緣優先｜誠實原則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三、作品特色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多模態根因診斷｜安全否決權｜人工在環與稽核｜執行後驗證｜三組對照組｜外部資料驗證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四、使用情境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場域與使用者｜軸承劣化主線｜人員闖入危險區｜冷卻失效與馬達過載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五、開發工具及相關說明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技術分層與 Agent 分工｜邊緣／雲端配置與中華電信能力｜網路需求｜開發工具｜可重現性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六、商業模式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目標客戶｜收費方式與級距｜ROI 與破口分析｜競品差異化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七、預期成果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已達成的量測結果｜永續發展性｜導入路線圖｜風險與因應｜不做的宣稱｜評選項目對應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參考資料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公開資料集、官方 baseline、政府公告係數與授權說明</w:t>
            </w:r>
          </w:p>
        </w:tc>
      </w:tr>
    </w:tbl>
    <w:p>
      <w:pPr>
        <w:spacing w:after="80" w:before="0" w:line="312" w:lineRule="auto"/>
      </w:pPr>
    </w:p>
    <w:p>
      <w:pPr>
        <w:spacing w:after="120" w:before="0" w:line="312" w:lineRule="auto"/>
      </w:pPr>
      <w:r>
        <w:rPr>
          <w:b w:val="0"/>
          <w:i w:val="0"/>
          <w:color w:val="5A6B7B"/>
          <w:sz w:val="24"/>
          <w:rFonts w:ascii="Arial" w:hAnsi="Arial" w:eastAsia="Microsoft JhengHei"/>
        </w:rPr>
        <w:t>註：本文件依大賽規格製作 —— A4 直式、內文字體 12 pt、頁碼標示於頁尾（自內文第 1 頁起算）；封面、目錄與參考資料不計入建議之 15 頁篇幅。文中所有 KPI 皆為本系統實際執行的量測值，資料性質與假設參數均逐項標示。</w:t>
      </w:r>
    </w:p>
    <w:p>
      <w:pPr>
        <w:sectPr>
          <w:footerReference w:type="default" r:id="rId9"/>
          <w:pgSz w:w="11906" w:h="16838"/>
          <w:pgMar w:top="1134" w:right="1247" w:bottom="1020" w:left="1247" w:header="624" w:footer="567" w:gutter="0"/>
          <w:cols w:space="720"/>
          <w:docGrid w:linePitch="360"/>
        </w:sectPr>
      </w:pPr>
    </w:p>
    <w:p>
      <w:pPr>
        <w:keepNext/>
        <w:spacing w:before="280" w:after="160"/>
        <w:pBdr>
          <w:bottom w:val="single" w:sz="12" w:space="3" w:color="1F4E79"/>
        </w:pBdr>
      </w:pPr>
      <w:r>
        <w:rPr>
          <w:b/>
          <w:color w:val="1F4E79"/>
          <w:sz w:val="32"/>
          <w:rFonts w:ascii="Arial" w:hAnsi="Arial" w:eastAsia="Microsoft JhengHei"/>
        </w:rPr>
        <w:t>一　作品主題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1.1　一句話定位</w:t>
      </w:r>
    </w:p>
    <w:p>
      <w:pPr>
        <w:spacing w:after="120" w:line="312" w:lineRule="auto"/>
      </w:pPr>
      <w:r>
        <w:rPr>
          <w:b w:val="0"/>
          <w:color w:val="1B2A38"/>
          <w:sz w:val="24"/>
          <w:rFonts w:ascii="Arial" w:hAnsi="Arial" w:eastAsia="Microsoft JhengHei"/>
        </w:rPr>
        <w:t>Factory Guardian AI 是一套</w:t>
      </w:r>
      <w:r>
        <w:rPr>
          <w:b/>
          <w:color w:val="1B2A38"/>
          <w:sz w:val="24"/>
          <w:rFonts w:ascii="Arial" w:hAnsi="Arial" w:eastAsia="Microsoft JhengHei"/>
        </w:rPr>
        <w:t>把工廠異常「從偵測做到處置完成並驗證」的 Agentic AI 平台</w:t>
      </w:r>
      <w:r>
        <w:rPr>
          <w:b w:val="0"/>
          <w:color w:val="1B2A38"/>
          <w:sz w:val="24"/>
          <w:rFonts w:ascii="Arial" w:hAnsi="Arial" w:eastAsia="Microsoft JhengHei"/>
        </w:rPr>
        <w:t>。它同時整合三個原本分離的系統 —— 設備預測維護、生產排程調度、工安風險管控 —— 在同一個事故裡當成同一件事處理：設備為什麼壞、訂單怎麼救、這個做法安不安全。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400"/>
        <w:gridCol w:w="3906"/>
        <w:gridCol w:w="4106"/>
      </w:tblGrid>
      <w:tr>
        <w:trPr>
          <w:tblHeader/>
          <w:cantSplit/>
        </w:trPr>
        <w:tc>
          <w:tcPr>
            <w:tcW w:type="dxa" w:w="14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面向</w:t>
            </w:r>
          </w:p>
        </w:tc>
        <w:tc>
          <w:tcPr>
            <w:tcW w:type="dxa" w:w="3906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工廠現況</w:t>
            </w:r>
          </w:p>
        </w:tc>
        <w:tc>
          <w:tcPr>
            <w:tcW w:type="dxa" w:w="4106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Factory Guardian AI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設備</w:t>
            </w:r>
          </w:p>
        </w:tc>
        <w:tc>
          <w:tcPr>
            <w:tcW w:type="dxa" w:w="390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異常後人工查 Error Code、翻手冊與維修紀錄</w:t>
            </w:r>
          </w:p>
        </w:tc>
        <w:tc>
          <w:tcPr>
            <w:tcW w:type="dxa" w:w="410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多模態自動診斷根因、附可引用證據與信心度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生產</w:t>
            </w:r>
          </w:p>
        </w:tc>
        <w:tc>
          <w:tcPr>
            <w:tcW w:type="dxa" w:w="390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停機後才人工重排訂單與替代機台</w:t>
            </w:r>
          </w:p>
        </w:tc>
        <w:tc>
          <w:tcPr>
            <w:tcW w:type="dxa" w:w="410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即時計算訂單、產能與交期影響，產出多個可比較方案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工安</w:t>
            </w:r>
          </w:p>
        </w:tc>
        <w:tc>
          <w:tcPr>
            <w:tcW w:type="dxa" w:w="390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Camera 與 Sensor 各自告警，與生產決策脫節</w:t>
            </w:r>
          </w:p>
        </w:tc>
        <w:tc>
          <w:tcPr>
            <w:tcW w:type="dxa" w:w="410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Safety Agent 對每個方案具否決權，安全是硬限制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治理</w:t>
            </w:r>
          </w:p>
        </w:tc>
        <w:tc>
          <w:tcPr>
            <w:tcW w:type="dxa" w:w="390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AI 建議與實際操作斷裂，事後無從追查</w:t>
            </w:r>
          </w:p>
        </w:tc>
        <w:tc>
          <w:tcPr>
            <w:tcW w:type="dxa" w:w="4106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人工核准 ＋ JSONL 稽核軌跡 ＋ 執行後回頭驗證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1.2　我們要解決的問題：告警不等於處置</w:t>
      </w: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工廠不缺告警。缺的是告警之後那六件事：判斷根因、算出影響哪張訂單、比較有哪些做法、確認做法安不安全、找人簽名負責、以及修完之後確認真的恢復了。這六件事今天靠資深工程師的經驗串起來，所以診斷時間長、跨部門協作成本高，而且知識綁在少數人身上。本案要做的就是把這六件事變成可執行、可量測、可稽核的系統流程。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1.3　系統實際完成的八個步驟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128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2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B7B"/>
          <w:sz w:val="24"/>
          <w:rFonts w:ascii="Arial" w:hAnsi="Arial" w:eastAsia="Microsoft JhengHei"/>
        </w:rPr>
        <w:t>圖 1　八階段 Agent 閉環（Dashboard 實際畫面）。驗證未過會退回重新規劃；紅色為 Safety Agent 阻擋不安全方案，人形圖示為需人工核准的節點。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1.4　目前完成度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700"/>
        <w:gridCol w:w="7712"/>
      </w:tblGrid>
      <w:tr>
        <w:trPr>
          <w:tblHeader/>
          <w:cantSplit/>
        </w:trPr>
        <w:tc>
          <w:tcPr>
            <w:tcW w:type="dxa" w:w="17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面向</w:t>
            </w:r>
          </w:p>
        </w:tc>
        <w:tc>
          <w:tcPr>
            <w:tcW w:type="dxa" w:w="77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現況（本提案送件時）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可執行</w:t>
            </w:r>
          </w:p>
        </w:tc>
        <w:tc>
          <w:tcPr>
            <w:tcW w:type="dxa" w:w="77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單一指令即可跑完整閉環與 Demo；Web Dashboard、REST API、CLI 皆已完成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可量測</w:t>
            </w:r>
          </w:p>
        </w:tc>
        <w:tc>
          <w:tcPr>
            <w:tcW w:type="dxa" w:w="77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三組對照組跑在相同亂數種子、相同情境、相同時長，KPI 直接可比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可稽核</w:t>
            </w:r>
          </w:p>
        </w:tc>
        <w:tc>
          <w:tcPr>
            <w:tcW w:type="dxa" w:w="77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每個判斷與動作寫入 JSONL 稽核軌跡（一次閉環 27 筆、21,575 bytes）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可重複</w:t>
            </w:r>
          </w:p>
        </w:tc>
        <w:tc>
          <w:tcPr>
            <w:tcW w:type="dxa" w:w="77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343 項自動化測試 18.4 秒跑完；連續 30 次演出成功率 100%、決策指紋完全一致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已驗證</w:t>
            </w:r>
          </w:p>
        </w:tc>
        <w:tc>
          <w:tcPr>
            <w:tcW w:type="dxa" w:w="77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核心方法另在兩份外部公開資料集上重跑並與官方 baseline 比較（見 3.6）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80" w:after="160"/>
        <w:pBdr>
          <w:bottom w:val="single" w:sz="12" w:space="3" w:color="1F4E79"/>
        </w:pBdr>
      </w:pPr>
      <w:r>
        <w:rPr>
          <w:b/>
          <w:color w:val="1F4E79"/>
          <w:sz w:val="32"/>
          <w:rFonts w:ascii="Arial" w:hAnsi="Arial" w:eastAsia="Microsoft JhengHei"/>
        </w:rPr>
        <w:t>二　設計理念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2.1　四條紅線</w:t>
      </w: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競賽 Demo 最容易被質疑的是「數字是不是編的」、「LLM 會不會亂下指令」。本案用架構回答，而不是用話術回答 —— 以下四條都由自動化測試守住，違反就會讓測試變紅。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00"/>
        <w:gridCol w:w="7312"/>
      </w:tblGrid>
      <w:tr>
        <w:trPr>
          <w:tblHeader/>
          <w:cantSplit/>
        </w:trPr>
        <w:tc>
          <w:tcPr>
            <w:tcW w:type="dxa" w:w="21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紅線</w:t>
            </w:r>
          </w:p>
        </w:tc>
        <w:tc>
          <w:tcPr>
            <w:tcW w:type="dxa" w:w="73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落實方式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Agent 看不到答案</w:t>
            </w:r>
          </w:p>
        </w:tc>
        <w:tc>
          <w:tcPr>
            <w:tcW w:type="dxa" w:w="73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真實故障標籤只存在模擬器內部，狀態快照不輸出。方案投影跑在「診斷信念模型」上 —— 診斷錯了，投影就會錯，再由驗證階段抓出來並觸發重新規劃。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安全是硬限制，不是加權項</w:t>
            </w:r>
          </w:p>
        </w:tc>
        <w:tc>
          <w:tcPr>
            <w:tcW w:type="dxa" w:w="73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Safety Agent 對任何方案具否決權，且含預測型規則：判斷依據是「這個方案會把設備帶到哪裡」，不只是「現在的數值」。Safety Override 是系統禁止動作。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方案排名不由 LLM 決定</w:t>
            </w:r>
          </w:p>
        </w:tc>
        <w:tc>
          <w:tcPr>
            <w:tcW w:type="dxa" w:w="73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六準則加權多準則排名由規則引擎計算，使用固定尺規而非相對正規化，分數跨情境有絕對意義。LLM 只負責把算好的結果寫成人看得懂的文字。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執行後必須回頭驗證</w:t>
            </w:r>
          </w:p>
        </w:tc>
        <w:tc>
          <w:tcPr>
            <w:tcW w:type="dxa" w:w="73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執行真的改變設備與訂單狀態，驗證階段在真實孿生體上重新量測 KPI，比的是「有沒有達到自己的預測」與「有沒有贏過什麼都不做」，不通過就重新規劃。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2.2　為什麼是 Agentic AI，而不是聊天機器人或單一預測模型</w:t>
      </w:r>
    </w:p>
    <w:p>
      <w:pPr>
        <w:spacing w:after="60" w:line="312" w:lineRule="auto"/>
        <w:ind w:left="425" w:hanging="255"/>
      </w:pPr>
      <w:r>
        <w:rPr>
          <w:b/>
          <w:color w:val="0F6E5C"/>
          <w:sz w:val="24"/>
          <w:rFonts w:ascii="Arial" w:hAnsi="Arial" w:eastAsia="Microsoft JhengHei"/>
        </w:rPr>
        <w:t xml:space="preserve">• </w:t>
      </w:r>
      <w:r>
        <w:rPr>
          <w:b/>
          <w:color w:val="1B2A38"/>
          <w:sz w:val="24"/>
          <w:rFonts w:ascii="Arial" w:hAnsi="Arial" w:eastAsia="Microsoft JhengHei"/>
        </w:rPr>
        <w:t>模型不等於系統：</w:t>
      </w:r>
      <w:r>
        <w:rPr>
          <w:color w:val="1B2A38"/>
          <w:sz w:val="24"/>
          <w:rFonts w:ascii="Arial" w:hAnsi="Arial" w:eastAsia="Microsoft JhengHei"/>
        </w:rPr>
        <w:t>單一預測模型只能回答「這裡有異常」，回答不了「所以現在要做什麼、誰簽名、修完了沒」。</w:t>
      </w:r>
    </w:p>
    <w:p>
      <w:pPr>
        <w:spacing w:after="60" w:line="312" w:lineRule="auto"/>
        <w:ind w:left="425" w:hanging="255"/>
      </w:pPr>
      <w:r>
        <w:rPr>
          <w:b/>
          <w:color w:val="0F6E5C"/>
          <w:sz w:val="24"/>
          <w:rFonts w:ascii="Arial" w:hAnsi="Arial" w:eastAsia="Microsoft JhengHei"/>
        </w:rPr>
        <w:t xml:space="preserve">• </w:t>
      </w:r>
      <w:r>
        <w:rPr>
          <w:b/>
          <w:color w:val="1B2A38"/>
          <w:sz w:val="24"/>
          <w:rFonts w:ascii="Arial" w:hAnsi="Arial" w:eastAsia="Microsoft JhengHei"/>
        </w:rPr>
        <w:t>決策是多目標的：</w:t>
      </w:r>
      <w:r>
        <w:rPr>
          <w:color w:val="1B2A38"/>
          <w:sz w:val="24"/>
          <w:rFonts w:ascii="Arial" w:hAnsi="Arial" w:eastAsia="Microsoft JhengHei"/>
        </w:rPr>
        <w:t>工廠的最佳決策不是「讓機器繼續跑」，而是在安全、產能、交期、成本與復原時間之間取捨；這需要多個角色分工，而不是一個大模型輸出一段話。</w:t>
      </w:r>
    </w:p>
    <w:p>
      <w:pPr>
        <w:spacing w:after="60" w:line="312" w:lineRule="auto"/>
        <w:ind w:left="425" w:hanging="255"/>
      </w:pPr>
      <w:r>
        <w:rPr>
          <w:b/>
          <w:color w:val="0F6E5C"/>
          <w:sz w:val="24"/>
          <w:rFonts w:ascii="Arial" w:hAnsi="Arial" w:eastAsia="Microsoft JhengHei"/>
        </w:rPr>
        <w:t xml:space="preserve">• </w:t>
      </w:r>
      <w:r>
        <w:rPr>
          <w:b/>
          <w:color w:val="1B2A38"/>
          <w:sz w:val="24"/>
          <w:rFonts w:ascii="Arial" w:hAnsi="Arial" w:eastAsia="Microsoft JhengHei"/>
        </w:rPr>
        <w:t>責任必須落地：</w:t>
      </w:r>
      <w:r>
        <w:rPr>
          <w:color w:val="1B2A38"/>
          <w:sz w:val="24"/>
          <w:rFonts w:ascii="Arial" w:hAnsi="Arial" w:eastAsia="Microsoft JhengHei"/>
        </w:rPr>
        <w:t>高風險動作必須可追責。把控制權交給生成式模型無法通過工廠的安全審查，所以本案讓 LLM 只做敘述，決策留給規則與人。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2.3　邊緣優先：決策不出廠，斷網照跑</w:t>
      </w: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元件放邊緣還是雲端，本案用三個可判定的條件決定，任一成立就必須放在廠內邊緣節點：① 確定性（輸出只由輸入決定，不依賴外部服務）；② 延遲敏感（決策晚了就沒有意義）；③ 資料主權（輸入含可辨識人員影像或製程 know-how，不得出廠）。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412"/>
      </w:tblGrid>
      <w:tr>
        <w:tc>
          <w:tcPr>
            <w:tcW w:type="dxa" w:w="9412"/>
            <w:shd w:val="clear" w:fill="F2F7F5"/>
            <w:tcBorders>
              <w:top w:val="single" w:sz="8" w:color="0F6E5C"/>
              <w:left w:val="single" w:sz="8" w:color="0F6E5C"/>
              <w:bottom w:val="single" w:sz="8" w:color="0F6E5C"/>
              <w:right w:val="single" w:sz="8" w:color="0F6E5C"/>
            </w:tcBorders>
          </w:tcPr>
          <w:p>
            <w:pPr>
              <w:spacing w:after="40" w:line="300" w:lineRule="auto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 xml:space="preserve">可被測試驗證的不變式　</w:t>
            </w:r>
            <w:r>
              <w:rPr>
                <w:color w:val="1B2A38"/>
                <w:sz w:val="24"/>
                <w:rFonts w:ascii="Arial" w:hAnsi="Arial" w:eastAsia="Microsoft JhengHei"/>
              </w:rPr>
              <w:t>控制關鍵路徑（偵測 → 診斷 → 安全 → 核准 → 執行 → 驗證）上的 13 個元件全部位於邊緣。只要有人把 LLM 或雲端知識庫放進決策路徑，測試就會失敗。這也代表：對外鏈路中斷時，閉環仍在廠內完成，決策結果一個字都不會變。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2.4　誠實原則</w:t>
      </w: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所有合成資料在 CLI 與 Dashboard 上常駐標示；效益模型的每一個參數都標注「實測／推導／假設」三種來源之一，沒有第四種，也沒有任何一個數字被包裝成「業界平均」。核心方法另外搬到兩份外部公開資料集上重跑，連輸給對照組的結果也一併寫出來（見 3.6）。這不是謙虛，是因為經不起追問的數字在決賽問答會反噬。</w:t>
      </w:r>
    </w:p>
    <w:p>
      <w:pPr>
        <w:keepNext/>
        <w:spacing w:before="280" w:after="160"/>
        <w:pBdr>
          <w:bottom w:val="single" w:sz="12" w:space="3" w:color="1F4E79"/>
        </w:pBdr>
      </w:pPr>
      <w:r>
        <w:rPr>
          <w:b/>
          <w:color w:val="1F4E79"/>
          <w:sz w:val="32"/>
          <w:rFonts w:ascii="Arial" w:hAnsi="Arial" w:eastAsia="Microsoft JhengHei"/>
        </w:rPr>
        <w:t>三　作品特色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3.1　特色一：多模態根因診斷，且拆得開算式</w:t>
      </w: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診斷排名由三項加權組成，權重固定且可稽核：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300"/>
        <w:gridCol w:w="1000"/>
        <w:gridCol w:w="5112"/>
      </w:tblGrid>
      <w:tr>
        <w:trPr>
          <w:tblHeader/>
          <w:cantSplit/>
        </w:trPr>
        <w:tc>
          <w:tcPr>
            <w:tcW w:type="dxa" w:w="33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項目</w:t>
            </w:r>
          </w:p>
        </w:tc>
        <w:tc>
          <w:tcPr>
            <w:tcW w:type="dxa" w:w="10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權重</w:t>
            </w:r>
          </w:p>
        </w:tc>
        <w:tc>
          <w:tcPr>
            <w:tcW w:type="dxa" w:w="51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說明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感測器指紋餘弦相似度</w:t>
            </w:r>
          </w:p>
        </w:tc>
        <w:tc>
          <w:tcPr>
            <w:tcW w:type="dxa" w:w="10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0.75</w:t>
            </w:r>
          </w:p>
        </w:tc>
        <w:tc>
          <w:tcPr>
            <w:tcW w:type="dxa" w:w="51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溫度／振動／電流／轉速的偏離向量方向比對，並融合聲學指紋（有效權重 0.15）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歷史先驗</w:t>
            </w:r>
          </w:p>
        </w:tc>
        <w:tc>
          <w:tcPr>
            <w:tcW w:type="dxa" w:w="10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0.15</w:t>
            </w:r>
          </w:p>
        </w:tc>
        <w:tc>
          <w:tcPr>
            <w:tcW w:type="dxa" w:w="51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這台機器過去發生過什麼故障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文件支持度</w:t>
            </w:r>
          </w:p>
        </w:tc>
        <w:tc>
          <w:tcPr>
            <w:tcW w:type="dxa" w:w="10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0.10</w:t>
            </w:r>
          </w:p>
        </w:tc>
        <w:tc>
          <w:tcPr>
            <w:tcW w:type="dxa" w:w="51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手冊、SOP 與維修紀錄的檢索支持度，提供可引用的證據</w:t>
            </w:r>
          </w:p>
        </w:tc>
      </w:tr>
    </w:tbl>
    <w:p>
      <w:pPr>
        <w:spacing w:after="80" w:before="0" w:line="312" w:lineRule="auto"/>
      </w:pP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信心度會被訊號強度壓抑：訊號還微弱時不給高信心。實際 Demo 中，系統在信心 0.503 → 0.608 時選擇「繼續觀察」而不動設備，直到 0.728 超過門檻 0.65 才進入規劃 —— 早期介入的價值不能用「急著動設備」換。聲學模態的加入讓三個情境的信心度提升 0.04～0.11，但 top-1 根因完全沒有改變：聲音的作用是把既有的正確答案推得更確定。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3.2　特色二：Safety Agent 具否決權，且看的是方案會把設備帶到哪裡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257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pla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25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B7B"/>
          <w:sz w:val="24"/>
          <w:rFonts w:ascii="Arial" w:hAnsi="Arial" w:eastAsia="Microsoft JhengHei"/>
        </w:rPr>
        <w:t>圖 2　方案矩陣（Dashboard 實際畫面）。四個方案各自在信念模型上乾跑 30 分鐘；右側「維持全速運轉」被 Safety Agent 以預測振動將達 11.93 mm/s（危險門檻 7 mm/s）直接刪除，不參與比分。排名由規則引擎計算，非 LLM。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3.3　特色三：人工在環與不可否認的稽核軌跡</w:t>
      </w: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停機與修改控制狀態屬高風險動作，系統會停在核准節點等待具權限人員簽名，核准者、理由與時間全部寫入稽核軌跡。一次完整閉環產生 27 筆 JSONL 紀錄（21,575 bytes），涵蓋每一次診斷分數、Safety 裁決、排名權重、核准、執行動作與驗證結果 —— 這份檔案同時就是 OT SOC 的證據來源。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562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au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B7B"/>
          <w:sz w:val="24"/>
          <w:rFonts w:ascii="Arial" w:hAnsi="Arial" w:eastAsia="Microsoft JhengHei"/>
        </w:rPr>
        <w:t>圖 3　稽核軌跡（節錄）。每一列都可追回當時的輸入、算式與結論。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3.4　特色四：執行後回到孿生體驗證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35559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verif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55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B7B"/>
          <w:sz w:val="24"/>
          <w:rFonts w:ascii="Arial" w:hAnsi="Arial" w:eastAsia="Microsoft JhengHei"/>
        </w:rPr>
        <w:t>圖 4　執行後驗證（Dashboard 實際畫面）。三項檢查都是執行後重新量測的實測值，不是把先前的預測抄一遍；任一項未過即退回重新規劃。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3.5　特色五：三組對照組，跑在相同條件上</w:t>
      </w: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以下為 5 個情境的實際執行平均值（相同亂數種子、相同情境、相同總時長，非預錄）：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812"/>
        <w:gridCol w:w="2200"/>
        <w:gridCol w:w="2200"/>
        <w:gridCol w:w="2200"/>
      </w:tblGrid>
      <w:tr>
        <w:trPr>
          <w:tblHeader/>
          <w:cantSplit/>
        </w:trPr>
        <w:tc>
          <w:tcPr>
            <w:tcW w:type="dxa" w:w="28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KPI</w:t>
            </w:r>
          </w:p>
        </w:tc>
        <w:tc>
          <w:tcPr>
            <w:tcW w:type="dxa" w:w="22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Baseline A</w:t>
              <w:br/>
              <w:t>固定門檻告警</w:t>
            </w:r>
          </w:p>
        </w:tc>
        <w:tc>
          <w:tcPr>
            <w:tcW w:type="dxa" w:w="22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Baseline B</w:t>
              <w:br/>
              <w:t>偵測即停機</w:t>
            </w:r>
          </w:p>
        </w:tc>
        <w:tc>
          <w:tcPr>
            <w:tcW w:type="dxa" w:w="22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Factory Guardian</w:t>
              <w:br/>
              <w:t>完整閉環</w:t>
            </w:r>
          </w:p>
        </w:tc>
      </w:tr>
      <w:tr>
        <w:trPr>
          <w:cantSplit/>
        </w:trPr>
        <w:tc>
          <w:tcPr>
            <w:tcW w:type="dxa" w:w="2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偵測延遲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7.5 min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2.8 min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2.8 min</w:t>
            </w:r>
          </w:p>
        </w:tc>
      </w:tr>
      <w:tr>
        <w:trPr>
          <w:cantSplit/>
        </w:trPr>
        <w:tc>
          <w:tcPr>
            <w:tcW w:type="dxa" w:w="2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根因診斷正確率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—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—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100%</w:t>
            </w:r>
          </w:p>
        </w:tc>
      </w:tr>
      <w:tr>
        <w:trPr>
          <w:cantSplit/>
        </w:trPr>
        <w:tc>
          <w:tcPr>
            <w:tcW w:type="dxa" w:w="2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產能達成率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52.5%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71.4%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92.5%</w:t>
            </w:r>
          </w:p>
        </w:tc>
      </w:tr>
      <w:tr>
        <w:trPr>
          <w:cantSplit/>
        </w:trPr>
        <w:tc>
          <w:tcPr>
            <w:tcW w:type="dxa" w:w="2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最大交期延遲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1,108 min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2.1 min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0 min</w:t>
            </w:r>
          </w:p>
        </w:tc>
      </w:tr>
      <w:tr>
        <w:trPr>
          <w:cantSplit/>
        </w:trPr>
        <w:tc>
          <w:tcPr>
            <w:tcW w:type="dxa" w:w="2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設備最終健康度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36.5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100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100</w:t>
            </w:r>
          </w:p>
        </w:tc>
      </w:tr>
      <w:tr>
        <w:trPr>
          <w:cantSplit/>
        </w:trPr>
        <w:tc>
          <w:tcPr>
            <w:tcW w:type="dxa" w:w="2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二次損壞（次／情境）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9E2B25"/>
                <w:sz w:val="24"/>
                <w:rFonts w:ascii="Arial" w:hAnsi="Arial" w:eastAsia="Microsoft JhengHei"/>
              </w:rPr>
              <w:t>0.8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0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0</w:t>
            </w:r>
          </w:p>
        </w:tc>
      </w:tr>
      <w:tr>
        <w:trPr>
          <w:cantSplit/>
        </w:trPr>
        <w:tc>
          <w:tcPr>
            <w:tcW w:type="dxa" w:w="2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單位產出能耗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0.69 kWh/件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0.44 kWh/件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0.32 kWh/件</w:t>
            </w:r>
          </w:p>
        </w:tc>
      </w:tr>
      <w:tr>
        <w:trPr>
          <w:cantSplit/>
        </w:trPr>
        <w:tc>
          <w:tcPr>
            <w:tcW w:type="dxa" w:w="2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執行後驗證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—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—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全數通過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3.6　特色六：核心方法在外部公開資料上重跑，連輸的結果也寫出來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800"/>
        <w:gridCol w:w="2900"/>
        <w:gridCol w:w="4712"/>
      </w:tblGrid>
      <w:tr>
        <w:trPr>
          <w:tblHeader/>
          <w:cantSplit/>
        </w:trPr>
        <w:tc>
          <w:tcPr>
            <w:tcW w:type="dxa" w:w="18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驗證線</w:t>
            </w:r>
          </w:p>
        </w:tc>
        <w:tc>
          <w:tcPr>
            <w:tcW w:type="dxa" w:w="29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外部資料集</w:t>
            </w:r>
          </w:p>
        </w:tc>
        <w:tc>
          <w:tcPr>
            <w:tcW w:type="dxa" w:w="47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結果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聲學異常偵測</w:t>
            </w:r>
          </w:p>
        </w:tc>
        <w:tc>
          <w:tcPr>
            <w:tcW w:type="dxa" w:w="29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DCASE2020 Task 2 / MIMII</w:t>
              <w:br/>
              <w:t>真實工業泵浦錄音</w:t>
            </w:r>
          </w:p>
        </w:tc>
        <w:tc>
          <w:tcPr>
            <w:tcW w:type="dxa" w:w="47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平均 AUC 0.9030、pAUC 0.7855，優於官方 baseline 的 0.7259／0.6000；4 個泵浦個體 × 2 個指標，8 格全部勝出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感測器指紋診斷</w:t>
            </w:r>
          </w:p>
        </w:tc>
        <w:tc>
          <w:tcPr>
            <w:tcW w:type="dxa" w:w="29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UCI AI4I 2020</w:t>
              <w:br/>
              <w:t>預測維護資料集（CC BY 4.0）</w:t>
            </w:r>
          </w:p>
        </w:tc>
        <w:tc>
          <w:tcPr>
            <w:tcW w:type="dxa" w:w="47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根因歸因 Top-1 0.724／Top-3 0.985（隨機為 0.250／0.750），顯著優於代表現行流程的單一訊號門檻規則 0.458</w:t>
            </w:r>
          </w:p>
        </w:tc>
      </w:tr>
    </w:tbl>
    <w:p>
      <w:pPr>
        <w:spacing w:after="80" w:before="0" w:line="312" w:lineRule="auto"/>
      </w:pP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412"/>
      </w:tblGrid>
      <w:tr>
        <w:tc>
          <w:tcPr>
            <w:tcW w:type="dxa" w:w="9412"/>
            <w:shd w:val="clear" w:fill="FBF1F0"/>
            <w:tcBorders>
              <w:top w:val="single" w:sz="8" w:color="9E2B25"/>
              <w:left w:val="single" w:sz="8" w:color="9E2B25"/>
              <w:bottom w:val="single" w:sz="8" w:color="9E2B25"/>
              <w:right w:val="single" w:sz="8" w:color="9E2B25"/>
            </w:tcBorders>
          </w:tcPr>
          <w:p>
            <w:pPr>
              <w:spacing w:after="40" w:line="300" w:lineRule="auto"/>
            </w:pPr>
            <w:r>
              <w:rPr>
                <w:b/>
                <w:color w:val="9E2B25"/>
                <w:sz w:val="24"/>
                <w:rFonts w:ascii="Arial" w:hAnsi="Arial" w:eastAsia="Microsoft JhengHei"/>
              </w:rPr>
              <w:t xml:space="preserve">我們也把不利的結果寫出來　</w:t>
            </w:r>
            <w:r>
              <w:rPr>
                <w:color w:val="1B2A38"/>
                <w:sz w:val="24"/>
                <w:rFonts w:ascii="Arial" w:hAnsi="Arial" w:eastAsia="Microsoft JhengHei"/>
              </w:rPr>
              <w:t>在同樣特徵下，判別式分類器（LogisticRegression 0.964）優於指紋餘弦法 0.724。正確的定位是：指紋法只需要手冊上的徵兆描述，在新設備第一天就能上線並提供可稽核的解釋；等產線累積標註歷史後，應再加一層判別式模型接手排序。我們不宣稱指紋法是最強的分類器 —— 它不是。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80" w:after="160"/>
        <w:pBdr>
          <w:bottom w:val="single" w:sz="12" w:space="3" w:color="1F4E79"/>
        </w:pBdr>
      </w:pPr>
      <w:r>
        <w:rPr>
          <w:b/>
          <w:color w:val="1F4E79"/>
          <w:sz w:val="32"/>
          <w:rFonts w:ascii="Arial" w:hAnsi="Arial" w:eastAsia="Microsoft JhengHei"/>
        </w:rPr>
        <w:t>四　使用情境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4.1　場域與使用者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00"/>
        <w:gridCol w:w="7312"/>
      </w:tblGrid>
      <w:tr>
        <w:trPr>
          <w:tblHeader/>
          <w:cantSplit/>
        </w:trPr>
        <w:tc>
          <w:tcPr>
            <w:tcW w:type="dxa" w:w="21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角色</w:t>
            </w:r>
          </w:p>
        </w:tc>
        <w:tc>
          <w:tcPr>
            <w:tcW w:type="dxa" w:w="73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在系統裡做什麼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設備維護技師</w:t>
            </w:r>
          </w:p>
        </w:tc>
        <w:tc>
          <w:tcPr>
            <w:tcW w:type="dxa" w:w="73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收到含零件、SOP、技能與工時的工單；到場後可查該事件的完整證據鏈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產線班長</w:t>
            </w:r>
          </w:p>
        </w:tc>
        <w:tc>
          <w:tcPr>
            <w:tcW w:type="dxa" w:w="73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看戰情中心的產能與交期影響，確認轉單方案對排程的衝擊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廠務／設備主管</w:t>
            </w:r>
          </w:p>
        </w:tc>
        <w:tc>
          <w:tcPr>
            <w:tcW w:type="dxa" w:w="73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核准或退回高風險方案（停機、進維修），簽名寫入稽核軌跡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工安主管</w:t>
            </w:r>
          </w:p>
        </w:tc>
        <w:tc>
          <w:tcPr>
            <w:tcW w:type="dxa" w:w="73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檢視危險區曝露時間與 Safety 裁決紀錄，作為稽核與改善依據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4.2　情境 A：主軸軸承劣化（決賽 Demo 主線，四分鐘八段）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200"/>
        <w:gridCol w:w="4812"/>
        <w:gridCol w:w="3400"/>
      </w:tblGrid>
      <w:tr>
        <w:trPr>
          <w:tblHeader/>
          <w:cantSplit/>
        </w:trPr>
        <w:tc>
          <w:tcPr>
            <w:tcW w:type="dxa" w:w="12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時序</w:t>
            </w:r>
          </w:p>
        </w:tc>
        <w:tc>
          <w:tcPr>
            <w:tcW w:type="dxa" w:w="48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系統動作</w:t>
            </w:r>
          </w:p>
        </w:tc>
        <w:tc>
          <w:tcPr>
            <w:tcW w:type="dxa" w:w="34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實測結果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T+0</w:t>
            </w:r>
          </w:p>
        </w:tc>
        <w:tc>
          <w:tcPr>
            <w:tcW w:type="dxa" w:w="4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注入軸承劣化，模擬器逐步提高振動與溫度</w:t>
            </w:r>
          </w:p>
        </w:tc>
        <w:tc>
          <w:tcPr>
            <w:tcW w:type="dxa" w:w="3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產線達成率 99%、健康度 100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T+3 min</w:t>
            </w:r>
          </w:p>
        </w:tc>
        <w:tc>
          <w:tcPr>
            <w:tcW w:type="dxa" w:w="4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偵測：門檻、趨勢與健康度三重觸發</w:t>
            </w:r>
          </w:p>
        </w:tc>
        <w:tc>
          <w:tcPr>
            <w:tcW w:type="dxa" w:w="3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偵測延遲 3 分鐘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T+3～5</w:t>
            </w:r>
          </w:p>
        </w:tc>
        <w:tc>
          <w:tcPr>
            <w:tcW w:type="dxa" w:w="4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確認：信心未達門檻，選擇繼續觀察不動設備</w:t>
            </w:r>
          </w:p>
        </w:tc>
        <w:tc>
          <w:tcPr>
            <w:tcW w:type="dxa" w:w="3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信心 0.503 → 0.608 → 0.728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T+5</w:t>
            </w:r>
          </w:p>
        </w:tc>
        <w:tc>
          <w:tcPr>
            <w:tcW w:type="dxa" w:w="4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診斷：軸承劣化，附手冊條號、SOP 與歷史案例證據</w:t>
            </w:r>
          </w:p>
        </w:tc>
        <w:tc>
          <w:tcPr>
            <w:tcW w:type="dxa" w:w="3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根因正確，診斷時間 5 分鐘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T+5</w:t>
            </w:r>
          </w:p>
        </w:tc>
        <w:tc>
          <w:tcPr>
            <w:tcW w:type="dxa" w:w="4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影響：追出受影響訂單與交期風險</w:t>
            </w:r>
          </w:p>
        </w:tc>
        <w:tc>
          <w:tcPr>
            <w:tcW w:type="dxa" w:w="3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12 張訂單依賴此機台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T+6</w:t>
            </w:r>
          </w:p>
        </w:tc>
        <w:tc>
          <w:tcPr>
            <w:tcW w:type="dxa" w:w="4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規劃：四個方案各在信念模型上乾跑 30 分鐘</w:t>
            </w:r>
          </w:p>
        </w:tc>
        <w:tc>
          <w:tcPr>
            <w:tcW w:type="dxa" w:w="3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產出 4 個可比較方案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T+6</w:t>
            </w:r>
          </w:p>
        </w:tc>
        <w:tc>
          <w:tcPr>
            <w:tcW w:type="dxa" w:w="4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安全：預測振動 11.93 mm/s &gt; 7 mm/s，否決「維持全速」</w:t>
            </w:r>
          </w:p>
        </w:tc>
        <w:tc>
          <w:tcPr>
            <w:tcW w:type="dxa" w:w="3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1 個方案被刪除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T+6</w:t>
            </w:r>
          </w:p>
        </w:tc>
        <w:tc>
          <w:tcPr>
            <w:tcW w:type="dxa" w:w="4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排名：六準則加權，推薦「轉單至替代機台並停機處置」</w:t>
            </w:r>
          </w:p>
        </w:tc>
        <w:tc>
          <w:tcPr>
            <w:tcW w:type="dxa" w:w="3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加權分數 0.857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T+7</w:t>
            </w:r>
          </w:p>
        </w:tc>
        <w:tc>
          <w:tcPr>
            <w:tcW w:type="dxa" w:w="4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核准：高風險動作停下來等人簽名</w:t>
            </w:r>
          </w:p>
        </w:tc>
        <w:tc>
          <w:tcPr>
            <w:tcW w:type="dxa" w:w="3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廠務主管核准並留下理由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T+7</w:t>
            </w:r>
          </w:p>
        </w:tc>
        <w:tc>
          <w:tcPr>
            <w:tcW w:type="dxa" w:w="4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執行：轉單、停機、進維修、開立工單</w:t>
            </w:r>
          </w:p>
        </w:tc>
        <w:tc>
          <w:tcPr>
            <w:tcW w:type="dxa" w:w="3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工單完整度 100%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T+37</w:t>
            </w:r>
          </w:p>
        </w:tc>
        <w:tc>
          <w:tcPr>
            <w:tcW w:type="dxa" w:w="4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驗證：在真實孿生體上重新量測三項 KPI</w:t>
            </w:r>
          </w:p>
        </w:tc>
        <w:tc>
          <w:tcPr>
            <w:tcW w:type="dxa" w:w="3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三項全數通過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0545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flo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54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B7B"/>
          <w:sz w:val="24"/>
          <w:rFonts w:ascii="Arial" w:hAnsi="Arial" w:eastAsia="Microsoft JhengHei"/>
        </w:rPr>
        <w:t>圖 5　產線戰情中心 2D 視圖（Dashboard 實際畫面）。機台狀態、輸送帶流量、維修中的技師與健康度都綁在模擬器當下的資料上，非示意圖。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4.3　情境 B：人員進入運轉中危險區</w:t>
      </w: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這個情境的結果是一個明確的取捨，不是一則好消息 —— 我們選擇照實呈現：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012"/>
        <w:gridCol w:w="2100"/>
        <w:gridCol w:w="2100"/>
        <w:gridCol w:w="2200"/>
      </w:tblGrid>
      <w:tr>
        <w:trPr>
          <w:tblHeader/>
          <w:cantSplit/>
        </w:trPr>
        <w:tc>
          <w:tcPr>
            <w:tcW w:type="dxa" w:w="30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指標</w:t>
            </w:r>
          </w:p>
        </w:tc>
        <w:tc>
          <w:tcPr>
            <w:tcW w:type="dxa" w:w="21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Baseline A</w:t>
            </w:r>
          </w:p>
        </w:tc>
        <w:tc>
          <w:tcPr>
            <w:tcW w:type="dxa" w:w="21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Baseline B</w:t>
            </w:r>
          </w:p>
        </w:tc>
        <w:tc>
          <w:tcPr>
            <w:tcW w:type="dxa" w:w="22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Factory Guardian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產能達成率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9E2B25"/>
                <w:sz w:val="24"/>
                <w:rFonts w:ascii="Arial" w:hAnsi="Arial" w:eastAsia="Microsoft JhengHei"/>
              </w:rPr>
              <w:t>99.0%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67.6%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74.3%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人員危險區曝露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9E2B25"/>
                <w:sz w:val="24"/>
                <w:rFonts w:ascii="Arial" w:hAnsi="Arial" w:eastAsia="Microsoft JhengHei"/>
              </w:rPr>
              <w:t>88 min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1 min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1 min</w:t>
            </w:r>
          </w:p>
        </w:tc>
      </w:tr>
    </w:tbl>
    <w:p>
      <w:pPr>
        <w:spacing w:after="80" w:before="0" w:line="312" w:lineRule="auto"/>
      </w:pP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Baseline A 的產能最漂亮，代價是讓人在運轉的機台旁邊站了 88 分鐘。Guardian 用約 25% 的產能換掉 87 分鐘的風險曝露 —— 換算下來每移除 1 分鐘曝露花 129.7 元，而在我們假設的致傷機率下期望損失只有 3,625 元，這一項在純財務上是虧的。我們仍然這樣設計，並且不把致傷機率調高到讓數字好看：工安是硬限制，它不需要靠 ROI 撐起來。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4.4　情境 C：冷卻失效與馬達過載（多模態的鑑別價值）</w:t>
      </w: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兩者都會推高溫度，溫度訊號本身分不開。但冷卻泵停了會「少一個純音」，馬達負載上升則「多出線頻諧波」，兩者的聲學特徵方向幾乎相反（餘弦 −0.89）。這就是多模態的具體價值 —— 不是把資料堆在一起而已。實測顯示兩個情境的診斷正確率皆為 100%，產能達成率分別為 100.6% 與 92.7%，最大交期延遲皆為 0 分鐘。</w:t>
      </w:r>
    </w:p>
    <w:p>
      <w:pPr>
        <w:keepNext/>
        <w:spacing w:before="280" w:after="160"/>
        <w:pBdr>
          <w:bottom w:val="single" w:sz="12" w:space="3" w:color="1F4E79"/>
        </w:pBdr>
      </w:pPr>
      <w:r>
        <w:rPr>
          <w:b/>
          <w:color w:val="1F4E79"/>
          <w:sz w:val="32"/>
          <w:rFonts w:ascii="Arial" w:hAnsi="Arial" w:eastAsia="Microsoft JhengHei"/>
        </w:rPr>
        <w:t>五　開發工具及相關說明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5.1　技術分層與 Agent 分工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500"/>
        <w:gridCol w:w="7912"/>
      </w:tblGrid>
      <w:tr>
        <w:trPr>
          <w:tblHeader/>
          <w:cantSplit/>
        </w:trPr>
        <w:tc>
          <w:tcPr>
            <w:tcW w:type="dxa" w:w="15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層</w:t>
            </w:r>
          </w:p>
        </w:tc>
        <w:tc>
          <w:tcPr>
            <w:tcW w:type="dxa" w:w="79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內容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資料層</w:t>
            </w:r>
          </w:p>
        </w:tc>
        <w:tc>
          <w:tcPr>
            <w:tcW w:type="dxa" w:w="79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Factory Digital Twin（拓撲、故障模型、模擬引擎）、感測訊號、訂單、影像、手冊／SOP／維修紀錄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AI 層</w:t>
            </w:r>
          </w:p>
        </w:tc>
        <w:tc>
          <w:tcPr>
            <w:tcW w:type="dxa" w:w="79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感測器指紋比對、聲學異常偵測（log-mel ＋ 局部離群因子）、CV／VLM 影像判讀、TF-IDF 檢索（CJK 斷詞）、時序預測（TabFM／Ridge）、加權多準則最佳化、LLM 敘述生成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Agent 層</w:t>
            </w:r>
          </w:p>
        </w:tc>
        <w:tc>
          <w:tcPr>
            <w:tcW w:type="dxa" w:w="79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Monitoring（偵測）、Diagnosis（根因）、Production（影響與方案）、Safety（安全裁決）、Maintenance（工單）、Verification（執行後驗證）、Orchestrator（協調與重試）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治理層</w:t>
            </w:r>
          </w:p>
        </w:tc>
        <w:tc>
          <w:tcPr>
            <w:tcW w:type="dxa" w:w="79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Policy Engine（動作權限）、Safety 硬規則、人工核准、JSONL 稽核軌跡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行動層</w:t>
            </w:r>
          </w:p>
        </w:tc>
        <w:tc>
          <w:tcPr>
            <w:tcW w:type="dxa" w:w="79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Simulator API（真實導入時由 OPC-UA／MQTT／MES Adapter 取代）、工單、排程更新、Dashboard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5.2　邊緣／雲端配置與中華電信能力對應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5205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deplo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20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B7B"/>
          <w:sz w:val="24"/>
          <w:rFonts w:ascii="Arial" w:hAnsi="Arial" w:eastAsia="Microsoft JhengHei"/>
        </w:rPr>
        <w:t>圖 6　Edge／Cloud 元件配置（Dashboard 實際畫面，節錄）。14 個元件在邊緣、6 個在雲端；控制關鍵路徑 13 個元件全數在邊緣，每一列都標明斷網時的實際行為。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900"/>
        <w:gridCol w:w="5612"/>
        <w:gridCol w:w="1900"/>
      </w:tblGrid>
      <w:tr>
        <w:trPr>
          <w:tblHeader/>
          <w:cantSplit/>
        </w:trPr>
        <w:tc>
          <w:tcPr>
            <w:tcW w:type="dxa" w:w="19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中華電信能力</w:t>
            </w:r>
          </w:p>
        </w:tc>
        <w:tc>
          <w:tcPr>
            <w:tcW w:type="dxa" w:w="56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在本方案中的角色</w:t>
            </w:r>
          </w:p>
        </w:tc>
        <w:tc>
          <w:tcPr>
            <w:tcW w:type="dxa" w:w="19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狀態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5G 企業專網</w:t>
            </w:r>
          </w:p>
        </w:tc>
        <w:tc>
          <w:tcPr>
            <w:tcW w:type="dxa" w:w="56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Camera → MEC 上行、MEC → PLC 下行，以 slice 對 OT 流量做隔離與 QoS 保證</w:t>
            </w:r>
          </w:p>
        </w:tc>
        <w:tc>
          <w:tcPr>
            <w:tcW w:type="dxa" w:w="19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需求已量化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MEC 邊緣運算</w:t>
            </w:r>
          </w:p>
        </w:tc>
        <w:tc>
          <w:tcPr>
            <w:tcW w:type="dxa" w:w="56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承載全部邊緣元件；對外鏈路中斷時整條閉環仍在廠內完成</w:t>
            </w:r>
          </w:p>
        </w:tc>
        <w:tc>
          <w:tcPr>
            <w:tcW w:type="dxa" w:w="19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已驗證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hicloud／AI 平台</w:t>
            </w:r>
          </w:p>
        </w:tc>
        <w:tc>
          <w:tcPr>
            <w:tcW w:type="dxa" w:w="56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LLM 敘述、向量知識庫、事件報告、模型訓練與發佈（非關鍵路徑）</w:t>
            </w:r>
          </w:p>
        </w:tc>
        <w:tc>
          <w:tcPr>
            <w:tcW w:type="dxa" w:w="19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介面就緒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OT 資安／SOC</w:t>
            </w:r>
          </w:p>
        </w:tc>
        <w:tc>
          <w:tcPr>
            <w:tcW w:type="dxa" w:w="56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設備身分（SIM 綁定）、存取控制、日誌集中與威脅監控；稽核 JSONL 即證據來源</w:t>
            </w:r>
          </w:p>
        </w:tc>
        <w:tc>
          <w:tcPr>
            <w:tcW w:type="dxa" w:w="19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介面就緒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AI 定位</w:t>
            </w:r>
          </w:p>
        </w:tc>
        <w:tc>
          <w:tcPr>
            <w:tcW w:type="dxa" w:w="56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派工時找出最近且具備所需技能的維修人員</w:t>
            </w:r>
          </w:p>
        </w:tc>
        <w:tc>
          <w:tcPr>
            <w:tcW w:type="dxa" w:w="19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路線圖（尚未實作）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5.3　網路需求：為什麼需要 5G 專網 ＋ MEC，而不是 Wi-Fi ＋ 公有雲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400"/>
        <w:gridCol w:w="3212"/>
        <w:gridCol w:w="2800"/>
      </w:tblGrid>
      <w:tr>
        <w:trPr>
          <w:tblHeader/>
          <w:cantSplit/>
        </w:trPr>
        <w:tc>
          <w:tcPr>
            <w:tcW w:type="dxa" w:w="34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項目</w:t>
            </w:r>
          </w:p>
        </w:tc>
        <w:tc>
          <w:tcPr>
            <w:tcW w:type="dxa" w:w="32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數值</w:t>
            </w:r>
          </w:p>
        </w:tc>
        <w:tc>
          <w:tcPr>
            <w:tcW w:type="dxa" w:w="28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依據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工安鏈路端到端延遲</w:t>
            </w:r>
          </w:p>
        </w:tc>
        <w:tc>
          <w:tcPr>
            <w:tcW w:type="dxa" w:w="32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161.7 ms（預算 250 ms，餘裕 88.3 ms）</w:t>
            </w:r>
          </w:p>
        </w:tc>
        <w:tc>
          <w:tcPr>
            <w:tcW w:type="dxa" w:w="28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分段預算，其中兩段為本系統實測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上行頻寬需求（試點產線 4 路影像）</w:t>
            </w:r>
          </w:p>
        </w:tc>
        <w:tc>
          <w:tcPr>
            <w:tcW w:type="dxa" w:w="32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16.2 Mbps 持續上行</w:t>
            </w:r>
          </w:p>
        </w:tc>
        <w:tc>
          <w:tcPr>
            <w:tcW w:type="dxa" w:w="28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1920×1080 / 15 fps / H.264 計算式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邊緣特徵萃取的頻寬降幅</w:t>
            </w:r>
          </w:p>
        </w:tc>
        <w:tc>
          <w:tcPr>
            <w:tcW w:type="dxa" w:w="32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0.96 Mbps → 11.5 kbps（83.3 倍）</w:t>
            </w:r>
          </w:p>
        </w:tc>
        <w:tc>
          <w:tcPr>
            <w:tcW w:type="dxa" w:w="28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原始三軸 10 kHz 波形 vs 邊緣萃取後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出廠資料量（每月）</w:t>
            </w:r>
          </w:p>
        </w:tc>
        <w:tc>
          <w:tcPr>
            <w:tcW w:type="dxa" w:w="32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5.24 TB → 22.9 MB（約 22.9 萬倍）</w:t>
            </w:r>
          </w:p>
        </w:tc>
        <w:tc>
          <w:tcPr>
            <w:tcW w:type="dxa" w:w="28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影像送雲端判讀 vs 邊緣判讀後只送事件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完整閉環邊緣運算時間</w:t>
            </w:r>
          </w:p>
        </w:tc>
        <w:tc>
          <w:tcPr>
            <w:tcW w:type="dxa" w:w="32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56.5 ms（一般筆電 CPU、無 GPU）</w:t>
            </w:r>
          </w:p>
        </w:tc>
        <w:tc>
          <w:tcPr>
            <w:tcW w:type="dxa" w:w="28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實測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安全功能可用度目標</w:t>
            </w:r>
          </w:p>
        </w:tc>
        <w:tc>
          <w:tcPr>
            <w:tcW w:type="dxa" w:w="32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99.9%（反推每段 ≥ 99.95%）</w:t>
            </w:r>
          </w:p>
        </w:tc>
        <w:tc>
          <w:tcPr>
            <w:tcW w:type="dxa" w:w="28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串聯可用度計算</w:t>
            </w:r>
          </w:p>
        </w:tc>
      </w:tr>
    </w:tbl>
    <w:p>
      <w:pPr>
        <w:spacing w:after="80" w:before="0" w:line="312" w:lineRule="auto"/>
      </w:pP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Wi-Fi 不能取代的三件事：上行沒有排程保證（CSMA/CA 競爭式存取，一次重傳風暴就會讓工安影像掉格）、無法對單一資料流做 QoS、以及金屬環境下的換手掉包。此外，原始影像與製程波形依資料主權規則禁止出廠，這使 MEC 從「效能優化」變成「架構必要條件」。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5.4　開發工具與環境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900"/>
        <w:gridCol w:w="7512"/>
      </w:tblGrid>
      <w:tr>
        <w:trPr>
          <w:tblHeader/>
          <w:cantSplit/>
        </w:trPr>
        <w:tc>
          <w:tcPr>
            <w:tcW w:type="dxa" w:w="19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類別</w:t>
            </w:r>
          </w:p>
        </w:tc>
        <w:tc>
          <w:tcPr>
            <w:tcW w:type="dxa" w:w="75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使用工具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語言與框架</w:t>
            </w:r>
          </w:p>
        </w:tc>
        <w:tc>
          <w:tcPr>
            <w:tcW w:type="dxa" w:w="75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Python 3.10+、FastAPI、Uvicorn、Pydantic v2、NetworkX、Rich（CLI）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AI／模型</w:t>
            </w:r>
          </w:p>
        </w:tc>
        <w:tc>
          <w:tcPr>
            <w:tcW w:type="dxa" w:w="75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OpenAI API（僅用於敘述生成，可離線降級）、scikit-learn（LOF／驗證對照組）、librosa／SciPy／NumPy（聲學特徵）、TabFM／Ridge（時序預測）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前端</w:t>
            </w:r>
          </w:p>
        </w:tc>
        <w:tc>
          <w:tcPr>
            <w:tcW w:type="dxa" w:w="75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原生 HTML／CSS／Canvas，無外部框架與 web font（競賽場地不賭網路）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測試與品質</w:t>
            </w:r>
          </w:p>
        </w:tc>
        <w:tc>
          <w:tcPr>
            <w:tcW w:type="dxa" w:w="75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pytest（343 項、18.4 秒）、固定亂數種子的確定性模擬、連續 30 次演出穩定度檢測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外部資料集</w:t>
            </w:r>
          </w:p>
        </w:tc>
        <w:tc>
          <w:tcPr>
            <w:tcW w:type="dxa" w:w="75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UCI AI4I 2020（CC BY 4.0，可商用）、DCASE2020／MIMII（CC BY-NC-SA 4.0，僅用於競賽期間方法驗證，不隨產品散布）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授權注意</w:t>
            </w:r>
          </w:p>
        </w:tc>
        <w:tc>
          <w:tcPr>
            <w:tcW w:type="dxa" w:w="75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TabFM v1.0.0 預訓練權重為非商業授權，商用部署須替換為自有 checkpoint；API 與前端不需改動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5.5　可重現性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200"/>
        <w:gridCol w:w="5212"/>
      </w:tblGrid>
      <w:tr>
        <w:trPr>
          <w:tblHeader/>
          <w:cantSplit/>
        </w:trPr>
        <w:tc>
          <w:tcPr>
            <w:tcW w:type="dxa" w:w="42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指令</w:t>
            </w:r>
          </w:p>
        </w:tc>
        <w:tc>
          <w:tcPr>
            <w:tcW w:type="dxa" w:w="52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產出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factory-guardian stage</w:t>
            </w:r>
          </w:p>
        </w:tc>
        <w:tc>
          <w:tcPr>
            <w:tcW w:type="dxa" w:w="52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四分鐘八段決賽劇本（--offline 可模擬斷網演出）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factory-guardian benchmark</w:t>
            </w:r>
          </w:p>
        </w:tc>
        <w:tc>
          <w:tcPr>
            <w:tcW w:type="dxa" w:w="52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三組對照組 KPI 比較（本文件表格的來源）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factory-guardian business-case</w:t>
            </w:r>
          </w:p>
        </w:tc>
        <w:tc>
          <w:tcPr>
            <w:tcW w:type="dxa" w:w="52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由實測 KPI 推導的 ROI、回收期與破口分析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factory-guardian stage-check --runs 30</w:t>
            </w:r>
          </w:p>
        </w:tc>
        <w:tc>
          <w:tcPr>
            <w:tcW w:type="dxa" w:w="52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連續 30 次成功率、耗時分佈與決策一致性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pytest -q</w:t>
            </w:r>
          </w:p>
        </w:tc>
        <w:tc>
          <w:tcPr>
            <w:tcW w:type="dxa" w:w="52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343 項測試，離線約 18 秒</w:t>
            </w:r>
          </w:p>
        </w:tc>
      </w:tr>
    </w:tbl>
    <w:p>
      <w:pPr>
        <w:spacing w:after="80" w:before="0" w:line="312" w:lineRule="auto"/>
      </w:pP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連續 30 次演出的實測結果：成功率 100%（30／30）、資料遺失率 0.00%、決策指紋 30 次完全相同（18b14093b4c37e40）。「連續跑 30 次都沒有例外」是很低的標準 —— 每次推薦不同方案一樣會在台上翻車，所以我們把決策一致性也一起量。</w:t>
      </w:r>
    </w:p>
    <w:p>
      <w:pPr>
        <w:keepNext/>
        <w:spacing w:before="280" w:after="160"/>
        <w:pBdr>
          <w:bottom w:val="single" w:sz="12" w:space="3" w:color="1F4E79"/>
        </w:pBdr>
      </w:pPr>
      <w:r>
        <w:rPr>
          <w:b/>
          <w:color w:val="1F4E79"/>
          <w:sz w:val="32"/>
          <w:rFonts w:ascii="Arial" w:hAnsi="Arial" w:eastAsia="Microsoft JhengHei"/>
        </w:rPr>
        <w:t>六　商業模式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6.1　目標客戶與角色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500"/>
        <w:gridCol w:w="7912"/>
      </w:tblGrid>
      <w:tr>
        <w:trPr>
          <w:tblHeader/>
          <w:cantSplit/>
        </w:trPr>
        <w:tc>
          <w:tcPr>
            <w:tcW w:type="dxa" w:w="15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角色</w:t>
            </w:r>
          </w:p>
        </w:tc>
        <w:tc>
          <w:tcPr>
            <w:tcW w:type="dxa" w:w="79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內容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目標客戶</w:t>
            </w:r>
          </w:p>
        </w:tc>
        <w:tc>
          <w:tcPr>
            <w:tcW w:type="dxa" w:w="79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有高價旋轉設備、停機成本高、維修知識集中在少數資深人員身上的中大型製造廠（電子組裝、精密加工、化工、食品）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使用者</w:t>
            </w:r>
          </w:p>
        </w:tc>
        <w:tc>
          <w:tcPr>
            <w:tcW w:type="dxa" w:w="79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設備維護技師、產線班長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決策者</w:t>
            </w:r>
          </w:p>
        </w:tc>
        <w:tc>
          <w:tcPr>
            <w:tcW w:type="dxa" w:w="79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廠務／設備維護主管、工安主管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採購者</w:t>
            </w:r>
          </w:p>
        </w:tc>
        <w:tc>
          <w:tcPr>
            <w:tcW w:type="dxa" w:w="79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數位轉型辦公室或 IT／OT 團隊；預算多掛在「智慧製造」或「工安改善」項下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通路</w:t>
            </w:r>
          </w:p>
        </w:tc>
        <w:tc>
          <w:tcPr>
            <w:tcW w:type="dxa" w:w="79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由中華電信整合 5G 專網、MEC、hicloud、OT 資安與維運服務，形成可複製的套裝方案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6.2　收費方式與級距（假設值，未經報價驗證）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600"/>
        <w:gridCol w:w="6812"/>
      </w:tblGrid>
      <w:tr>
        <w:trPr>
          <w:tblHeader/>
          <w:cantSplit/>
        </w:trPr>
        <w:tc>
          <w:tcPr>
            <w:tcW w:type="dxa" w:w="26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收費方式</w:t>
            </w:r>
          </w:p>
        </w:tc>
        <w:tc>
          <w:tcPr>
            <w:tcW w:type="dxa" w:w="68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級距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平台 SaaS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每廠基礎費 12,000／月；每條產線 5,000／月；每台機台 900／月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AI Usage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每路工安 Camera 2,200／月；每次完整 Agent 閉環 15 元；時序預測 300／千次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System Integration（一次性）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小型（1 線）280,000；中型（2–6 線）650,000；大型（7 線以上）1,500,000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Managed Service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標準 8×5 監控 9,000／月；進階 7×24 ＋ OT SOC ＋ SLA 99.9% 22,000／月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中華電信網路與邊緣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5G 專網 28,000／月；MEC 代管 18,000／月；邊緣硬體建置 450,000（一次性）</w:t>
            </w:r>
          </w:p>
        </w:tc>
      </w:tr>
    </w:tbl>
    <w:p>
      <w:pPr>
        <w:spacing w:after="80" w:before="0" w:line="312" w:lineRule="auto"/>
      </w:pP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以全廠 6 線客戶計，中華電信可直接辨識的收入為年度 552,000 元 ＋ 一次性 450,000 元；若系統整合與維運服務亦由中華電信承接，單一客戶年度合約規模約 100～170 萬元。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6.3　ROI：三情境與破口分析</w:t>
      </w: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效益全部由實測 KPI 差值換算，每一條都追得到一個 KPI 欄位；沒有 KPI 支撐的效益不會出現在表上。「現況」採用逃逸率 25% 的機率混合（四次告警有一次沒被接住），而非假設客戶什麼都不做。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012"/>
        <w:gridCol w:w="2100"/>
        <w:gridCol w:w="2200"/>
        <w:gridCol w:w="2100"/>
      </w:tblGrid>
      <w:tr>
        <w:trPr>
          <w:tblHeader/>
          <w:cantSplit/>
        </w:trPr>
        <w:tc>
          <w:tcPr>
            <w:tcW w:type="dxa" w:w="30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項目（全廠 6 線）</w:t>
            </w:r>
          </w:p>
        </w:tc>
        <w:tc>
          <w:tcPr>
            <w:tcW w:type="dxa" w:w="21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保守情境</w:t>
            </w:r>
          </w:p>
        </w:tc>
        <w:tc>
          <w:tcPr>
            <w:tcW w:type="dxa" w:w="22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基準情境</w:t>
            </w:r>
          </w:p>
        </w:tc>
        <w:tc>
          <w:tcPr>
            <w:tcW w:type="dxa" w:w="21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樂觀情境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年度效益（NTD）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370,599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4,659,540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16,661,631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年度經常性成本（NTD）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2,092,402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1,675,043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1,508,750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第一年 ROI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9E2B25"/>
                <w:sz w:val="24"/>
                <w:rFonts w:ascii="Arial" w:hAnsi="Arial" w:eastAsia="Microsoft JhengHei"/>
              </w:rPr>
              <w:t>−89.3%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+67.9%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+566.8%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穩態年度 ROI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9E2B25"/>
                <w:sz w:val="24"/>
                <w:rFonts w:ascii="Arial" w:hAnsi="Arial" w:eastAsia="Microsoft JhengHei"/>
              </w:rPr>
              <w:t>−82.3%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+178.2%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+1,004.3%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簡單回收期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9E2B25"/>
                <w:sz w:val="24"/>
                <w:rFonts w:ascii="Arial" w:hAnsi="Arial" w:eastAsia="Microsoft JhengHei"/>
              </w:rPr>
              <w:t>不回本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4.4 個月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0.8 個月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三年 NPV（折現 8%）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9E2B25"/>
                <w:sz w:val="24"/>
                <w:rFonts w:ascii="Arial" w:hAnsi="Arial" w:eastAsia="Microsoft JhengHei"/>
              </w:rPr>
              <w:t>−5,812,253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+6,591,337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+38,060,445</w:t>
            </w:r>
          </w:p>
        </w:tc>
      </w:tr>
    </w:tbl>
    <w:p>
      <w:pPr>
        <w:spacing w:after="80" w:before="0" w:line="312" w:lineRule="auto"/>
      </w:pP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412"/>
      </w:tblGrid>
      <w:tr>
        <w:tc>
          <w:tcPr>
            <w:tcW w:type="dxa" w:w="9412"/>
            <w:shd w:val="clear" w:fill="FBF1F0"/>
            <w:tcBorders>
              <w:top w:val="single" w:sz="8" w:color="9E2B25"/>
              <w:left w:val="single" w:sz="8" w:color="9E2B25"/>
              <w:bottom w:val="single" w:sz="8" w:color="9E2B25"/>
              <w:right w:val="single" w:sz="8" w:color="9E2B25"/>
            </w:tcBorders>
          </w:tcPr>
          <w:p>
            <w:pPr>
              <w:spacing w:after="40" w:line="300" w:lineRule="auto"/>
            </w:pPr>
            <w:r>
              <w:rPr>
                <w:b/>
                <w:color w:val="9E2B25"/>
                <w:sz w:val="24"/>
                <w:rFonts w:ascii="Arial" w:hAnsi="Arial" w:eastAsia="Microsoft JhengHei"/>
              </w:rPr>
              <w:t xml:space="preserve">主動說出方案不成立的條件　</w:t>
            </w:r>
            <w:r>
              <w:rPr>
                <w:color w:val="1B2A38"/>
                <w:sz w:val="24"/>
                <w:rFonts w:ascii="Arial" w:hAnsi="Arial" w:eastAsia="Microsoft JhengHei"/>
              </w:rPr>
              <w:t>破口分析（其餘參數固定為基準情境）：現況告警逃逸率需 ≥ 4.7%、效益實現率需 ≥ 28.8%、事件頻率需 ≥ 語料推導值的 0.36 倍、部署規模需 ≥ 2 條產線。單線試點在基準情境下穩態 ROI 為 −15.9%，不會回本 —— 5G 專網、MEC 與平台基礎費是廠級固定成本，單線攤不平。我們對客戶的說法是：Pilot 是驗證投資，商業案例的門檻是 2 條產線起跳。</w:t>
            </w:r>
          </w:p>
        </w:tc>
      </w:tr>
    </w:tbl>
    <w:p>
      <w:pPr>
        <w:spacing w:after="80" w:before="0" w:line="312" w:lineRule="auto"/>
      </w:pP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效益結構上，68% 來自「避免二次損壞」（一次軸承劣化演變成主軸損傷約 21 萬元）。這代表本案的重心不是省一點電、快一點修，而是把那些沒被接住的劣化事件攔下來。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6.4　競品差異化</w:t>
      </w: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以下三件為本賽事 2022–2025 年得獎作品中與本案最直接重疊者。公開資料未揭露的部分我們不推測，也不把對手講得比公開資料更弱。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200"/>
        <w:gridCol w:w="2612"/>
        <w:gridCol w:w="4600"/>
      </w:tblGrid>
      <w:tr>
        <w:trPr>
          <w:tblHeader/>
          <w:cantSplit/>
        </w:trPr>
        <w:tc>
          <w:tcPr>
            <w:tcW w:type="dxa" w:w="22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作品（年／獎項）</w:t>
            </w:r>
          </w:p>
        </w:tc>
        <w:tc>
          <w:tcPr>
            <w:tcW w:type="dxa" w:w="26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重疊處</w:t>
            </w:r>
          </w:p>
        </w:tc>
        <w:tc>
          <w:tcPr>
            <w:tcW w:type="dxa" w:w="46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我們的差異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AI 智慧刀把系統</w:t>
              <w:br/>
              <w:t>2024 社會組季軍</w:t>
            </w:r>
          </w:p>
        </w:tc>
        <w:tc>
          <w:tcPr>
            <w:tcW w:type="dxa" w:w="26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以振動訊號預測刀具磨耗與剩餘壽命</w:t>
            </w:r>
          </w:p>
        </w:tc>
        <w:tc>
          <w:tcPr>
            <w:tcW w:type="dxa" w:w="4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振動只是四個訊號之一；輸出不是壽命曲線，而是帶證據的根因排名，並繼續完成影響分析、方案比較、安全裁決、核准、工單與修復驗證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數位孿生 AI 檢測系統</w:t>
              <w:br/>
              <w:t>2022 亞軍</w:t>
            </w:r>
          </w:p>
        </w:tc>
        <w:tc>
          <w:tcPr>
            <w:tcW w:type="dxa" w:w="26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數位孿生、虛實同步、5G MEC</w:t>
            </w:r>
          </w:p>
        </w:tc>
        <w:tc>
          <w:tcPr>
            <w:tcW w:type="dxa" w:w="4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孿生體不是視覺化，而是驗證機制：讓方案在信念模型上乾跑，並在執行後重新量測 KPI，未達標即重新規劃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無所遁形</w:t>
              <w:br/>
              <w:t>2025 社會組季軍</w:t>
            </w:r>
          </w:p>
        </w:tc>
        <w:tc>
          <w:tcPr>
            <w:tcW w:type="dxa" w:w="26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不中斷運轉的異常偵測</w:t>
            </w:r>
          </w:p>
        </w:tc>
        <w:tc>
          <w:tcPr>
            <w:tcW w:type="dxa" w:w="4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差別在偵測之後：它回答「這裡有異常」，我們回答「是什麼原因、影響哪張訂單、有哪些方案、哪個安全、誰簽名、修完有沒有恢復」</w:t>
            </w:r>
          </w:p>
        </w:tc>
      </w:tr>
    </w:tbl>
    <w:p>
      <w:pPr>
        <w:spacing w:after="80" w:before="0" w:line="312" w:lineRule="auto"/>
      </w:pP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一句話定位：這些作品（就公開資料所示）都停在偵測或預測這一步，本案的差異軸不是模型更準，而是把偵測之後的六個步驟做完並量測。</w:t>
      </w:r>
    </w:p>
    <w:p>
      <w:pPr>
        <w:keepNext/>
        <w:spacing w:before="280" w:after="160"/>
        <w:pBdr>
          <w:bottom w:val="single" w:sz="12" w:space="3" w:color="1F4E79"/>
        </w:pBdr>
      </w:pPr>
      <w:r>
        <w:rPr>
          <w:b/>
          <w:color w:val="1F4E79"/>
          <w:sz w:val="32"/>
          <w:rFonts w:ascii="Arial" w:hAnsi="Arial" w:eastAsia="Microsoft JhengHei"/>
        </w:rPr>
        <w:t>七　預期成果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7.1　競賽期間已達成的量測結果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400"/>
        <w:gridCol w:w="5412"/>
        <w:gridCol w:w="2600"/>
      </w:tblGrid>
      <w:tr>
        <w:trPr>
          <w:tblHeader/>
          <w:cantSplit/>
        </w:trPr>
        <w:tc>
          <w:tcPr>
            <w:tcW w:type="dxa" w:w="14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面向</w:t>
            </w:r>
          </w:p>
        </w:tc>
        <w:tc>
          <w:tcPr>
            <w:tcW w:type="dxa" w:w="54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指標</w:t>
            </w:r>
          </w:p>
        </w:tc>
        <w:tc>
          <w:tcPr>
            <w:tcW w:type="dxa" w:w="26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實測值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偵測</w:t>
            </w:r>
          </w:p>
        </w:tc>
        <w:tc>
          <w:tcPr>
            <w:tcW w:type="dxa" w:w="54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偵測延遲（vs 固定門檻告警 7.5 min）</w:t>
            </w:r>
          </w:p>
        </w:tc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2.8 min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診斷</w:t>
            </w:r>
          </w:p>
        </w:tc>
        <w:tc>
          <w:tcPr>
            <w:tcW w:type="dxa" w:w="54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根因診斷正確率（5 情境）</w:t>
            </w:r>
          </w:p>
        </w:tc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100%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診斷</w:t>
            </w:r>
          </w:p>
        </w:tc>
        <w:tc>
          <w:tcPr>
            <w:tcW w:type="dxa" w:w="54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外部資料集根因歸因 Top-1（隨機 0.250）</w:t>
            </w:r>
          </w:p>
        </w:tc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0.724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偵測</w:t>
            </w:r>
          </w:p>
        </w:tc>
        <w:tc>
          <w:tcPr>
            <w:tcW w:type="dxa" w:w="54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外部真實工業錄音 AUC（官方 baseline 0.7259）</w:t>
            </w:r>
          </w:p>
        </w:tc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0.9030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生產</w:t>
            </w:r>
          </w:p>
        </w:tc>
        <w:tc>
          <w:tcPr>
            <w:tcW w:type="dxa" w:w="54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產能達成率（vs 現況 52.5%）</w:t>
            </w:r>
          </w:p>
        </w:tc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92.5%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生產</w:t>
            </w:r>
          </w:p>
        </w:tc>
        <w:tc>
          <w:tcPr>
            <w:tcW w:type="dxa" w:w="54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最大交期延遲（vs 現況 1,108 min）</w:t>
            </w:r>
          </w:p>
        </w:tc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0 min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設備</w:t>
            </w:r>
          </w:p>
        </w:tc>
        <w:tc>
          <w:tcPr>
            <w:tcW w:type="dxa" w:w="54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二次損壞發生次數</w:t>
            </w:r>
          </w:p>
        </w:tc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工安</w:t>
            </w:r>
          </w:p>
        </w:tc>
        <w:tc>
          <w:tcPr>
            <w:tcW w:type="dxa" w:w="54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危險區曝露（vs 固定門檻告警 88 min）</w:t>
            </w:r>
          </w:p>
        </w:tc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1 min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治理</w:t>
            </w:r>
          </w:p>
        </w:tc>
        <w:tc>
          <w:tcPr>
            <w:tcW w:type="dxa" w:w="54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高風險動作人工核准率／稽核完整率</w:t>
            </w:r>
          </w:p>
        </w:tc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100%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維運</w:t>
            </w:r>
          </w:p>
        </w:tc>
        <w:tc>
          <w:tcPr>
            <w:tcW w:type="dxa" w:w="54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連續 30 次演出成功率／決策一致性</w:t>
            </w:r>
          </w:p>
        </w:tc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100%／完全一致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7.2　永續發展性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012"/>
        <w:gridCol w:w="2100"/>
        <w:gridCol w:w="2100"/>
        <w:gridCol w:w="2200"/>
      </w:tblGrid>
      <w:tr>
        <w:trPr>
          <w:tblHeader/>
          <w:cantSplit/>
        </w:trPr>
        <w:tc>
          <w:tcPr>
            <w:tcW w:type="dxa" w:w="30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指標</w:t>
            </w:r>
          </w:p>
        </w:tc>
        <w:tc>
          <w:tcPr>
            <w:tcW w:type="dxa" w:w="21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Baseline A</w:t>
            </w:r>
          </w:p>
        </w:tc>
        <w:tc>
          <w:tcPr>
            <w:tcW w:type="dxa" w:w="21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Baseline B</w:t>
            </w:r>
          </w:p>
        </w:tc>
        <w:tc>
          <w:tcPr>
            <w:tcW w:type="dxa" w:w="22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Factory Guardian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單位產出能耗（kWh/件）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0.69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0.44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F6E5C"/>
                <w:sz w:val="24"/>
                <w:rFonts w:ascii="Arial" w:hAnsi="Arial" w:eastAsia="Microsoft JhengHei"/>
              </w:rPr>
              <w:t>0.32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劣化浪費電力（kWh/事件）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9E2B25"/>
                <w:sz w:val="24"/>
                <w:rFonts w:ascii="Arial" w:hAnsi="Arial" w:eastAsia="Microsoft JhengHei"/>
              </w:rPr>
              <w:t>4.71</w:t>
            </w:r>
          </w:p>
        </w:tc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0.06</w:t>
            </w:r>
          </w:p>
        </w:tc>
        <w:tc>
          <w:tcPr>
            <w:tcW w:type="dxa" w:w="22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0.11</w:t>
            </w:r>
          </w:p>
        </w:tc>
      </w:tr>
    </w:tbl>
    <w:p>
      <w:pPr>
        <w:spacing w:after="80" w:before="0" w:line="312" w:lineRule="auto"/>
      </w:pP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單位產出能耗是唯一該比的指標 —— 只看總能耗會被「停機的機台比較省電」誤導。Guardian 比固定門檻告警低 54%、比偵測即停機低 27%。金額上要誠實：碳費效益一年僅 12 元，對 ROI 沒有實質影響；碳排這一項的價值在 ESG 揭露與碳盤查（Scope 2），不在財務回收。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7.3　導入路線圖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000"/>
        <w:gridCol w:w="5412"/>
        <w:gridCol w:w="2000"/>
      </w:tblGrid>
      <w:tr>
        <w:trPr>
          <w:tblHeader/>
          <w:cantSplit/>
        </w:trPr>
        <w:tc>
          <w:tcPr>
            <w:tcW w:type="dxa" w:w="20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階段</w:t>
            </w:r>
          </w:p>
        </w:tc>
        <w:tc>
          <w:tcPr>
            <w:tcW w:type="dxa" w:w="54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替換／新增</w:t>
            </w:r>
          </w:p>
        </w:tc>
        <w:tc>
          <w:tcPr>
            <w:tcW w:type="dxa" w:w="20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Agent 層是否重做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競賽 MVP（現況）</w:t>
            </w:r>
          </w:p>
        </w:tc>
        <w:tc>
          <w:tcPr>
            <w:tcW w:type="dxa" w:w="54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模擬器 ＋ 合成 MES ＋ Demo 手冊</w:t>
            </w:r>
          </w:p>
        </w:tc>
        <w:tc>
          <w:tcPr>
            <w:tcW w:type="dxa" w:w="20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PoC 工廠</w:t>
            </w:r>
          </w:p>
        </w:tc>
        <w:tc>
          <w:tcPr>
            <w:tcW w:type="dxa" w:w="54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真實 OPC-UA／MQTT 感測器、麥克風、歷史維修資料</w:t>
            </w:r>
          </w:p>
        </w:tc>
        <w:tc>
          <w:tcPr>
            <w:tcW w:type="dxa" w:w="20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微調工具與模型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試點產線</w:t>
            </w:r>
          </w:p>
        </w:tc>
        <w:tc>
          <w:tcPr>
            <w:tcW w:type="dxa" w:w="54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MES／SCADA／CMMS 串接、權限與安全審查、5G 專網與 MEC 上線</w:t>
            </w:r>
          </w:p>
        </w:tc>
        <w:tc>
          <w:tcPr>
            <w:tcW w:type="dxa" w:w="20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保留架構，強化治理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正式導入</w:t>
            </w:r>
          </w:p>
        </w:tc>
        <w:tc>
          <w:tcPr>
            <w:tcW w:type="dxa" w:w="54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多產線、多設備商、高可用與 OT SOC、SLA</w:t>
            </w:r>
          </w:p>
        </w:tc>
        <w:tc>
          <w:tcPr>
            <w:tcW w:type="dxa" w:w="20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擴充，不改核心閉環</w:t>
            </w:r>
          </w:p>
        </w:tc>
      </w:tr>
    </w:tbl>
    <w:p>
      <w:pPr>
        <w:spacing w:after="80" w:before="0" w:line="312" w:lineRule="auto"/>
      </w:pPr>
    </w:p>
    <w:p>
      <w:pPr>
        <w:spacing w:after="120" w:before="0" w:line="312" w:lineRule="auto"/>
      </w:pPr>
      <w:r>
        <w:rPr>
          <w:b w:val="0"/>
          <w:i w:val="0"/>
          <w:color w:val="1B2A38"/>
          <w:sz w:val="24"/>
          <w:rFonts w:ascii="Arial" w:hAnsi="Arial" w:eastAsia="Microsoft JhengHei"/>
        </w:rPr>
        <w:t>替換點都已經是明確的介面：Digital Twin → OPC-UA／MQTT Adapter、Vision Backend → YOLO 或真實 VLM、Knowledge Base → 向量資料庫、Policy Engine → 工廠實際 SOP 與權限系統。這是本架構「硬體無關」的具體形式。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7.4　風險與因應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600"/>
        <w:gridCol w:w="6812"/>
      </w:tblGrid>
      <w:tr>
        <w:trPr>
          <w:tblHeader/>
          <w:cantSplit/>
        </w:trPr>
        <w:tc>
          <w:tcPr>
            <w:tcW w:type="dxa" w:w="26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風險</w:t>
            </w:r>
          </w:p>
        </w:tc>
        <w:tc>
          <w:tcPr>
            <w:tcW w:type="dxa" w:w="68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因應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感測門檻需依設備校準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門檻與故障指紋以設備手冊為輸入，導入期由設備商與廠內工程師校準；指紋法本來就只需要手冊描述，不需要標註故障歷史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真實訊號雜訊與感測器漂移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偵測器為無監督式（只需正常音訊），現場只需錄幾天正常班別即可建模；效益模型已預留 80% 的效益實現率折扣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工廠對 AI 直接控制設備的疑慮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系統不直接控制 PLC／CNC，高風險動作一律人工核准，Safety Override 為系統禁止動作，全程稽核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雲端或網路中斷</w:t>
            </w:r>
          </w:p>
        </w:tc>
        <w:tc>
          <w:tcPr>
            <w:tcW w:type="dxa" w:w="68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控制關鍵路徑全部在邊緣，斷網時閉環照跑、決策結果不變，雲端功能降級或延後補送</w:t>
            </w:r>
          </w:p>
        </w:tc>
      </w:tr>
    </w:tbl>
    <w:p>
      <w:pPr>
        <w:spacing w:after="80" w:before="0" w:line="312" w:lineRule="auto"/>
      </w:pP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7.5　我們明確不做的宣稱</w:t>
      </w:r>
    </w:p>
    <w:p>
      <w:pPr>
        <w:spacing w:after="60" w:line="312" w:lineRule="auto"/>
        <w:ind w:left="425" w:hanging="255"/>
      </w:pPr>
      <w:r>
        <w:rPr>
          <w:b/>
          <w:color w:val="0F6E5C"/>
          <w:sz w:val="24"/>
          <w:rFonts w:ascii="Arial" w:hAnsi="Arial" w:eastAsia="Microsoft JhengHei"/>
        </w:rPr>
        <w:t xml:space="preserve">• </w:t>
      </w:r>
      <w:r>
        <w:rPr>
          <w:color w:val="1B2A38"/>
          <w:sz w:val="24"/>
          <w:rFonts w:ascii="Arial" w:hAnsi="Arial" w:eastAsia="Microsoft JhengHei"/>
        </w:rPr>
        <w:t>不宣稱已在真實工廠資料上驗證診斷能力（外部資料集 AI4I 亦為合成資料）。</w:t>
      </w:r>
    </w:p>
    <w:p>
      <w:pPr>
        <w:spacing w:after="60" w:line="312" w:lineRule="auto"/>
        <w:ind w:left="425" w:hanging="255"/>
      </w:pPr>
      <w:r>
        <w:rPr>
          <w:b/>
          <w:color w:val="0F6E5C"/>
          <w:sz w:val="24"/>
          <w:rFonts w:ascii="Arial" w:hAnsi="Arial" w:eastAsia="Microsoft JhengHei"/>
        </w:rPr>
        <w:t xml:space="preserve">• </w:t>
      </w:r>
      <w:r>
        <w:rPr>
          <w:color w:val="1B2A38"/>
          <w:sz w:val="24"/>
          <w:rFonts w:ascii="Arial" w:hAnsi="Arial" w:eastAsia="Microsoft JhengHei"/>
        </w:rPr>
        <w:t>不宣稱指紋餘弦法優於機器學習分類器 —— 實測輸給 LogisticRegression 與 RandomForest。</w:t>
      </w:r>
    </w:p>
    <w:p>
      <w:pPr>
        <w:spacing w:after="60" w:line="312" w:lineRule="auto"/>
        <w:ind w:left="425" w:hanging="255"/>
      </w:pPr>
      <w:r>
        <w:rPr>
          <w:b/>
          <w:color w:val="0F6E5C"/>
          <w:sz w:val="24"/>
          <w:rFonts w:ascii="Arial" w:hAnsi="Arial" w:eastAsia="Microsoft JhengHei"/>
        </w:rPr>
        <w:t xml:space="preserve">• </w:t>
      </w:r>
      <w:r>
        <w:rPr>
          <w:color w:val="1B2A38"/>
          <w:sz w:val="24"/>
          <w:rFonts w:ascii="Arial" w:hAnsi="Arial" w:eastAsia="Microsoft JhengHei"/>
        </w:rPr>
        <w:t>不宣稱系統能辨識「不可診斷案例」；延後決策靠的是信心門檻，不是識別隨機故障。</w:t>
      </w:r>
    </w:p>
    <w:p>
      <w:pPr>
        <w:spacing w:after="60" w:line="312" w:lineRule="auto"/>
        <w:ind w:left="425" w:hanging="255"/>
      </w:pPr>
      <w:r>
        <w:rPr>
          <w:b/>
          <w:color w:val="0F6E5C"/>
          <w:sz w:val="24"/>
          <w:rFonts w:ascii="Arial" w:hAnsi="Arial" w:eastAsia="Microsoft JhengHei"/>
        </w:rPr>
        <w:t xml:space="preserve">• </w:t>
      </w:r>
      <w:r>
        <w:rPr>
          <w:color w:val="1B2A38"/>
          <w:sz w:val="24"/>
          <w:rFonts w:ascii="Arial" w:hAnsi="Arial" w:eastAsia="Microsoft JhengHei"/>
        </w:rPr>
        <w:t>不直接控制真實 PLC／CNC，也不以 LLM 直接下控制指令。</w:t>
      </w:r>
    </w:p>
    <w:p>
      <w:pPr>
        <w:spacing w:after="60" w:line="312" w:lineRule="auto"/>
        <w:ind w:left="425" w:hanging="255"/>
      </w:pPr>
      <w:r>
        <w:rPr>
          <w:b/>
          <w:color w:val="0F6E5C"/>
          <w:sz w:val="24"/>
          <w:rFonts w:ascii="Arial" w:hAnsi="Arial" w:eastAsia="Microsoft JhengHei"/>
        </w:rPr>
        <w:t xml:space="preserve">• </w:t>
      </w:r>
      <w:r>
        <w:rPr>
          <w:color w:val="1B2A38"/>
          <w:sz w:val="24"/>
          <w:rFonts w:ascii="Arial" w:hAnsi="Arial" w:eastAsia="Microsoft JhengHei"/>
        </w:rPr>
        <w:t>不宣稱故障模型可泛化到所有設備；門檻需由設備商與工廠工程師校準。</w:t>
      </w:r>
    </w:p>
    <w:p>
      <w:pPr>
        <w:keepNext/>
        <w:spacing w:before="200" w:after="80"/>
      </w:pPr>
      <w:r>
        <w:rPr>
          <w:b/>
          <w:color w:val="1B2A38"/>
          <w:sz w:val="27"/>
          <w:rFonts w:ascii="Arial" w:hAnsi="Arial" w:eastAsia="Microsoft JhengHei"/>
        </w:rPr>
        <w:t>7.6　與評選項目的對應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412" w:type="dxa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00"/>
        <w:gridCol w:w="7312"/>
      </w:tblGrid>
      <w:tr>
        <w:trPr>
          <w:tblHeader/>
          <w:cantSplit/>
        </w:trPr>
        <w:tc>
          <w:tcPr>
            <w:tcW w:type="dxa" w:w="2100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評選項目</w:t>
            </w:r>
          </w:p>
        </w:tc>
        <w:tc>
          <w:tcPr>
            <w:tcW w:type="dxa" w:w="7312"/>
            <w:shd w:val="clear" w:fill="EAF0F5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1F4E79"/>
                <w:sz w:val="24"/>
                <w:rFonts w:ascii="Arial" w:hAnsi="Arial" w:eastAsia="Microsoft JhengHei"/>
              </w:rPr>
              <w:t>本案對應之具體內容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創新與技術性</w:t>
            </w:r>
          </w:p>
        </w:tc>
        <w:tc>
          <w:tcPr>
            <w:tcW w:type="dxa" w:w="73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多模態根因診斷（感測 ＋ 聲學 ＋ 影像 ＋ 文件）、具否決權的預測型安全規則、信念模型上的方案投影、執行後回頭驗證；核心方法另在兩份外部公開資料集上重跑（3.1、3.2、3.6）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商業價值與市場性</w:t>
            </w:r>
          </w:p>
        </w:tc>
        <w:tc>
          <w:tcPr>
            <w:tcW w:type="dxa" w:w="73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由實測 KPI 推導的年化效益、三情境 ROI、回收期，並主動揭露方案不成立的臨界條件與單線試點不回本的事實（6.2、6.3）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業務連結性／可落地性</w:t>
            </w:r>
          </w:p>
        </w:tc>
        <w:tc>
          <w:tcPr>
            <w:tcW w:type="dxa" w:w="73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5G 專網與 MEC 是架構必要條件而非裝飾：控制關鍵路徑 13 個元件全在邊緣、頻寬與延遲需求皆已量化，斷網演示已由測試證明（2.3、5.2、5.3）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整體表現與用戶體驗</w:t>
            </w:r>
          </w:p>
        </w:tc>
        <w:tc>
          <w:tcPr>
            <w:tcW w:type="dxa" w:w="73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  <w:shd w:val="clear" w:fill="F6F8FA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可操作的戰情中心：四格巨型 KPI、2D 產線圖、CAM-01 工安畫面、可展開的推理步驟卡與人工核准對話框，全部綁在後端算過的數字上（圖 1～6）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永續發展性</w:t>
            </w:r>
          </w:p>
        </w:tc>
        <w:tc>
          <w:tcPr>
            <w:tcW w:type="dxa" w:w="7312"/>
            <w:tcBorders>
              <w:top w:val="single" w:sz="4" w:color="C9D3DC"/>
              <w:left w:val="single" w:sz="4" w:color="C9D3DC"/>
              <w:bottom w:val="single" w:sz="4" w:color="C9D3DC"/>
              <w:right w:val="single" w:sz="4" w:color="C9D3DC"/>
            </w:tcBorders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b w:val="0"/>
                <w:color w:val="1B2A38"/>
                <w:sz w:val="24"/>
                <w:rFonts w:ascii="Arial" w:hAnsi="Arial" w:eastAsia="Microsoft JhengHei"/>
              </w:rPr>
              <w:t>單位產出能耗較固定門檻告警低 54%；能源與碳排以既有電流物理積分推導，並誠實說明碳費效益對 ROI 無實質影響（7.2）</w:t>
            </w:r>
          </w:p>
        </w:tc>
      </w:tr>
    </w:tbl>
    <w:p>
      <w:pPr>
        <w:spacing w:after="80" w:before="0" w:line="312" w:lineRule="auto"/>
      </w:pPr>
    </w:p>
    <w:p>
      <w:pPr>
        <w:sectPr>
          <w:footerReference w:type="default" r:id="rId10"/>
          <w:headerReference w:type="default" r:id="rId11"/>
          <w:pgSz w:w="11906" w:h="16838"/>
          <w:pgMar w:top="1134" w:right="1247" w:bottom="1020" w:left="1247" w:header="624" w:footer="567" w:gutter="0"/>
          <w:cols w:space="720"/>
          <w:docGrid w:linePitch="360"/>
          <w:pgNumType w:start="1"/>
        </w:sectPr>
      </w:pPr>
    </w:p>
    <w:p>
      <w:pPr>
        <w:keepNext/>
        <w:spacing w:before="280" w:after="160"/>
        <w:pBdr>
          <w:bottom w:val="single" w:sz="12" w:space="3" w:color="1F4E79"/>
        </w:pBdr>
      </w:pPr>
      <w:r>
        <w:rPr>
          <w:b/>
          <w:color w:val="1F4E79"/>
          <w:sz w:val="32"/>
          <w:rFonts w:ascii="Arial" w:hAnsi="Arial" w:eastAsia="Microsoft JhengHei"/>
        </w:rPr>
        <w:t xml:space="preserve">　參考資料</w:t>
      </w:r>
    </w:p>
    <w:p>
      <w:pPr>
        <w:spacing w:after="100" w:line="300" w:lineRule="auto"/>
        <w:ind w:left="510" w:hanging="510"/>
      </w:pPr>
      <w:r>
        <w:rPr>
          <w:b/>
          <w:color w:val="1F4E79"/>
          <w:sz w:val="24"/>
          <w:rFonts w:ascii="Arial" w:hAnsi="Arial" w:eastAsia="Microsoft JhengHei"/>
        </w:rPr>
        <w:t xml:space="preserve">[1]　</w:t>
      </w:r>
      <w:r>
        <w:rPr>
          <w:color w:val="1B2A38"/>
          <w:sz w:val="24"/>
          <w:rFonts w:ascii="Arial" w:hAnsi="Arial" w:eastAsia="Microsoft JhengHei"/>
        </w:rPr>
        <w:t>2026 中華電信智慧創新應用大賽官方網站與競賽辦法。https://cht5g.com.tw/index-smart.html（擷取日期：2026/8/8）</w:t>
      </w:r>
    </w:p>
    <w:p>
      <w:pPr>
        <w:spacing w:after="100" w:line="300" w:lineRule="auto"/>
        <w:ind w:left="510" w:hanging="510"/>
      </w:pPr>
      <w:r>
        <w:rPr>
          <w:b/>
          <w:color w:val="1F4E79"/>
          <w:sz w:val="24"/>
          <w:rFonts w:ascii="Arial" w:hAnsi="Arial" w:eastAsia="Microsoft JhengHei"/>
        </w:rPr>
        <w:t xml:space="preserve">[2]　</w:t>
      </w:r>
      <w:r>
        <w:rPr>
          <w:color w:val="1B2A38"/>
          <w:sz w:val="24"/>
          <w:rFonts w:ascii="Arial" w:hAnsi="Arial" w:eastAsia="Microsoft JhengHei"/>
        </w:rPr>
        <w:t>S. Matzka, “Explainable Artificial Intelligence for Predictive Maintenance Applications,” 2020 Third International Conference on Artificial Intelligence for Industries (AI4I), 2020, pp. 69–74. doi:10.1109/AI4I49448.2020.00023（AI4I 2020 資料集，UCI id 601，DOI 10.24432/C5HS5C，CC BY 4.0）</w:t>
      </w:r>
    </w:p>
    <w:p>
      <w:pPr>
        <w:spacing w:after="100" w:line="300" w:lineRule="auto"/>
        <w:ind w:left="510" w:hanging="510"/>
      </w:pPr>
      <w:r>
        <w:rPr>
          <w:b/>
          <w:color w:val="1F4E79"/>
          <w:sz w:val="24"/>
          <w:rFonts w:ascii="Arial" w:hAnsi="Arial" w:eastAsia="Microsoft JhengHei"/>
        </w:rPr>
        <w:t xml:space="preserve">[3]　</w:t>
      </w:r>
      <w:r>
        <w:rPr>
          <w:color w:val="1B2A38"/>
          <w:sz w:val="24"/>
          <w:rFonts w:ascii="Arial" w:hAnsi="Arial" w:eastAsia="Microsoft JhengHei"/>
        </w:rPr>
        <w:t>Y. Koizumi et al., “Description and Discussion on DCASE2020 Challenge Task 2: Unsupervised Anomalous Sound Detection for Machine Condition Monitoring,” DCASE2020 Workshop.</w:t>
      </w:r>
    </w:p>
    <w:p>
      <w:pPr>
        <w:spacing w:after="100" w:line="300" w:lineRule="auto"/>
        <w:ind w:left="510" w:hanging="510"/>
      </w:pPr>
      <w:r>
        <w:rPr>
          <w:b/>
          <w:color w:val="1F4E79"/>
          <w:sz w:val="24"/>
          <w:rFonts w:ascii="Arial" w:hAnsi="Arial" w:eastAsia="Microsoft JhengHei"/>
        </w:rPr>
        <w:t xml:space="preserve">[4]　</w:t>
      </w:r>
      <w:r>
        <w:rPr>
          <w:color w:val="1B2A38"/>
          <w:sz w:val="24"/>
          <w:rFonts w:ascii="Arial" w:hAnsi="Arial" w:eastAsia="Microsoft JhengHei"/>
        </w:rPr>
        <w:t>H. Purohit et al., “MIMII Dataset: Sound Dataset for Malfunctioning Industrial Machine Investigation and Inspection,” DCASE2019 Workshop.（CC BY-NC-SA 4.0，僅用於方法驗證）</w:t>
      </w:r>
    </w:p>
    <w:p>
      <w:pPr>
        <w:spacing w:after="100" w:line="300" w:lineRule="auto"/>
        <w:ind w:left="510" w:hanging="510"/>
      </w:pPr>
      <w:r>
        <w:rPr>
          <w:b/>
          <w:color w:val="1F4E79"/>
          <w:sz w:val="24"/>
          <w:rFonts w:ascii="Arial" w:hAnsi="Arial" w:eastAsia="Microsoft JhengHei"/>
        </w:rPr>
        <w:t xml:space="preserve">[5]　</w:t>
      </w:r>
      <w:r>
        <w:rPr>
          <w:color w:val="1B2A38"/>
          <w:sz w:val="24"/>
          <w:rFonts w:ascii="Arial" w:hAnsi="Arial" w:eastAsia="Microsoft JhengHei"/>
        </w:rPr>
        <w:t>DCASE2020 Task 2 官方 baseline system（autoencoder）結果表。https://github.com/y-kawagu/dcase2020_task2_baseline</w:t>
      </w:r>
    </w:p>
    <w:p>
      <w:pPr>
        <w:spacing w:after="100" w:line="300" w:lineRule="auto"/>
        <w:ind w:left="510" w:hanging="510"/>
      </w:pPr>
      <w:r>
        <w:rPr>
          <w:b/>
          <w:color w:val="1F4E79"/>
          <w:sz w:val="24"/>
          <w:rFonts w:ascii="Arial" w:hAnsi="Arial" w:eastAsia="Microsoft JhengHei"/>
        </w:rPr>
        <w:t xml:space="preserve">[6]　</w:t>
      </w:r>
      <w:r>
        <w:rPr>
          <w:color w:val="1B2A38"/>
          <w:sz w:val="24"/>
          <w:rFonts w:ascii="Arial" w:hAnsi="Arial" w:eastAsia="Microsoft JhengHei"/>
        </w:rPr>
        <w:t>經濟部能源署公告「電力排碳係數」2023 年度值 0.494 kgCO2e/kWh；環境部公告碳費一般費率 300 元／公噸 CO2e。</w:t>
      </w:r>
    </w:p>
    <w:p>
      <w:pPr>
        <w:spacing w:after="100" w:line="300" w:lineRule="auto"/>
        <w:ind w:left="510" w:hanging="510"/>
      </w:pPr>
      <w:r>
        <w:rPr>
          <w:b/>
          <w:color w:val="1F4E79"/>
          <w:sz w:val="24"/>
          <w:rFonts w:ascii="Arial" w:hAnsi="Arial" w:eastAsia="Microsoft JhengHei"/>
        </w:rPr>
        <w:t xml:space="preserve">[7]　</w:t>
      </w:r>
      <w:r>
        <w:rPr>
          <w:color w:val="1B2A38"/>
          <w:sz w:val="24"/>
          <w:rFonts w:ascii="Arial" w:hAnsi="Arial" w:eastAsia="Microsoft JhengHei"/>
        </w:rPr>
        <w:t>google-research/tabfm（Apache-2.0；v1.0.0 預訓練權重為 tabfm-non-commercial-v1.0 非商業授權）。</w:t>
      </w:r>
    </w:p>
    <w:p>
      <w:pPr>
        <w:spacing w:after="100" w:line="300" w:lineRule="auto"/>
        <w:ind w:left="510" w:hanging="510"/>
      </w:pPr>
      <w:r>
        <w:rPr>
          <w:b/>
          <w:color w:val="1F4E79"/>
          <w:sz w:val="24"/>
          <w:rFonts w:ascii="Arial" w:hAnsi="Arial" w:eastAsia="Microsoft JhengHei"/>
        </w:rPr>
        <w:t xml:space="preserve">[8]　</w:t>
      </w:r>
      <w:r>
        <w:rPr>
          <w:color w:val="1B2A38"/>
          <w:sz w:val="24"/>
          <w:rFonts w:ascii="Arial" w:hAnsi="Arial" w:eastAsia="Microsoft JhengHei"/>
        </w:rPr>
        <w:t>本專案技術文件：商業案例、外部資料驗證、聲學驗證、決賽 Demo 執行手冊（隨作品提供）。</w:t>
      </w:r>
    </w:p>
    <w:sectPr w:rsidR="00FC693F" w:rsidRPr="0006063C" w:rsidSect="00034616">
      <w:pgSz w:w="11906" w:h="16838"/>
      <w:pgMar w:top="1134" w:right="1247" w:bottom="1020" w:left="1247" w:header="624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color w:val="5A6B7B"/>
        <w:sz w:val="24"/>
        <w:rFonts w:ascii="Arial" w:hAnsi="Arial" w:eastAsia="Microsoft JhengHei"/>
      </w:rPr>
      <w:t xml:space="preserve">FactoryGuardian　|　Factory Guardian AI　|　第 </w:t>
    </w:r>
    <w:r>
      <w:rPr>
        <w:color w:val="5A6B7B"/>
        <w:sz w:val="24"/>
        <w:rFonts w:ascii="Arial" w:hAnsi="Arial" w:eastAsia="Microsoft JhengHei"/>
      </w:rPr>
      <w:fldChar w:fldCharType="begin"/>
      <w:instrText xml:space="preserve">PAGE</w:instrText>
      <w:fldChar w:fldCharType="end"/>
    </w:r>
    <w:r>
      <w:rPr>
        <w:color w:val="5A6B7B"/>
        <w:sz w:val="24"/>
        <w:rFonts w:ascii="Arial" w:hAnsi="Arial" w:eastAsia="Microsoft JhengHei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color w:val="5A6B7B"/>
        <w:sz w:val="24"/>
        <w:rFonts w:ascii="Arial" w:hAnsi="Arial" w:eastAsia="Microsoft JhengHei"/>
      </w:rPr>
      <w:t>2026 中華電信智慧創新應用大賽　作品提案規劃書　|　智慧製造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2" w:lineRule="auto"/>
    </w:pPr>
    <w:rPr>
      <w:color w:val="1B2A38"/>
      <w:sz w:val="24"/>
      <w:rFonts w:ascii="Arial" w:hAnsi="Arial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Factory Guardian AI 作品提案規劃書</dc:title>
  <dc:subject>2026 中華電信智慧創新應用大賽｜智慧製造</dc:subject>
  <dc:creator>FactoryGuardian</dc:creator>
  <cp:keywords>Agentic AI, 智慧製造, 預測維護, 工安, 5G, MEC, 中華電信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