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35" w:rsidRPr="00830135" w:rsidRDefault="00830135" w:rsidP="008301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135">
        <w:rPr>
          <w:rFonts w:ascii="Times New Roman" w:hAnsi="Times New Roman" w:cs="Times New Roman"/>
          <w:b/>
          <w:sz w:val="28"/>
          <w:szCs w:val="28"/>
        </w:rPr>
        <w:t>ПРАКТИЧЕСКАЯ РАБОТА №17</w:t>
      </w:r>
    </w:p>
    <w:p w:rsidR="00830135" w:rsidRPr="00830135" w:rsidRDefault="00830135" w:rsidP="008301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135">
        <w:rPr>
          <w:rFonts w:ascii="Times New Roman" w:hAnsi="Times New Roman" w:cs="Times New Roman"/>
          <w:b/>
          <w:sz w:val="28"/>
          <w:szCs w:val="28"/>
        </w:rPr>
        <w:t>НОРМАТИВНЫЕ МЕТОДИЧЕСКИЕ ДОКУМЕ</w:t>
      </w:r>
      <w:r w:rsidRPr="00830135">
        <w:rPr>
          <w:rFonts w:ascii="Times New Roman" w:hAnsi="Times New Roman" w:cs="Times New Roman"/>
          <w:b/>
          <w:sz w:val="28"/>
          <w:szCs w:val="28"/>
        </w:rPr>
        <w:t>НТЫ В ОБЛАСТИ ЗАЩИТЫ ИНФОРМАЦИИ</w:t>
      </w:r>
    </w:p>
    <w:p w:rsidR="00830135" w:rsidRPr="00830135" w:rsidRDefault="00830135" w:rsidP="00830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b/>
          <w:sz w:val="28"/>
          <w:szCs w:val="28"/>
        </w:rPr>
        <w:t>Цель:</w:t>
      </w:r>
      <w:r w:rsidRPr="00830135">
        <w:rPr>
          <w:rFonts w:ascii="Times New Roman" w:hAnsi="Times New Roman" w:cs="Times New Roman"/>
          <w:sz w:val="28"/>
          <w:szCs w:val="28"/>
        </w:rPr>
        <w:t xml:space="preserve"> ознакомиться с нормативными методическими документами в области защиты информации, систематизировать сведения о нормативно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методических документах, приобрести опыт самостоятельного поиска и анализа.</w:t>
      </w:r>
    </w:p>
    <w:p w:rsidR="00830135" w:rsidRPr="00830135" w:rsidRDefault="00830135" w:rsidP="00830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b/>
          <w:sz w:val="28"/>
          <w:szCs w:val="28"/>
        </w:rPr>
        <w:t>Методы и приемы:</w:t>
      </w:r>
      <w:r w:rsidRPr="00830135">
        <w:rPr>
          <w:rFonts w:ascii="Times New Roman" w:hAnsi="Times New Roman" w:cs="Times New Roman"/>
          <w:sz w:val="28"/>
          <w:szCs w:val="28"/>
        </w:rPr>
        <w:t xml:space="preserve"> лабораторная работа с использованием информационно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коммуникационных </w:t>
      </w:r>
      <w:r w:rsidRPr="00830135">
        <w:rPr>
          <w:rFonts w:ascii="Times New Roman" w:hAnsi="Times New Roman" w:cs="Times New Roman"/>
          <w:sz w:val="28"/>
          <w:szCs w:val="28"/>
        </w:rPr>
        <w:t>технологий, поисковая</w:t>
      </w:r>
      <w:r w:rsidRPr="00830135">
        <w:rPr>
          <w:rFonts w:ascii="Times New Roman" w:hAnsi="Times New Roman" w:cs="Times New Roman"/>
          <w:sz w:val="28"/>
          <w:szCs w:val="28"/>
        </w:rPr>
        <w:t xml:space="preserve"> работа, анализ источников.</w:t>
      </w:r>
    </w:p>
    <w:p w:rsidR="00830135" w:rsidRPr="00830135" w:rsidRDefault="00830135" w:rsidP="00830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 w:rsidRPr="00830135">
        <w:rPr>
          <w:rFonts w:ascii="Times New Roman" w:hAnsi="Times New Roman" w:cs="Times New Roman"/>
          <w:sz w:val="28"/>
          <w:szCs w:val="28"/>
        </w:rPr>
        <w:t xml:space="preserve"> информационная безопасность, правовые акты, система нормативно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методических документов.</w:t>
      </w:r>
    </w:p>
    <w:p w:rsidR="00830135" w:rsidRPr="00830135" w:rsidRDefault="00830135" w:rsidP="008301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13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«Специальные требования и рекомендации по технической защите конфиденциальной информации» (СТР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К). Утверждены приказом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«Сборник временных методик оценки защищенности конфиденциальной информации от утечки по техническим каналам».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2002.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50739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95. Средства вычислительной техники. Защита от несанкционированного доступа к информации. Общие технические требования. Госстандарт России.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1995.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51275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2006. Защита информации. Объект информатизации. Факторы, воздействующие на информацию. Общие положения. Госстандарт России.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2006.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50922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2006. Защита информации. Основные термины и определения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2006.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15408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99. Информационная технология. Методы и средства обеспечения безопасности. Критерии оценки безопасности информационных технологий. Часть 1.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Bведение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и общая модель.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lastRenderedPageBreak/>
        <w:t>ГОСТ Р ИСО/МЭК 15408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2013. 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компоненты безопасности.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Росстандарт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2013.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15408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2013.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27000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2012 «Информационная технология. Методы и средства обеспечения безопасности. Системы менеджмента информационной безопасности. Общий обзор и терминология».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27001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2006 «Информационная технология. Методы и средства обеспечения безопасности. Системы менеджмента информационной безопасности. Требования».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27002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2012 «Информационная технология. Методы и средства обеспечения безопасности. Свод норм и правил менеджмента информационной безопасности», введен в действие с 01.01.2014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27003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2021 «Информационная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27004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2011 «Информационная технология. Методы и средства обеспечения безопасности. Менеджмент информационной безопасности. Измерения».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27005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2010 «Информационная технология. Методы и средства обеспечения безопасности. Менеджмент риска информационной безопасности».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27006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2008 «Информационная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lastRenderedPageBreak/>
        <w:t>ГОСТ Р ИСО/МЭК 27011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2012 «Информационная технология. Методы и средства обеспечения безопасности. Руководства по менеджменту информационной безопасности для телекоммуникационных организаций на основе ИСО/МЭК 27002».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27031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2012 «Информационная технология. Методы и средства обеспечения безопасности. Руководство по готовности информационно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коммуникационных технологий к обеспечению непрерывности бизнеса».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ИСО/МЭК 27033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2011 «Информационная технология. Методы и средства обеспечения безопасности. Безопасность сетей. Часть 1. Обзор и концепции».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28147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89. Государственный стандарт Российской Федерации. Системы обработки информации. Защита криптографическая. Алгоритм криптографического преобразования.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34.10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2001. Государственный стандарт Российской Федерации. Информационная технология. Криптографическая защита информации. Процессы формирования и проверки электронной цифровой подписи.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34.10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2018. Государственный стандарт Российской Федерации. Информационная технология. </w:t>
      </w:r>
      <w:r>
        <w:rPr>
          <w:rFonts w:ascii="Times New Roman" w:hAnsi="Times New Roman" w:cs="Times New Roman"/>
          <w:sz w:val="28"/>
          <w:szCs w:val="28"/>
        </w:rPr>
        <w:t>Защита</w:t>
      </w:r>
      <w:r w:rsidRPr="00830135">
        <w:rPr>
          <w:rFonts w:ascii="Times New Roman" w:hAnsi="Times New Roman" w:cs="Times New Roman"/>
          <w:sz w:val="28"/>
          <w:szCs w:val="28"/>
        </w:rPr>
        <w:t xml:space="preserve"> информации. Процессы формирования и проверки электронной цифровой подписи.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34.11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94. Государственный стандарт Российской Федерации. Информационная технология. Криптографическая защита информации. Функция </w:t>
      </w:r>
      <w:r w:rsidRPr="00830135">
        <w:rPr>
          <w:rFonts w:ascii="Times New Roman" w:hAnsi="Times New Roman" w:cs="Times New Roman"/>
          <w:sz w:val="28"/>
          <w:szCs w:val="28"/>
        </w:rPr>
        <w:t>хеширования</w:t>
      </w:r>
      <w:r w:rsidRPr="00830135">
        <w:rPr>
          <w:rFonts w:ascii="Times New Roman" w:hAnsi="Times New Roman" w:cs="Times New Roman"/>
          <w:sz w:val="28"/>
          <w:szCs w:val="28"/>
        </w:rPr>
        <w:t>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ГОСТ Р 34.11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2012. Государственный стандарт Российской Федерации. Информационная технология. Криптографическая защита информации. Функция </w:t>
      </w:r>
      <w:r w:rsidRPr="00830135">
        <w:rPr>
          <w:rFonts w:ascii="Times New Roman" w:hAnsi="Times New Roman" w:cs="Times New Roman"/>
          <w:sz w:val="28"/>
          <w:szCs w:val="28"/>
        </w:rPr>
        <w:t>хеширование</w:t>
      </w:r>
      <w:r w:rsidRPr="00830135">
        <w:rPr>
          <w:rFonts w:ascii="Times New Roman" w:hAnsi="Times New Roman" w:cs="Times New Roman"/>
          <w:sz w:val="28"/>
          <w:szCs w:val="28"/>
        </w:rPr>
        <w:t>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ФАПСИ при Президенте Российской Федерации от 13 июня 2001 г. № 152 «Об утверждении инструкции об организации и обеспечении безопасности хранения, обработки и передачи по каналам связи с </w:t>
      </w:r>
      <w:r w:rsidRPr="00830135">
        <w:rPr>
          <w:rFonts w:ascii="Times New Roman" w:hAnsi="Times New Roman" w:cs="Times New Roman"/>
          <w:sz w:val="28"/>
          <w:szCs w:val="28"/>
        </w:rPr>
        <w:lastRenderedPageBreak/>
        <w:t>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ФСБ России от 9 февраля 2005 г. № 66 «Об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ФСБ России от 30 августа 2012 г. № 440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ФСБ России от 08 августа 2009 г. № 149/7/2/6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1173 «Об утверждении типового регламента проведения в пределах полномочий мероприятий по контролю (надзору) за выполнением требований, установленных Правительством РФ, к обеспечению безопасности персональных данных при их обработке в информационных системах персональных данных».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lastRenderedPageBreak/>
        <w:t xml:space="preserve">«Методические рекомендации по обеспечению с помощью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криптосредств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безопасности персональных данных при их обработке в </w:t>
      </w:r>
      <w:r w:rsidRPr="00830135">
        <w:rPr>
          <w:rFonts w:ascii="Times New Roman" w:hAnsi="Times New Roman" w:cs="Times New Roman"/>
          <w:sz w:val="28"/>
          <w:szCs w:val="28"/>
        </w:rPr>
        <w:t>информационных системах</w:t>
      </w:r>
      <w:r w:rsidRPr="00830135">
        <w:rPr>
          <w:rFonts w:ascii="Times New Roman" w:hAnsi="Times New Roman" w:cs="Times New Roman"/>
          <w:sz w:val="28"/>
          <w:szCs w:val="28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144.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государственную тайну в случае их использования 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622.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ФСБ России от 27 декабря 2011 г. № 796 «Об утверждении требований к форме квалифицированного сертификата ключа проверки электронной подписи».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ФСБ России от 27 декабря 2011 г. № 795 «Об утверждении требований к средствам электронной подписи и требований к средствам удостоверяющего центра».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ФСБ </w:t>
      </w:r>
      <w:r w:rsidRPr="00830135">
        <w:rPr>
          <w:rFonts w:ascii="Times New Roman" w:hAnsi="Times New Roman" w:cs="Times New Roman"/>
          <w:sz w:val="28"/>
          <w:szCs w:val="28"/>
        </w:rPr>
        <w:t>России от</w:t>
      </w:r>
      <w:r w:rsidRPr="00830135">
        <w:rPr>
          <w:rFonts w:ascii="Times New Roman" w:hAnsi="Times New Roman" w:cs="Times New Roman"/>
          <w:sz w:val="28"/>
          <w:szCs w:val="28"/>
        </w:rPr>
        <w:t xml:space="preserve"> 10 июля </w:t>
      </w:r>
      <w:r w:rsidRPr="00830135">
        <w:rPr>
          <w:rFonts w:ascii="Times New Roman" w:hAnsi="Times New Roman" w:cs="Times New Roman"/>
          <w:sz w:val="28"/>
          <w:szCs w:val="28"/>
        </w:rPr>
        <w:t>2014 г.</w:t>
      </w:r>
      <w:r w:rsidRPr="00830135">
        <w:rPr>
          <w:rFonts w:ascii="Times New Roman" w:hAnsi="Times New Roman" w:cs="Times New Roman"/>
          <w:sz w:val="28"/>
          <w:szCs w:val="28"/>
        </w:rPr>
        <w:t xml:space="preserve"> № </w:t>
      </w:r>
      <w:r w:rsidRPr="00830135">
        <w:rPr>
          <w:rFonts w:ascii="Times New Roman" w:hAnsi="Times New Roman" w:cs="Times New Roman"/>
          <w:sz w:val="28"/>
          <w:szCs w:val="28"/>
        </w:rPr>
        <w:t>378 «</w:t>
      </w:r>
      <w:r w:rsidRPr="00830135">
        <w:rPr>
          <w:rFonts w:ascii="Times New Roman" w:hAnsi="Times New Roman" w:cs="Times New Roman"/>
          <w:sz w:val="28"/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ФСТЭК России от 20 марта 2012 г. № </w:t>
      </w:r>
      <w:r w:rsidRPr="00830135">
        <w:rPr>
          <w:rFonts w:ascii="Times New Roman" w:hAnsi="Times New Roman" w:cs="Times New Roman"/>
          <w:sz w:val="28"/>
          <w:szCs w:val="28"/>
        </w:rPr>
        <w:t>28 «</w:t>
      </w:r>
      <w:r w:rsidRPr="00830135">
        <w:rPr>
          <w:rFonts w:ascii="Times New Roman" w:hAnsi="Times New Roman" w:cs="Times New Roman"/>
          <w:sz w:val="28"/>
          <w:szCs w:val="28"/>
        </w:rPr>
        <w:t>Об утверждении требований к средствам антивирусной защиты».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ФСТЭК России от 6 декабря 2011 г. № 638 «Об утверждении требований к системам обнаружения вторжений».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lastRenderedPageBreak/>
        <w:t xml:space="preserve">Приказ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05 сентября 2013 г. № 996 «Об утверждении требований и методов по обезличиванию персональных данных».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29 сентября 2011 г. № 242 «Об утверждении порядка передачи реестров </w:t>
      </w:r>
      <w:r w:rsidRPr="00830135">
        <w:rPr>
          <w:rFonts w:ascii="Times New Roman" w:hAnsi="Times New Roman" w:cs="Times New Roman"/>
          <w:sz w:val="28"/>
          <w:szCs w:val="28"/>
        </w:rPr>
        <w:t>квалифицированных сертификатов</w:t>
      </w:r>
      <w:r w:rsidRPr="00830135">
        <w:rPr>
          <w:rFonts w:ascii="Times New Roman" w:hAnsi="Times New Roman" w:cs="Times New Roman"/>
          <w:sz w:val="28"/>
          <w:szCs w:val="28"/>
        </w:rPr>
        <w:t xml:space="preserve"> ключей проверки электронной подписи и иной информации в федеральный орган исполнительной власти, уполномоченный в сфере использования </w:t>
      </w:r>
      <w:r w:rsidRPr="00830135">
        <w:rPr>
          <w:rFonts w:ascii="Times New Roman" w:hAnsi="Times New Roman" w:cs="Times New Roman"/>
          <w:sz w:val="28"/>
          <w:szCs w:val="28"/>
        </w:rPr>
        <w:t>электронной подписи</w:t>
      </w:r>
      <w:r w:rsidRPr="00830135">
        <w:rPr>
          <w:rFonts w:ascii="Times New Roman" w:hAnsi="Times New Roman" w:cs="Times New Roman"/>
          <w:sz w:val="28"/>
          <w:szCs w:val="28"/>
        </w:rPr>
        <w:t xml:space="preserve"> в случае прекращения деятельности аккредитованного удостоверяющего центра».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23 ноября 2011 г. № 321 «Об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27 октября 2011 г. № 282 «Об утверждении Положения о Департаменте государственной политики в области создания и развития электронного правительства Министерства связи и массовых коммуникаций Российской Федерации».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05 октября 2011 г. № 250 «Об утверждении порядка формирования и ведения реестров квалифицированных сертификатов ключей проверки электронной подписи, а также предоставления информации из таких реестров».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23 ноября 2011 г. № 320 «Об аккредитации удостоверяющих центров».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от 13 апреля 2012 г. № 108 «Об обеспечении осуществления Министерством связи и массовых коммуникаций </w:t>
      </w:r>
      <w:r w:rsidRPr="00830135">
        <w:rPr>
          <w:rFonts w:ascii="Times New Roman" w:hAnsi="Times New Roman" w:cs="Times New Roman"/>
          <w:sz w:val="28"/>
          <w:szCs w:val="28"/>
        </w:rPr>
        <w:lastRenderedPageBreak/>
        <w:t>РФ функции головного удостоверяющего центра в отношении аккредитованных удостоверяющих центров».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недекларированных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возможностей».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1999.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 Термины и определения».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М, 1992.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«Концепция защиты средств вычислительной техники и автоматизированных систем от несанкционированного доступа к информации».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1992.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М, 1992.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>М., 1992.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M., 1992.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3013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3013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1997.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lastRenderedPageBreak/>
        <w:t xml:space="preserve">«Базовая модель угроз безопасности персональных данных при их обработке в информационных системах персональных данных». ФСТЭК России.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2008.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«Методика определения актуальных угроз безопасности персональных данных при их обработке в информационных системах персональных данных». ФСТЭК России.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135">
        <w:rPr>
          <w:rFonts w:ascii="Times New Roman" w:hAnsi="Times New Roman" w:cs="Times New Roman"/>
          <w:sz w:val="28"/>
          <w:szCs w:val="28"/>
        </w:rPr>
        <w:t xml:space="preserve"> М., 2008.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ФСТЭК России от 11 февраля 2013 г. № </w:t>
      </w:r>
      <w:r w:rsidRPr="00830135">
        <w:rPr>
          <w:rFonts w:ascii="Times New Roman" w:hAnsi="Times New Roman" w:cs="Times New Roman"/>
          <w:sz w:val="28"/>
          <w:szCs w:val="28"/>
        </w:rPr>
        <w:t>17 «</w:t>
      </w:r>
      <w:r w:rsidRPr="00830135">
        <w:rPr>
          <w:rFonts w:ascii="Times New Roman" w:hAnsi="Times New Roman" w:cs="Times New Roman"/>
          <w:sz w:val="28"/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ФСТЭК России от 14 марта </w:t>
      </w:r>
      <w:r w:rsidRPr="00830135">
        <w:rPr>
          <w:rFonts w:ascii="Times New Roman" w:hAnsi="Times New Roman" w:cs="Times New Roman"/>
          <w:sz w:val="28"/>
          <w:szCs w:val="28"/>
        </w:rPr>
        <w:t>2014 г.</w:t>
      </w:r>
      <w:r w:rsidRPr="00830135">
        <w:rPr>
          <w:rFonts w:ascii="Times New Roman" w:hAnsi="Times New Roman" w:cs="Times New Roman"/>
          <w:sz w:val="28"/>
          <w:szCs w:val="28"/>
        </w:rPr>
        <w:t xml:space="preserve"> № </w:t>
      </w:r>
      <w:r w:rsidRPr="00830135">
        <w:rPr>
          <w:rFonts w:ascii="Times New Roman" w:hAnsi="Times New Roman" w:cs="Times New Roman"/>
          <w:sz w:val="28"/>
          <w:szCs w:val="28"/>
        </w:rPr>
        <w:t>31 «</w:t>
      </w:r>
      <w:r w:rsidRPr="00830135">
        <w:rPr>
          <w:rFonts w:ascii="Times New Roman" w:hAnsi="Times New Roman" w:cs="Times New Roman"/>
          <w:sz w:val="28"/>
          <w:szCs w:val="28"/>
        </w:rPr>
        <w:t>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  <w:p w:rsidR="00830135" w:rsidRPr="00830135" w:rsidRDefault="00830135" w:rsidP="0083013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>Приказ ФСТЭК России от 12 июля 2012 г. № 83 «Об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деятельности по технической защите конфиденциальной информации».</w:t>
      </w:r>
    </w:p>
    <w:p w:rsidR="00830135" w:rsidRPr="00830135" w:rsidRDefault="00830135" w:rsidP="005A08F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135">
        <w:rPr>
          <w:rFonts w:ascii="Times New Roman" w:hAnsi="Times New Roman" w:cs="Times New Roman"/>
          <w:sz w:val="28"/>
          <w:szCs w:val="28"/>
        </w:rPr>
        <w:t xml:space="preserve">Приказ Федеральной службы по надзору в сфере связи, информационных технологий и массовых коммуникаций от 14 ноября 2011 г. № 312 «Об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государственного контроля (надзора) за соответствием обработки </w:t>
      </w:r>
      <w:r w:rsidRPr="00830135">
        <w:rPr>
          <w:rFonts w:ascii="Times New Roman" w:hAnsi="Times New Roman" w:cs="Times New Roman"/>
          <w:sz w:val="28"/>
          <w:szCs w:val="28"/>
        </w:rPr>
        <w:lastRenderedPageBreak/>
        <w:t>персональных данных требованиям законодательства Российской Федерации в области персональных данных».</w:t>
      </w:r>
    </w:p>
    <w:p w:rsidR="00830135" w:rsidRPr="00830135" w:rsidRDefault="00830135" w:rsidP="005A08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135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08F0" w:rsidRDefault="005A08F0" w:rsidP="005A08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условия:</w:t>
      </w:r>
    </w:p>
    <w:p w:rsidR="00830135" w:rsidRPr="005A08F0" w:rsidRDefault="00830135" w:rsidP="005A08F0">
      <w:pPr>
        <w:pStyle w:val="a3"/>
        <w:numPr>
          <w:ilvl w:val="0"/>
          <w:numId w:val="8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>«Специальные требования и рекомендации по технической защите конфиденциальной информации» (СТР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Pr="005A08F0">
        <w:rPr>
          <w:rFonts w:ascii="Times New Roman" w:hAnsi="Times New Roman" w:cs="Times New Roman"/>
          <w:sz w:val="28"/>
          <w:szCs w:val="28"/>
        </w:rPr>
        <w:t xml:space="preserve">К). Утверждены приказом </w:t>
      </w:r>
      <w:proofErr w:type="spellStart"/>
      <w:r w:rsidRPr="005A08F0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 xml:space="preserve"> России от </w:t>
      </w:r>
      <w:r w:rsidR="005A08F0">
        <w:rPr>
          <w:rFonts w:ascii="Times New Roman" w:hAnsi="Times New Roman" w:cs="Times New Roman"/>
          <w:sz w:val="28"/>
          <w:szCs w:val="28"/>
        </w:rPr>
        <w:t>30 августа 2002 г. № 282;</w:t>
      </w:r>
    </w:p>
    <w:p w:rsidR="00830135" w:rsidRPr="005A08F0" w:rsidRDefault="00830135" w:rsidP="005A08F0">
      <w:pPr>
        <w:pStyle w:val="a3"/>
        <w:numPr>
          <w:ilvl w:val="0"/>
          <w:numId w:val="11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 xml:space="preserve">«Сборник временных методик оценки защищенности конфиденциальной информации от утечки по техническим каналам». </w:t>
      </w:r>
      <w:proofErr w:type="spellStart"/>
      <w:r w:rsidRPr="005A08F0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 xml:space="preserve"> России. 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="005A08F0">
        <w:rPr>
          <w:rFonts w:ascii="Times New Roman" w:hAnsi="Times New Roman" w:cs="Times New Roman"/>
          <w:sz w:val="28"/>
          <w:szCs w:val="28"/>
        </w:rPr>
        <w:t xml:space="preserve"> М., 2002;</w:t>
      </w:r>
    </w:p>
    <w:p w:rsidR="00830135" w:rsidRPr="005A08F0" w:rsidRDefault="00830135" w:rsidP="005A08F0">
      <w:pPr>
        <w:pStyle w:val="a3"/>
        <w:numPr>
          <w:ilvl w:val="0"/>
          <w:numId w:val="11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>ГОСТ Р 50739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Pr="005A08F0">
        <w:rPr>
          <w:rFonts w:ascii="Times New Roman" w:hAnsi="Times New Roman" w:cs="Times New Roman"/>
          <w:sz w:val="28"/>
          <w:szCs w:val="28"/>
        </w:rPr>
        <w:t xml:space="preserve">95. Средства вычислительной техники. Защита от несанкционированного доступа к информации. Общие технические требования. Госстандарт России. 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="005A08F0">
        <w:rPr>
          <w:rFonts w:ascii="Times New Roman" w:hAnsi="Times New Roman" w:cs="Times New Roman"/>
          <w:sz w:val="28"/>
          <w:szCs w:val="28"/>
        </w:rPr>
        <w:t xml:space="preserve"> М., 1995;</w:t>
      </w:r>
    </w:p>
    <w:p w:rsidR="00830135" w:rsidRPr="005A08F0" w:rsidRDefault="00830135" w:rsidP="005A08F0">
      <w:pPr>
        <w:pStyle w:val="a3"/>
        <w:numPr>
          <w:ilvl w:val="0"/>
          <w:numId w:val="11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>Приказ ФСБ России от 30 августа 2012 г. № 440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</w:t>
      </w:r>
      <w:r w:rsidR="005A08F0">
        <w:rPr>
          <w:rFonts w:ascii="Times New Roman" w:hAnsi="Times New Roman" w:cs="Times New Roman"/>
          <w:sz w:val="28"/>
          <w:szCs w:val="28"/>
        </w:rPr>
        <w:t>ндивидуального предпринимателя);</w:t>
      </w:r>
    </w:p>
    <w:p w:rsidR="00830135" w:rsidRPr="005A08F0" w:rsidRDefault="00830135" w:rsidP="005A08F0">
      <w:pPr>
        <w:pStyle w:val="a3"/>
        <w:numPr>
          <w:ilvl w:val="0"/>
          <w:numId w:val="11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lastRenderedPageBreak/>
        <w:t xml:space="preserve">Руководящий документ </w:t>
      </w:r>
      <w:proofErr w:type="spellStart"/>
      <w:r w:rsidRPr="005A08F0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 xml:space="preserve"> России «Концепция защиты средств вычислительной техники и автоматизированных систем от несанкционированного доступа к информации». 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Pr="005A08F0">
        <w:rPr>
          <w:rFonts w:ascii="Times New Roman" w:hAnsi="Times New Roman" w:cs="Times New Roman"/>
          <w:sz w:val="28"/>
          <w:szCs w:val="28"/>
        </w:rPr>
        <w:t xml:space="preserve"> М., </w:t>
      </w:r>
      <w:r w:rsidR="005A08F0">
        <w:rPr>
          <w:rFonts w:ascii="Times New Roman" w:hAnsi="Times New Roman" w:cs="Times New Roman"/>
          <w:sz w:val="28"/>
          <w:szCs w:val="28"/>
        </w:rPr>
        <w:t>1992;</w:t>
      </w:r>
    </w:p>
    <w:p w:rsidR="00830135" w:rsidRPr="005A08F0" w:rsidRDefault="00830135" w:rsidP="005A08F0">
      <w:pPr>
        <w:pStyle w:val="a3"/>
        <w:numPr>
          <w:ilvl w:val="0"/>
          <w:numId w:val="11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5A08F0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 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="005A08F0">
        <w:rPr>
          <w:rFonts w:ascii="Times New Roman" w:hAnsi="Times New Roman" w:cs="Times New Roman"/>
          <w:sz w:val="28"/>
          <w:szCs w:val="28"/>
        </w:rPr>
        <w:t xml:space="preserve"> М, 1992;</w:t>
      </w:r>
    </w:p>
    <w:p w:rsidR="00830135" w:rsidRPr="005A08F0" w:rsidRDefault="00830135" w:rsidP="005A08F0">
      <w:pPr>
        <w:pStyle w:val="a3"/>
        <w:numPr>
          <w:ilvl w:val="0"/>
          <w:numId w:val="11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5A08F0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 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="005A08F0">
        <w:rPr>
          <w:rFonts w:ascii="Times New Roman" w:hAnsi="Times New Roman" w:cs="Times New Roman"/>
          <w:sz w:val="28"/>
          <w:szCs w:val="28"/>
        </w:rPr>
        <w:t>М., 1992;</w:t>
      </w:r>
    </w:p>
    <w:p w:rsidR="00830135" w:rsidRPr="005A08F0" w:rsidRDefault="00830135" w:rsidP="005A08F0">
      <w:pPr>
        <w:pStyle w:val="a3"/>
        <w:numPr>
          <w:ilvl w:val="0"/>
          <w:numId w:val="11"/>
        </w:numPr>
        <w:tabs>
          <w:tab w:val="left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5A08F0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техники». </w:t>
      </w:r>
      <w:r w:rsidRPr="005A08F0">
        <w:rPr>
          <w:rFonts w:ascii="Times New Roman" w:hAnsi="Times New Roman" w:cs="Times New Roman"/>
          <w:sz w:val="28"/>
          <w:szCs w:val="28"/>
        </w:rPr>
        <w:t>–</w:t>
      </w:r>
      <w:r w:rsidR="005A08F0">
        <w:rPr>
          <w:rFonts w:ascii="Times New Roman" w:hAnsi="Times New Roman" w:cs="Times New Roman"/>
          <w:sz w:val="28"/>
          <w:szCs w:val="28"/>
        </w:rPr>
        <w:t xml:space="preserve"> M., 1992;</w:t>
      </w:r>
    </w:p>
    <w:p w:rsidR="00830135" w:rsidRPr="005A08F0" w:rsidRDefault="005A08F0" w:rsidP="005A08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условия:</w:t>
      </w:r>
    </w:p>
    <w:p w:rsidR="00830135" w:rsidRPr="005A08F0" w:rsidRDefault="005A08F0" w:rsidP="00830135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30135" w:rsidRPr="005A08F0">
        <w:rPr>
          <w:rFonts w:ascii="Times New Roman" w:hAnsi="Times New Roman" w:cs="Times New Roman"/>
          <w:sz w:val="28"/>
          <w:szCs w:val="28"/>
        </w:rPr>
        <w:t>риказ ФАПСИ при Президенте Российской Федерации от 13 июня 2001 г. № 152 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830135" w:rsidRPr="005A08F0" w:rsidRDefault="005A08F0" w:rsidP="005A08F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>Следствие</w:t>
      </w:r>
      <w:r w:rsidR="00830135" w:rsidRPr="005A08F0">
        <w:rPr>
          <w:rFonts w:ascii="Times New Roman" w:hAnsi="Times New Roman" w:cs="Times New Roman"/>
          <w:sz w:val="28"/>
          <w:szCs w:val="28"/>
        </w:rPr>
        <w:t xml:space="preserve"> ассоциирования правовых актов РФ с международным законодате</w:t>
      </w:r>
      <w:r w:rsidRPr="005A08F0">
        <w:rPr>
          <w:rFonts w:ascii="Times New Roman" w:hAnsi="Times New Roman" w:cs="Times New Roman"/>
          <w:sz w:val="28"/>
          <w:szCs w:val="28"/>
        </w:rPr>
        <w:t>льством:</w:t>
      </w:r>
    </w:p>
    <w:p w:rsidR="00830135" w:rsidRPr="005A08F0" w:rsidRDefault="005A08F0" w:rsidP="005A08F0">
      <w:pPr>
        <w:pStyle w:val="a3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30135" w:rsidRPr="005A08F0">
        <w:rPr>
          <w:rFonts w:ascii="Times New Roman" w:hAnsi="Times New Roman" w:cs="Times New Roman"/>
          <w:sz w:val="28"/>
          <w:szCs w:val="28"/>
        </w:rPr>
        <w:t>еждународная конвенция о борьбе с актами ядерного т</w:t>
      </w:r>
      <w:r>
        <w:rPr>
          <w:rFonts w:ascii="Times New Roman" w:hAnsi="Times New Roman" w:cs="Times New Roman"/>
          <w:sz w:val="28"/>
          <w:szCs w:val="28"/>
        </w:rPr>
        <w:t>ерроризма за 14 сентября 2005 г:</w:t>
      </w:r>
    </w:p>
    <w:p w:rsidR="00830135" w:rsidRPr="005A08F0" w:rsidRDefault="005A08F0" w:rsidP="00830135">
      <w:pPr>
        <w:pStyle w:val="a3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830135" w:rsidRPr="005A08F0">
        <w:rPr>
          <w:rFonts w:ascii="Times New Roman" w:hAnsi="Times New Roman" w:cs="Times New Roman"/>
          <w:sz w:val="28"/>
          <w:szCs w:val="28"/>
        </w:rPr>
        <w:t>анхайская конвенция о борьбе с терроризмом, сепаратизмом и экстремизмом за 15 июня 2001 г.</w:t>
      </w:r>
    </w:p>
    <w:p w:rsidR="00830135" w:rsidRPr="005A08F0" w:rsidRDefault="00830135" w:rsidP="0083013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08F0">
        <w:rPr>
          <w:rFonts w:ascii="Times New Roman" w:hAnsi="Times New Roman" w:cs="Times New Roman"/>
          <w:sz w:val="28"/>
          <w:szCs w:val="28"/>
        </w:rPr>
        <w:lastRenderedPageBreak/>
        <w:t>Гостехкомиссия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 xml:space="preserve"> России, подразделение Международной организации по стандартизации и Международной электротехнической комиссии, ФАПСИ, ФСБ России, ФСТЭК, </w:t>
      </w:r>
      <w:proofErr w:type="spellStart"/>
      <w:r w:rsidRPr="005A08F0">
        <w:rPr>
          <w:rFonts w:ascii="Times New Roman" w:hAnsi="Times New Roman" w:cs="Times New Roman"/>
          <w:sz w:val="28"/>
          <w:szCs w:val="28"/>
        </w:rPr>
        <w:t>Минкомсвязь</w:t>
      </w:r>
      <w:proofErr w:type="spellEnd"/>
      <w:r w:rsidRPr="005A08F0">
        <w:rPr>
          <w:rFonts w:ascii="Times New Roman" w:hAnsi="Times New Roman" w:cs="Times New Roman"/>
          <w:sz w:val="28"/>
          <w:szCs w:val="28"/>
        </w:rPr>
        <w:t>.</w:t>
      </w:r>
    </w:p>
    <w:p w:rsidR="00830135" w:rsidRPr="005A08F0" w:rsidRDefault="00830135" w:rsidP="005A08F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>Одна десятая доля документов регламентируют организацию работ по защите персональных данных.</w:t>
      </w:r>
    </w:p>
    <w:p w:rsidR="00830135" w:rsidRDefault="00830135" w:rsidP="005A08F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F0">
        <w:rPr>
          <w:rFonts w:ascii="Times New Roman" w:hAnsi="Times New Roman" w:cs="Times New Roman"/>
          <w:sz w:val="28"/>
          <w:szCs w:val="28"/>
        </w:rPr>
        <w:t xml:space="preserve">0,15 </w:t>
      </w:r>
      <w:r w:rsidR="005A08F0">
        <w:rPr>
          <w:rFonts w:ascii="Times New Roman" w:hAnsi="Times New Roman" w:cs="Times New Roman"/>
          <w:sz w:val="28"/>
          <w:szCs w:val="28"/>
        </w:rPr>
        <w:t xml:space="preserve">– </w:t>
      </w:r>
      <w:r w:rsidRPr="005A08F0">
        <w:rPr>
          <w:rFonts w:ascii="Times New Roman" w:hAnsi="Times New Roman" w:cs="Times New Roman"/>
          <w:sz w:val="28"/>
          <w:szCs w:val="28"/>
        </w:rPr>
        <w:t>это доля документов, регламентирующих организацию работ по обороту средств технической защиты</w:t>
      </w:r>
      <w:r w:rsidR="005A08F0">
        <w:rPr>
          <w:rFonts w:ascii="Times New Roman" w:hAnsi="Times New Roman" w:cs="Times New Roman"/>
          <w:sz w:val="28"/>
          <w:szCs w:val="28"/>
        </w:rPr>
        <w:t>.</w:t>
      </w:r>
    </w:p>
    <w:p w:rsidR="005A08F0" w:rsidRPr="005A08F0" w:rsidRDefault="005A08F0" w:rsidP="005A08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8F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08F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135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30135">
        <w:rPr>
          <w:rFonts w:ascii="Times New Roman" w:hAnsi="Times New Roman" w:cs="Times New Roman"/>
          <w:sz w:val="28"/>
          <w:szCs w:val="28"/>
        </w:rPr>
        <w:t>ся с нормативными методическими документа</w:t>
      </w:r>
      <w:r>
        <w:rPr>
          <w:rFonts w:ascii="Times New Roman" w:hAnsi="Times New Roman" w:cs="Times New Roman"/>
          <w:sz w:val="28"/>
          <w:szCs w:val="28"/>
        </w:rPr>
        <w:t>ми в области защиты информации,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135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830135">
        <w:rPr>
          <w:rFonts w:ascii="Times New Roman" w:hAnsi="Times New Roman" w:cs="Times New Roman"/>
          <w:sz w:val="28"/>
          <w:szCs w:val="28"/>
        </w:rPr>
        <w:t xml:space="preserve"> опыт самостоятельного поиска и анализа.</w:t>
      </w:r>
    </w:p>
    <w:p w:rsidR="002E0CEB" w:rsidRPr="00830135" w:rsidRDefault="002E0CEB" w:rsidP="00830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0CEB" w:rsidRPr="0083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727"/>
    <w:multiLevelType w:val="hybridMultilevel"/>
    <w:tmpl w:val="30ACAA70"/>
    <w:lvl w:ilvl="0" w:tplc="402C6354">
      <w:start w:val="1"/>
      <w:numFmt w:val="decimal"/>
      <w:suff w:val="space"/>
      <w:lvlText w:val="%1."/>
      <w:lvlJc w:val="left"/>
      <w:pPr>
        <w:ind w:left="1140" w:hanging="705"/>
      </w:pPr>
      <w:rPr>
        <w:rFonts w:hint="default"/>
        <w:b/>
      </w:rPr>
    </w:lvl>
    <w:lvl w:ilvl="1" w:tplc="735E70E2">
      <w:start w:val="1"/>
      <w:numFmt w:val="bullet"/>
      <w:suff w:val="space"/>
      <w:lvlText w:val=""/>
      <w:lvlJc w:val="left"/>
      <w:pPr>
        <w:ind w:left="1860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2520B37"/>
    <w:multiLevelType w:val="hybridMultilevel"/>
    <w:tmpl w:val="FCE47386"/>
    <w:lvl w:ilvl="0" w:tplc="402C6354">
      <w:start w:val="1"/>
      <w:numFmt w:val="decimal"/>
      <w:suff w:val="space"/>
      <w:lvlText w:val="%1."/>
      <w:lvlJc w:val="left"/>
      <w:pPr>
        <w:ind w:left="1140" w:hanging="705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860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EFD7840"/>
    <w:multiLevelType w:val="hybridMultilevel"/>
    <w:tmpl w:val="082AB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12641"/>
    <w:multiLevelType w:val="hybridMultilevel"/>
    <w:tmpl w:val="8B829794"/>
    <w:lvl w:ilvl="0" w:tplc="4A04F3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68E6"/>
    <w:multiLevelType w:val="hybridMultilevel"/>
    <w:tmpl w:val="2536EB26"/>
    <w:lvl w:ilvl="0" w:tplc="4A04F3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06E3C"/>
    <w:multiLevelType w:val="hybridMultilevel"/>
    <w:tmpl w:val="0F881A72"/>
    <w:lvl w:ilvl="0" w:tplc="402C6354">
      <w:start w:val="1"/>
      <w:numFmt w:val="decimal"/>
      <w:suff w:val="space"/>
      <w:lvlText w:val="%1."/>
      <w:lvlJc w:val="left"/>
      <w:pPr>
        <w:ind w:left="1140" w:hanging="705"/>
      </w:pPr>
      <w:rPr>
        <w:rFonts w:hint="default"/>
        <w:b/>
      </w:rPr>
    </w:lvl>
    <w:lvl w:ilvl="1" w:tplc="2F543854">
      <w:start w:val="2"/>
      <w:numFmt w:val="bullet"/>
      <w:lvlText w:val="•"/>
      <w:lvlJc w:val="left"/>
      <w:pPr>
        <w:ind w:left="1860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50D1E76"/>
    <w:multiLevelType w:val="hybridMultilevel"/>
    <w:tmpl w:val="B766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8F210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D4E55"/>
    <w:multiLevelType w:val="hybridMultilevel"/>
    <w:tmpl w:val="E8ACC552"/>
    <w:lvl w:ilvl="0" w:tplc="0262C046">
      <w:start w:val="1"/>
      <w:numFmt w:val="decimal"/>
      <w:suff w:val="space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C4B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9711D"/>
    <w:multiLevelType w:val="hybridMultilevel"/>
    <w:tmpl w:val="56F43F48"/>
    <w:lvl w:ilvl="0" w:tplc="1168378A">
      <w:start w:val="1"/>
      <w:numFmt w:val="decimal"/>
      <w:suff w:val="space"/>
      <w:lvlText w:val="%1."/>
      <w:lvlJc w:val="left"/>
      <w:pPr>
        <w:ind w:left="106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66951"/>
    <w:multiLevelType w:val="hybridMultilevel"/>
    <w:tmpl w:val="22E06B48"/>
    <w:lvl w:ilvl="0" w:tplc="16FC38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90BAF"/>
    <w:multiLevelType w:val="hybridMultilevel"/>
    <w:tmpl w:val="AF1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E2246"/>
    <w:multiLevelType w:val="hybridMultilevel"/>
    <w:tmpl w:val="3D44E554"/>
    <w:lvl w:ilvl="0" w:tplc="16FC38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4B5E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D1D12"/>
    <w:multiLevelType w:val="hybridMultilevel"/>
    <w:tmpl w:val="ED14C2EC"/>
    <w:lvl w:ilvl="0" w:tplc="16FC38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11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87"/>
    <w:rsid w:val="002E0CEB"/>
    <w:rsid w:val="005A08F0"/>
    <w:rsid w:val="00830135"/>
    <w:rsid w:val="00B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87A2"/>
  <w15:chartTrackingRefBased/>
  <w15:docId w15:val="{F628F3D6-6C56-480B-9855-77A4789F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2022-04-25T05:32:00Z</dcterms:created>
  <dcterms:modified xsi:type="dcterms:W3CDTF">2022-04-25T05:52:00Z</dcterms:modified>
</cp:coreProperties>
</file>