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9C" w:rsidRPr="007239BE" w:rsidRDefault="00F057FB" w:rsidP="001B059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239BE">
        <w:rPr>
          <w:b/>
          <w:sz w:val="28"/>
          <w:szCs w:val="28"/>
        </w:rPr>
        <w:t>Практическая работа № 13.</w:t>
      </w:r>
    </w:p>
    <w:p w:rsidR="00F057FB" w:rsidRPr="007239BE" w:rsidRDefault="00F057FB" w:rsidP="001B059C">
      <w:pPr>
        <w:spacing w:line="360" w:lineRule="auto"/>
        <w:ind w:left="-1134" w:firstLine="709"/>
        <w:jc w:val="center"/>
        <w:rPr>
          <w:b/>
          <w:sz w:val="28"/>
          <w:szCs w:val="28"/>
        </w:rPr>
      </w:pPr>
      <w:r w:rsidRPr="007239BE">
        <w:rPr>
          <w:b/>
          <w:sz w:val="28"/>
          <w:szCs w:val="28"/>
        </w:rPr>
        <w:t>Определение требований к защите информации</w:t>
      </w:r>
    </w:p>
    <w:p w:rsidR="001B059C" w:rsidRPr="007239BE" w:rsidRDefault="001B059C" w:rsidP="001B059C">
      <w:pPr>
        <w:spacing w:line="360" w:lineRule="auto"/>
        <w:ind w:left="-1134" w:firstLine="709"/>
        <w:jc w:val="center"/>
        <w:rPr>
          <w:b/>
          <w:sz w:val="28"/>
          <w:szCs w:val="28"/>
        </w:rPr>
      </w:pPr>
    </w:p>
    <w:p w:rsidR="00F057FB" w:rsidRPr="007239BE" w:rsidRDefault="00F057FB" w:rsidP="007239BE">
      <w:pPr>
        <w:spacing w:line="360" w:lineRule="auto"/>
        <w:ind w:firstLine="709"/>
        <w:jc w:val="both"/>
        <w:rPr>
          <w:sz w:val="28"/>
          <w:szCs w:val="28"/>
        </w:rPr>
      </w:pPr>
      <w:r w:rsidRPr="007239BE">
        <w:rPr>
          <w:b/>
          <w:sz w:val="28"/>
          <w:szCs w:val="28"/>
        </w:rPr>
        <w:t xml:space="preserve">Цель работы: </w:t>
      </w:r>
      <w:r w:rsidRPr="007239BE">
        <w:rPr>
          <w:sz w:val="28"/>
          <w:szCs w:val="28"/>
        </w:rPr>
        <w:t>изучить требования, предъявляемые к защите информации, изучить документацию по защите информации.</w:t>
      </w:r>
    </w:p>
    <w:p w:rsidR="00F057FB" w:rsidRPr="007239BE" w:rsidRDefault="00F057FB" w:rsidP="00F057FB">
      <w:pPr>
        <w:spacing w:line="360" w:lineRule="auto"/>
        <w:ind w:firstLine="709"/>
        <w:rPr>
          <w:sz w:val="28"/>
          <w:szCs w:val="28"/>
        </w:rPr>
      </w:pPr>
      <w:r w:rsidRPr="007239BE">
        <w:rPr>
          <w:sz w:val="28"/>
          <w:szCs w:val="28"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widowControl/>
              <w:shd w:val="clear" w:color="auto" w:fill="FFFFFF"/>
              <w:autoSpaceDE/>
              <w:autoSpaceDN/>
              <w:spacing w:before="300" w:after="150"/>
              <w:jc w:val="center"/>
              <w:outlineLvl w:val="2"/>
              <w:rPr>
                <w:sz w:val="28"/>
                <w:szCs w:val="28"/>
                <w:lang w:bidi="ar-SA"/>
              </w:rPr>
            </w:pPr>
            <w:r w:rsidRPr="007239BE">
              <w:rPr>
                <w:sz w:val="28"/>
                <w:szCs w:val="28"/>
                <w:lang w:bidi="ar-SA"/>
              </w:rPr>
              <w:t>Федеральный закон «О защите персональных данных»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Федеральный закон «О защите персональных данных». Данный закон, в частности, определяет требования к информационным системам персональных данных и регламентирует необходимые организационные и технические меры для защиты персональных данных от неправомерного или случайного доступа к ним.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Федеральный закон «О коммерческой тайне»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Федеральный закон о коммерческой тайне. Этот закон регулирует отношения, связанные с отнесением информации к коммерческой тайне, передачей такой информации, охраной ее конфиденциальности.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Закон «Об архивном деле»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 xml:space="preserve">Федеральный закон «Об архивном деле». Этот закон регулирует отношения в сфере организации хранения, комплектования, учета и использования документов Архивного фонда Российской Федерации и других архивных документов независимо от их форм </w:t>
            </w:r>
            <w:r w:rsidRPr="007239BE">
              <w:rPr>
                <w:sz w:val="28"/>
                <w:szCs w:val="28"/>
                <w:shd w:val="clear" w:color="auto" w:fill="FFFFFF"/>
              </w:rPr>
              <w:lastRenderedPageBreak/>
              <w:t>собственности.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lastRenderedPageBreak/>
              <w:t>Закон HIPAA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Health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Insurance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Portability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and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Accountability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Act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of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1996 гласит, что: «Все медицинские, страховые и финансовые организации, работающие с чувствительной медицинской информацией должны хранить не менее 6 лет всю свою электронную документацию».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Закон SOX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Sarbanes-Oxley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Act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239BE">
              <w:rPr>
                <w:sz w:val="28"/>
                <w:szCs w:val="28"/>
                <w:shd w:val="clear" w:color="auto" w:fill="FFFFFF"/>
              </w:rPr>
              <w:t>of</w:t>
            </w:r>
            <w:proofErr w:type="spellEnd"/>
            <w:r w:rsidRPr="007239BE">
              <w:rPr>
                <w:sz w:val="28"/>
                <w:szCs w:val="28"/>
                <w:shd w:val="clear" w:color="auto" w:fill="FFFFFF"/>
              </w:rPr>
              <w:t xml:space="preserve"> 2002, §802 – Все публичные компании, представленные на фондовом рынке США, обязаны собирать, архивировать и хранить на протяжении минимум семи лет электронную корпоративную корреспонденцию.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Федеральный закон «О связи»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Настоящий Федеральный закон устанавливает правовые основы деятельности в области связи на территории Российской Федерации и на находящихся под юрисдикцией Российской Федерации территориях, определяет полномочия органов государственной власти в области связи, а также права и обязанности лиц, участвующих в указанной деятельности или пользующихся услугами связи.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lastRenderedPageBreak/>
              <w:t>Федеральный закон «Об информации, информационных технологиях и о защите информации»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F057FB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Закон «Об информации, информационных технологиях и защите информации» определяет и закрепляет права на защиту информации и информационную безопасность граждан и организаций в ЭВМ и в информационных системах, а также вопросы информационной безопасности граждан, организаций, общества и государства. В законе дано правовое определение понятия «информация»: «информация — сведения (сообщения, данные) независимо от формы их представления».</w:t>
            </w:r>
          </w:p>
        </w:tc>
      </w:tr>
      <w:tr w:rsidR="007239BE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Федеральный закон «О банках и банковской деятельности»</w:t>
            </w:r>
          </w:p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CF5886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Безопасность информации, отнесенной к банковской тайне, обеспечивается в соответствии со статьей 26 Федерального закона «О банках и банковской деятельности»</w:t>
            </w:r>
          </w:p>
        </w:tc>
      </w:tr>
      <w:tr w:rsidR="00F057FB" w:rsidRPr="007239BE" w:rsidTr="00F057FB">
        <w:tc>
          <w:tcPr>
            <w:tcW w:w="4672" w:type="dxa"/>
          </w:tcPr>
          <w:p w:rsidR="00F057FB" w:rsidRPr="007239BE" w:rsidRDefault="00F057FB" w:rsidP="00CF5886">
            <w:pPr>
              <w:pStyle w:val="3"/>
              <w:shd w:val="clear" w:color="auto" w:fill="FFFFFF"/>
              <w:spacing w:before="300" w:beforeAutospacing="0" w:after="150" w:afterAutospacing="0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7239BE">
              <w:rPr>
                <w:b w:val="0"/>
                <w:bCs w:val="0"/>
                <w:sz w:val="28"/>
                <w:szCs w:val="28"/>
              </w:rPr>
              <w:t>Федеральный закон «Об электронной подписи»</w:t>
            </w:r>
          </w:p>
          <w:p w:rsidR="00F057FB" w:rsidRPr="007239BE" w:rsidRDefault="00F057FB" w:rsidP="00CF588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F057FB" w:rsidRPr="007239BE" w:rsidRDefault="00CF5886" w:rsidP="00F057FB">
            <w:pPr>
              <w:spacing w:line="360" w:lineRule="auto"/>
              <w:rPr>
                <w:sz w:val="28"/>
                <w:szCs w:val="28"/>
              </w:rPr>
            </w:pPr>
            <w:r w:rsidRPr="007239BE">
              <w:rPr>
                <w:sz w:val="28"/>
                <w:szCs w:val="28"/>
                <w:shd w:val="clear" w:color="auto" w:fill="FFFFFF"/>
              </w:rPr>
              <w:t>В Законе РФ от 6 апреля 2011 года №63-ФЗ «Об электронной подписи» прописаны условия использования ЭП, особенности её использования в сферах государственного управления и в корпоративной информационной системе.</w:t>
            </w:r>
          </w:p>
        </w:tc>
      </w:tr>
    </w:tbl>
    <w:p w:rsidR="00F057FB" w:rsidRPr="007239BE" w:rsidRDefault="00F057FB" w:rsidP="00F057FB">
      <w:pPr>
        <w:spacing w:line="360" w:lineRule="auto"/>
        <w:ind w:firstLine="709"/>
        <w:rPr>
          <w:sz w:val="28"/>
          <w:szCs w:val="28"/>
        </w:rPr>
      </w:pPr>
    </w:p>
    <w:p w:rsidR="007239BE" w:rsidRDefault="007239BE" w:rsidP="00F057FB">
      <w:pPr>
        <w:rPr>
          <w:sz w:val="28"/>
          <w:szCs w:val="28"/>
        </w:rPr>
      </w:pPr>
    </w:p>
    <w:p w:rsidR="00CF5886" w:rsidRPr="007239BE" w:rsidRDefault="00CF5886" w:rsidP="007239BE">
      <w:pPr>
        <w:rPr>
          <w:sz w:val="28"/>
          <w:szCs w:val="28"/>
        </w:rPr>
      </w:pPr>
      <w:r w:rsidRPr="007239BE">
        <w:rPr>
          <w:sz w:val="28"/>
          <w:szCs w:val="28"/>
        </w:rPr>
        <w:lastRenderedPageBreak/>
        <w:t>2.</w:t>
      </w:r>
      <w:r w:rsidR="007239BE">
        <w:rPr>
          <w:sz w:val="28"/>
          <w:szCs w:val="28"/>
        </w:rPr>
        <w:t xml:space="preserve"> </w:t>
      </w:r>
      <w:bookmarkStart w:id="0" w:name="_GoBack"/>
      <w:bookmarkEnd w:id="0"/>
      <w:r w:rsidRPr="007239BE">
        <w:rPr>
          <w:sz w:val="28"/>
          <w:szCs w:val="28"/>
        </w:rPr>
        <w:t>Федеральный закон «О коммерческой тайне»; Закон «Об архивном деле»; Федеральный закон «Об информации, информационных технологиях и о защите информации»; Федеральный закон «Об электронной подписи»</w:t>
      </w:r>
    </w:p>
    <w:p w:rsidR="006F2487" w:rsidRPr="007239BE" w:rsidRDefault="00CF5886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 xml:space="preserve">3. </w:t>
      </w:r>
      <w:r w:rsidR="006F2487" w:rsidRPr="007239BE">
        <w:rPr>
          <w:sz w:val="28"/>
          <w:szCs w:val="28"/>
        </w:rPr>
        <w:t>1) идентификация (т. е. присвоение индивидуального трудно подделываемого отличительного признака) той среды, из которой будет запускаться защищаемая программа;</w:t>
      </w:r>
    </w:p>
    <w:p w:rsidR="006F2487" w:rsidRPr="007239BE" w:rsidRDefault="006F2487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>2) аутентификация (опознавание) той среды, из которой поступает запрос на копирование защищаемой программы;</w:t>
      </w:r>
    </w:p>
    <w:p w:rsidR="006F2487" w:rsidRPr="007239BE" w:rsidRDefault="006F2487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>3) регистрация санкционированного копирования;</w:t>
      </w:r>
    </w:p>
    <w:p w:rsidR="006F2487" w:rsidRPr="007239BE" w:rsidRDefault="006F2487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>4) реагирование на попытки несанкционированного копирования;</w:t>
      </w:r>
    </w:p>
    <w:p w:rsidR="006F2487" w:rsidRPr="007239BE" w:rsidRDefault="006F2487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>5) противодействие изучению алгоритмов работы системы защиты.</w:t>
      </w:r>
    </w:p>
    <w:p w:rsidR="001B059C" w:rsidRPr="007239BE" w:rsidRDefault="001B059C" w:rsidP="006F2487">
      <w:pPr>
        <w:pStyle w:val="a6"/>
        <w:rPr>
          <w:sz w:val="28"/>
          <w:szCs w:val="28"/>
        </w:rPr>
      </w:pPr>
      <w:r w:rsidRPr="007239BE">
        <w:rPr>
          <w:sz w:val="28"/>
          <w:szCs w:val="28"/>
        </w:rPr>
        <w:t>Вывод: проделав данную работу я изучил документы о защите информации</w:t>
      </w:r>
    </w:p>
    <w:p w:rsidR="006F2487" w:rsidRPr="007239BE" w:rsidRDefault="006F2487" w:rsidP="006F2487">
      <w:pPr>
        <w:pStyle w:val="a6"/>
        <w:jc w:val="center"/>
        <w:rPr>
          <w:b/>
          <w:sz w:val="28"/>
          <w:szCs w:val="28"/>
        </w:rPr>
      </w:pPr>
      <w:r w:rsidRPr="007239BE">
        <w:rPr>
          <w:b/>
          <w:sz w:val="28"/>
          <w:szCs w:val="28"/>
        </w:rPr>
        <w:t>Контрольные вопросы: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1) Правовой, технический, криптографический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2) Машинные носители информации, системы связи и передачи данных.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3) Организационный, правовой технический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4) Конфиденциальность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5) Целостность, обоснованность доступа, разгран</w:t>
      </w:r>
      <w:r w:rsidR="006447D4" w:rsidRPr="007239BE">
        <w:rPr>
          <w:sz w:val="28"/>
          <w:szCs w:val="28"/>
        </w:rPr>
        <w:t xml:space="preserve">ичение потоков </w:t>
      </w:r>
      <w:proofErr w:type="spellStart"/>
      <w:r w:rsidR="006447D4" w:rsidRPr="007239BE">
        <w:rPr>
          <w:sz w:val="28"/>
          <w:szCs w:val="28"/>
        </w:rPr>
        <w:t>поступаемой</w:t>
      </w:r>
      <w:proofErr w:type="spellEnd"/>
      <w:r w:rsidR="006447D4" w:rsidRPr="007239BE">
        <w:rPr>
          <w:sz w:val="28"/>
          <w:szCs w:val="28"/>
        </w:rPr>
        <w:t xml:space="preserve"> информации.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 xml:space="preserve">6) </w:t>
      </w:r>
      <w:r w:rsidRPr="007239BE">
        <w:rPr>
          <w:sz w:val="28"/>
          <w:szCs w:val="28"/>
          <w:shd w:val="clear" w:color="auto" w:fill="FFFFFF"/>
        </w:rPr>
        <w:t>Обеспечение высокого уровня безопасности, Наличие систем контроля за общим доступом 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7) Политика безопасности -  нормы и правила для обеспечения мер безопасности.</w:t>
      </w:r>
    </w:p>
    <w:p w:rsidR="001B059C" w:rsidRPr="007239BE" w:rsidRDefault="001B059C" w:rsidP="001B059C">
      <w:pPr>
        <w:tabs>
          <w:tab w:val="left" w:pos="1877"/>
        </w:tabs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 xml:space="preserve">   Требования к плану защиты:</w:t>
      </w:r>
    </w:p>
    <w:p w:rsidR="00CF5886" w:rsidRPr="007239BE" w:rsidRDefault="001B059C" w:rsidP="001B059C">
      <w:pPr>
        <w:spacing w:line="360" w:lineRule="auto"/>
        <w:jc w:val="both"/>
        <w:rPr>
          <w:sz w:val="28"/>
          <w:szCs w:val="28"/>
        </w:rPr>
      </w:pPr>
      <w:r w:rsidRPr="007239BE">
        <w:rPr>
          <w:sz w:val="28"/>
          <w:szCs w:val="28"/>
        </w:rPr>
        <w:t>Анализ рисков, мониторинг защиты, выбор решения</w:t>
      </w:r>
    </w:p>
    <w:p w:rsidR="00CF5886" w:rsidRPr="007239BE" w:rsidRDefault="00CF5886" w:rsidP="00F057FB"/>
    <w:sectPr w:rsidR="00CF5886" w:rsidRPr="0072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34B0D"/>
    <w:multiLevelType w:val="hybridMultilevel"/>
    <w:tmpl w:val="F51CE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2440A54"/>
    <w:multiLevelType w:val="multilevel"/>
    <w:tmpl w:val="D2E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7B1B"/>
    <w:multiLevelType w:val="hybridMultilevel"/>
    <w:tmpl w:val="9336FAE0"/>
    <w:lvl w:ilvl="0" w:tplc="39803D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232074"/>
    <w:multiLevelType w:val="hybridMultilevel"/>
    <w:tmpl w:val="993ADF80"/>
    <w:lvl w:ilvl="0" w:tplc="C160F27E">
      <w:start w:val="1"/>
      <w:numFmt w:val="decimal"/>
      <w:lvlText w:val="%1."/>
      <w:lvlJc w:val="left"/>
      <w:pPr>
        <w:ind w:left="1876" w:hanging="70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4BE60A6A">
      <w:numFmt w:val="bullet"/>
      <w:lvlText w:val="•"/>
      <w:lvlJc w:val="left"/>
      <w:pPr>
        <w:ind w:left="2782" w:hanging="708"/>
      </w:pPr>
      <w:rPr>
        <w:lang w:val="ru-RU" w:eastAsia="ru-RU" w:bidi="ru-RU"/>
      </w:rPr>
    </w:lvl>
    <w:lvl w:ilvl="2" w:tplc="F52AF3D8">
      <w:numFmt w:val="bullet"/>
      <w:lvlText w:val="•"/>
      <w:lvlJc w:val="left"/>
      <w:pPr>
        <w:ind w:left="3685" w:hanging="708"/>
      </w:pPr>
      <w:rPr>
        <w:lang w:val="ru-RU" w:eastAsia="ru-RU" w:bidi="ru-RU"/>
      </w:rPr>
    </w:lvl>
    <w:lvl w:ilvl="3" w:tplc="697E7F0A">
      <w:numFmt w:val="bullet"/>
      <w:lvlText w:val="•"/>
      <w:lvlJc w:val="left"/>
      <w:pPr>
        <w:ind w:left="4587" w:hanging="708"/>
      </w:pPr>
      <w:rPr>
        <w:lang w:val="ru-RU" w:eastAsia="ru-RU" w:bidi="ru-RU"/>
      </w:rPr>
    </w:lvl>
    <w:lvl w:ilvl="4" w:tplc="477E2938">
      <w:numFmt w:val="bullet"/>
      <w:lvlText w:val="•"/>
      <w:lvlJc w:val="left"/>
      <w:pPr>
        <w:ind w:left="5490" w:hanging="708"/>
      </w:pPr>
      <w:rPr>
        <w:lang w:val="ru-RU" w:eastAsia="ru-RU" w:bidi="ru-RU"/>
      </w:rPr>
    </w:lvl>
    <w:lvl w:ilvl="5" w:tplc="A37C4A48">
      <w:numFmt w:val="bullet"/>
      <w:lvlText w:val="•"/>
      <w:lvlJc w:val="left"/>
      <w:pPr>
        <w:ind w:left="6393" w:hanging="708"/>
      </w:pPr>
      <w:rPr>
        <w:lang w:val="ru-RU" w:eastAsia="ru-RU" w:bidi="ru-RU"/>
      </w:rPr>
    </w:lvl>
    <w:lvl w:ilvl="6" w:tplc="103294BC">
      <w:numFmt w:val="bullet"/>
      <w:lvlText w:val="•"/>
      <w:lvlJc w:val="left"/>
      <w:pPr>
        <w:ind w:left="7295" w:hanging="708"/>
      </w:pPr>
      <w:rPr>
        <w:lang w:val="ru-RU" w:eastAsia="ru-RU" w:bidi="ru-RU"/>
      </w:rPr>
    </w:lvl>
    <w:lvl w:ilvl="7" w:tplc="611490A4">
      <w:numFmt w:val="bullet"/>
      <w:lvlText w:val="•"/>
      <w:lvlJc w:val="left"/>
      <w:pPr>
        <w:ind w:left="8198" w:hanging="708"/>
      </w:pPr>
      <w:rPr>
        <w:lang w:val="ru-RU" w:eastAsia="ru-RU" w:bidi="ru-RU"/>
      </w:rPr>
    </w:lvl>
    <w:lvl w:ilvl="8" w:tplc="6E867832">
      <w:numFmt w:val="bullet"/>
      <w:lvlText w:val="•"/>
      <w:lvlJc w:val="left"/>
      <w:pPr>
        <w:ind w:left="9101" w:hanging="708"/>
      </w:pPr>
      <w:rPr>
        <w:lang w:val="ru-RU" w:eastAsia="ru-RU" w:bidi="ru-RU"/>
      </w:rPr>
    </w:lvl>
  </w:abstractNum>
  <w:abstractNum w:abstractNumId="4" w15:restartNumberingAfterBreak="0">
    <w:nsid w:val="6AC13389"/>
    <w:multiLevelType w:val="hybridMultilevel"/>
    <w:tmpl w:val="ABE85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428F"/>
    <w:multiLevelType w:val="multilevel"/>
    <w:tmpl w:val="73E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A111D"/>
    <w:multiLevelType w:val="multilevel"/>
    <w:tmpl w:val="53EC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05"/>
    <w:rsid w:val="00066BED"/>
    <w:rsid w:val="00106047"/>
    <w:rsid w:val="001A2618"/>
    <w:rsid w:val="001B059C"/>
    <w:rsid w:val="003A2E05"/>
    <w:rsid w:val="006447D4"/>
    <w:rsid w:val="006F2487"/>
    <w:rsid w:val="007239BE"/>
    <w:rsid w:val="00B16729"/>
    <w:rsid w:val="00B96A18"/>
    <w:rsid w:val="00CF5886"/>
    <w:rsid w:val="00D85AEB"/>
    <w:rsid w:val="00F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0B34"/>
  <w15:chartTrackingRefBased/>
  <w15:docId w15:val="{E71D05F6-DEE4-413E-B6D4-47C2618A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057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3">
    <w:name w:val="heading 3"/>
    <w:basedOn w:val="a"/>
    <w:link w:val="30"/>
    <w:uiPriority w:val="9"/>
    <w:qFormat/>
    <w:rsid w:val="00F057FB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57FB"/>
    <w:pPr>
      <w:ind w:left="46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057F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F0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057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6F248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1"/>
    <w:qFormat/>
    <w:rsid w:val="006F2487"/>
    <w:pPr>
      <w:ind w:left="720"/>
      <w:contextualSpacing/>
    </w:pPr>
  </w:style>
  <w:style w:type="character" w:styleId="a8">
    <w:name w:val="Strong"/>
    <w:basedOn w:val="a0"/>
    <w:uiPriority w:val="22"/>
    <w:qFormat/>
    <w:rsid w:val="006F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2021-04-27T03:53:00Z</dcterms:created>
  <dcterms:modified xsi:type="dcterms:W3CDTF">2021-06-08T03:42:00Z</dcterms:modified>
</cp:coreProperties>
</file>