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8F" w:rsidRDefault="00453A8F" w:rsidP="00453A8F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8535E5" w:rsidRPr="00453A8F" w:rsidRDefault="008535E5" w:rsidP="00453A8F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53A8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Создатель кибернетики </w:t>
      </w:r>
      <w:proofErr w:type="spellStart"/>
      <w:r w:rsidRPr="00453A8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Норберт</w:t>
      </w:r>
      <w:proofErr w:type="spellEnd"/>
      <w:r w:rsidRPr="00453A8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Винер полагал, что информация обладает уникальными характеристиками и ее нельзя отнести ни к энергии, ни к материи. Особый статус информации как явления породил множество определений.</w:t>
      </w:r>
    </w:p>
    <w:p w:rsidR="008535E5" w:rsidRPr="00453A8F" w:rsidRDefault="008535E5" w:rsidP="00453A8F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53A8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 </w:t>
      </w:r>
      <w:hyperlink r:id="rId7" w:tgtFrame="_blank" w:history="1">
        <w:r w:rsidRPr="00453A8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словаре стандарта ISO/IEC 2382:2015</w:t>
        </w:r>
      </w:hyperlink>
      <w:r w:rsidRPr="00453A8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«Информационные технологии» приводится такая трактовка:</w:t>
      </w:r>
      <w:r w:rsidRPr="00453A8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:rsidR="008535E5" w:rsidRPr="00453A8F" w:rsidRDefault="008535E5" w:rsidP="00453A8F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53A8F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Информация (в области обработки информации</w:t>
      </w:r>
      <w:r w:rsidRPr="00453A8F">
        <w:rPr>
          <w:rFonts w:ascii="Times New Roman" w:hAnsi="Times New Roman" w:cs="Times New Roman"/>
          <w:b/>
          <w:i/>
          <w:color w:val="auto"/>
          <w:sz w:val="28"/>
          <w:szCs w:val="28"/>
        </w:rPr>
        <w:t>)</w:t>
      </w:r>
      <w:r w:rsidRPr="00453A8F">
        <w:rPr>
          <w:rFonts w:ascii="Times New Roman" w:hAnsi="Times New Roman" w:cs="Times New Roman"/>
          <w:color w:val="auto"/>
          <w:sz w:val="28"/>
          <w:szCs w:val="28"/>
        </w:rPr>
        <w:t> – любые данные, представленные в электронной форме, написанные на бумаге, высказанные на совещании или находящиеся на любом другом носителе, используемые финансовым учреждением для принятия решений, перемещения денежных средств, установления ставок, предоставления ссуд, обработки операций и т.п., включая компоненты программного обеспечения системы обработки.</w:t>
      </w:r>
    </w:p>
    <w:p w:rsidR="008535E5" w:rsidRPr="008535E5" w:rsidRDefault="008535E5" w:rsidP="00453A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разработки концепции обеспечения информационной безопасности (ИБ) под </w:t>
      </w:r>
      <w:r w:rsidRPr="008535E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информацией</w:t>
      </w:r>
      <w:r w:rsidRPr="008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понимают сведения, которые доступны для сбора, хранения, обработки (редактирования, преобразования), использования и передачи различными способами, в том числе в компьютерных сетях и других информационных системах.</w:t>
      </w:r>
    </w:p>
    <w:p w:rsidR="008535E5" w:rsidRPr="008535E5" w:rsidRDefault="008535E5" w:rsidP="00453A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5E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сведения обладают высокой ценностью и могут стать объектами посягательств со стороны третьих лиц. Стремление оградить информацию от угроз лежит в основе создания систем информационной безопасности.</w:t>
      </w:r>
    </w:p>
    <w:p w:rsidR="00CD6987" w:rsidRPr="00453A8F" w:rsidRDefault="00CD6987" w:rsidP="00453A8F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3A8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Правовая основа</w:t>
      </w:r>
    </w:p>
    <w:p w:rsidR="00CD6987" w:rsidRPr="00453A8F" w:rsidRDefault="00CD6987" w:rsidP="00453A8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53A8F">
        <w:rPr>
          <w:sz w:val="28"/>
          <w:szCs w:val="28"/>
        </w:rPr>
        <w:t>В декабре 201</w:t>
      </w:r>
      <w:r w:rsidR="00887FFC" w:rsidRPr="00453A8F">
        <w:rPr>
          <w:sz w:val="28"/>
          <w:szCs w:val="28"/>
        </w:rPr>
        <w:t>6</w:t>
      </w:r>
      <w:r w:rsidRPr="00453A8F">
        <w:rPr>
          <w:sz w:val="28"/>
          <w:szCs w:val="28"/>
        </w:rPr>
        <w:t xml:space="preserve"> года в России принята </w:t>
      </w:r>
      <w:hyperlink r:id="rId8" w:tgtFrame="_blank" w:history="1">
        <w:r w:rsidRPr="00453A8F">
          <w:rPr>
            <w:rStyle w:val="aa"/>
            <w:color w:val="auto"/>
            <w:sz w:val="28"/>
            <w:szCs w:val="28"/>
            <w:u w:val="none"/>
          </w:rPr>
          <w:t>новая редакция</w:t>
        </w:r>
      </w:hyperlink>
      <w:r w:rsidRPr="00453A8F">
        <w:rPr>
          <w:sz w:val="28"/>
          <w:szCs w:val="28"/>
        </w:rPr>
        <w:t> Доктрины информационной безопасности. В документ</w:t>
      </w:r>
      <w:r w:rsidR="00B85030">
        <w:rPr>
          <w:sz w:val="28"/>
          <w:szCs w:val="28"/>
        </w:rPr>
        <w:t>е</w:t>
      </w:r>
      <w:r w:rsidRPr="00453A8F">
        <w:rPr>
          <w:sz w:val="28"/>
          <w:szCs w:val="28"/>
        </w:rPr>
        <w:t xml:space="preserve"> ИБ определена как состояние защищенности национальных интересов в информационной сфере. Под национальными интересами в данном случае </w:t>
      </w:r>
      <w:r w:rsidRPr="00B85030">
        <w:rPr>
          <w:i/>
          <w:sz w:val="28"/>
          <w:szCs w:val="28"/>
        </w:rPr>
        <w:t>понимается совокупность интересов общества, личности и государства, каждая группа интересов необходима для стабильного функционирования социума.</w:t>
      </w:r>
    </w:p>
    <w:p w:rsidR="00CD6987" w:rsidRPr="00453A8F" w:rsidRDefault="00CD6987" w:rsidP="00453A8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453A8F">
        <w:rPr>
          <w:sz w:val="28"/>
          <w:szCs w:val="28"/>
        </w:rPr>
        <w:t>Доктрина</w:t>
      </w:r>
      <w:bookmarkEnd w:id="0"/>
      <w:r w:rsidRPr="00453A8F">
        <w:rPr>
          <w:sz w:val="28"/>
          <w:szCs w:val="28"/>
        </w:rPr>
        <w:t xml:space="preserve"> – концептуальный документ. Правоотношения, связанные с обеспечением информационной безопасности, регулируются федеральными </w:t>
      </w:r>
      <w:r w:rsidRPr="00453A8F">
        <w:rPr>
          <w:sz w:val="28"/>
          <w:szCs w:val="28"/>
        </w:rPr>
        <w:lastRenderedPageBreak/>
        <w:t>законами «О государственной тайне», «Об информации», «О защите персональных данных» и другими. На базе основополагающих нормативных актов разрабатываются постановления правительства и ведомственные нормативные акты, посвященные частным вопросам защиты информации.</w:t>
      </w:r>
    </w:p>
    <w:p w:rsidR="00CD6987" w:rsidRPr="00453A8F" w:rsidRDefault="00CD6987" w:rsidP="00453A8F">
      <w:pPr>
        <w:pStyle w:val="1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3A8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Особые задачи новой Доктрины информационной безопасности РФ</w:t>
      </w:r>
    </w:p>
    <w:p w:rsidR="00FF38C7" w:rsidRPr="00453A8F" w:rsidRDefault="00CD6987" w:rsidP="0045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98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Президент Российской Федерации Владимир Путин подписал указ об утверждении новой редакции Доктрины информационной безопасности. Указ вступает в силу с момента его подписания, при этом Доктрина от 2000 года признается утратившей силу.</w:t>
      </w:r>
    </w:p>
    <w:p w:rsidR="00FF38C7" w:rsidRPr="00453A8F" w:rsidRDefault="00CD6987" w:rsidP="0045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98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Главными угрозами в новом документе признаны воздействие иностранных государств и «размывание духовно-нравственных ценностей». Как отмечают эксперты, изменения в Доктрине вызваны в основном политическими причинами – в частности, как ответная мера недавно принятой Европарламентом резолюции о противодействии «российской пропаганде».</w:t>
      </w:r>
    </w:p>
    <w:p w:rsidR="00CD6987" w:rsidRPr="00CD6987" w:rsidRDefault="00CD6987" w:rsidP="0045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98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«Доктрина информационной безопасности РФ была существенно переработана. Теперь она более конкретная, директивная и емкая. В документе выделяются три глобальные стратегические задачи:</w:t>
      </w:r>
    </w:p>
    <w:p w:rsidR="00CD6987" w:rsidRPr="00CD6987" w:rsidRDefault="00CD6987" w:rsidP="00453A8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98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 вынесена проблема недостаточного развития отрасли информационных технологий, сильная зависимость от иностранных продуктов и разработок. Доктрина призывает принять все необходимые меры, чтобы минимизировать влияние иностранных игроков.</w:t>
      </w:r>
    </w:p>
    <w:p w:rsidR="00CD6987" w:rsidRPr="00CD6987" w:rsidRDefault="00CD6987" w:rsidP="00453A8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9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доктрине 2000 года упор делался на обеспечение свободного доступа любого гражданина к информационным ресурсам и технологиям связи. В новой редакции – на обеспечение безопасности взаимодействия людей с информационным пространством. Четко описывается стратегия обеспечения личной безопасности от технических угроз.</w:t>
      </w:r>
    </w:p>
    <w:p w:rsidR="00CD6987" w:rsidRPr="00CD6987" w:rsidRDefault="00CD6987" w:rsidP="00453A8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9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момент – стратегия обеспечения информационной безопасности РФ в глобальной сети. В новой доктрине сделан акцент на правдивом донесении информации о нашей стране, описан комплекс мер по соблюдению и достижению национальных интересов РФ в интернете, а также </w:t>
      </w:r>
      <w:r w:rsidRPr="00CD69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 обеспечению и защите конституционных прав граждан в цифровом пространстве. Заметно акцентировано внимание на противодействии «промывке мозгов» террористическими организациями и </w:t>
      </w:r>
      <w:proofErr w:type="spellStart"/>
      <w:r w:rsidRPr="00CD6987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киберпреступлениям</w:t>
      </w:r>
      <w:proofErr w:type="spellEnd"/>
      <w:r w:rsidRPr="00CD69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кредитно-финансовой сфере.</w:t>
      </w:r>
    </w:p>
    <w:p w:rsidR="00143A05" w:rsidRPr="00453A8F" w:rsidRDefault="00CD6987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целом, документ отражает реалии и вопросы, стоящие перед Россией на ближайшее будущее».</w:t>
      </w:r>
    </w:p>
    <w:p w:rsidR="00735C69" w:rsidRPr="00453A8F" w:rsidRDefault="00735C69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A8F">
        <w:rPr>
          <w:rFonts w:ascii="Times New Roman" w:hAnsi="Times New Roman" w:cs="Times New Roman"/>
          <w:b/>
          <w:sz w:val="28"/>
          <w:szCs w:val="28"/>
        </w:rPr>
        <w:t>Определение информационной безопасности</w:t>
      </w:r>
    </w:p>
    <w:p w:rsidR="00735C69" w:rsidRPr="00453A8F" w:rsidRDefault="00735C69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Прежде чем разрабатывать стратегию информационной безопасности, необходимо принять базовое определение самого понятия, которое позволит применять определенный набор способов и методов защиты.</w:t>
      </w:r>
    </w:p>
    <w:p w:rsidR="00735C69" w:rsidRPr="00453A8F" w:rsidRDefault="00735C69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 xml:space="preserve">Практики отрасли предлагают понимать под </w:t>
      </w:r>
      <w:r w:rsidRPr="00453A8F">
        <w:rPr>
          <w:rFonts w:ascii="Times New Roman" w:hAnsi="Times New Roman" w:cs="Times New Roman"/>
          <w:b/>
          <w:i/>
          <w:sz w:val="28"/>
          <w:szCs w:val="28"/>
        </w:rPr>
        <w:t>информационной безопасностью</w:t>
      </w:r>
      <w:r w:rsidRPr="00453A8F">
        <w:rPr>
          <w:rFonts w:ascii="Times New Roman" w:hAnsi="Times New Roman" w:cs="Times New Roman"/>
          <w:sz w:val="28"/>
          <w:szCs w:val="28"/>
        </w:rPr>
        <w:t xml:space="preserve"> стабильное состояние защищенности информации, ее носителей и инфраструктуры, которая обеспечивает целостность и устойчивость процессов, связанных с информацией, к намеренным или непреднамеренным воздействиям естественного и искусственного характера. Воздействия классифицируются в виде угроз ИБ, которые могут нанести ущерб субъектам информационных отношений.</w:t>
      </w:r>
    </w:p>
    <w:p w:rsidR="00017BDC" w:rsidRPr="00453A8F" w:rsidRDefault="00017BDC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 xml:space="preserve">Таким образом, под </w:t>
      </w:r>
      <w:r w:rsidRPr="00453A8F">
        <w:rPr>
          <w:rFonts w:ascii="Times New Roman" w:hAnsi="Times New Roman" w:cs="Times New Roman"/>
          <w:b/>
          <w:i/>
          <w:sz w:val="28"/>
          <w:szCs w:val="28"/>
        </w:rPr>
        <w:t>защитой информации</w:t>
      </w:r>
      <w:r w:rsidRPr="00453A8F">
        <w:rPr>
          <w:rFonts w:ascii="Times New Roman" w:hAnsi="Times New Roman" w:cs="Times New Roman"/>
          <w:sz w:val="28"/>
          <w:szCs w:val="28"/>
        </w:rPr>
        <w:t xml:space="preserve"> будет пониматься комплекс правовых, административных, организационных и технических мер, направленных на предотвращение реальных или предполагаемых ИБ-угроз, а также на устранение последствий инцидентов. </w:t>
      </w:r>
    </w:p>
    <w:p w:rsidR="00017BDC" w:rsidRPr="00453A8F" w:rsidRDefault="00017BDC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Непрерывность процесса защиты информации должна гарантировать борьбу с угрозами на всех этапах информационного цикла: в процессе сбора, хранения, обработки, использования и передачи информации.</w:t>
      </w:r>
    </w:p>
    <w:p w:rsidR="00FC20D0" w:rsidRPr="00453A8F" w:rsidRDefault="00017BDC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Информационная безопасность в этом понимании становится одной из характеристик работоспособности системы. В каждый момент времени система должна обладать измеряемым уровнем защищенности, и обеспечение безопасности системы должно быть непрерывным процессом, которые осуществляется на всех временных отрезках в период жизни системы.</w:t>
      </w:r>
    </w:p>
    <w:p w:rsidR="00FC20D0" w:rsidRPr="00453A8F" w:rsidRDefault="00FC20D0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2A47" w:rsidRPr="00453A8F" w:rsidRDefault="007E2A47" w:rsidP="00453A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A8F">
        <w:rPr>
          <w:rFonts w:ascii="Times New Roman" w:hAnsi="Times New Roman" w:cs="Times New Roman"/>
          <w:b/>
          <w:sz w:val="28"/>
          <w:szCs w:val="28"/>
        </w:rPr>
        <w:lastRenderedPageBreak/>
        <w:t>Составляющие ИБ</w:t>
      </w:r>
    </w:p>
    <w:p w:rsidR="007E2A47" w:rsidRPr="00453A8F" w:rsidRDefault="007E2A47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8DD39" wp14:editId="19AB926D">
            <wp:extent cx="5454503" cy="1282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866" cy="12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47" w:rsidRPr="00453A8F" w:rsidRDefault="007E2A47" w:rsidP="00453A8F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53A8F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Обеспечение информационной безопасности в большинстве случаев связано с комплексным решением трех задач являющимися равнозначными составляющими информационной безопасности.</w:t>
      </w:r>
    </w:p>
    <w:p w:rsidR="007E2A47" w:rsidRPr="00453A8F" w:rsidRDefault="007E2A47" w:rsidP="00453A8F">
      <w:pPr>
        <w:pStyle w:val="4"/>
        <w:keepNext w:val="0"/>
        <w:keepLines w:val="0"/>
        <w:numPr>
          <w:ilvl w:val="0"/>
          <w:numId w:val="4"/>
        </w:numPr>
        <w:shd w:val="clear" w:color="auto" w:fill="FFFFFF"/>
        <w:spacing w:before="0" w:line="360" w:lineRule="auto"/>
        <w:ind w:left="0" w:firstLine="709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453A8F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обеспечением доступности информации;</w:t>
      </w:r>
    </w:p>
    <w:p w:rsidR="007E2A47" w:rsidRPr="00453A8F" w:rsidRDefault="007E2A47" w:rsidP="00453A8F">
      <w:pPr>
        <w:pStyle w:val="4"/>
        <w:keepNext w:val="0"/>
        <w:keepLines w:val="0"/>
        <w:numPr>
          <w:ilvl w:val="0"/>
          <w:numId w:val="4"/>
        </w:numPr>
        <w:shd w:val="clear" w:color="auto" w:fill="FFFFFF"/>
        <w:spacing w:before="0" w:line="360" w:lineRule="auto"/>
        <w:ind w:left="0" w:firstLine="709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453A8F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обеспечением целостности информации;</w:t>
      </w:r>
    </w:p>
    <w:p w:rsidR="00453A8F" w:rsidRPr="00453A8F" w:rsidRDefault="007E2A47" w:rsidP="00453A8F">
      <w:pPr>
        <w:pStyle w:val="4"/>
        <w:keepNext w:val="0"/>
        <w:keepLines w:val="0"/>
        <w:numPr>
          <w:ilvl w:val="0"/>
          <w:numId w:val="4"/>
        </w:numPr>
        <w:shd w:val="clear" w:color="auto" w:fill="FFFFFF"/>
        <w:spacing w:before="0" w:line="360" w:lineRule="auto"/>
        <w:ind w:left="0" w:firstLine="709"/>
        <w:jc w:val="both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453A8F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обеспечением конфиденциальности информации.</w:t>
      </w:r>
    </w:p>
    <w:p w:rsidR="00453A8F" w:rsidRPr="00453A8F" w:rsidRDefault="006A0AB0" w:rsidP="00453A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A8F">
        <w:rPr>
          <w:rFonts w:ascii="Times New Roman" w:hAnsi="Times New Roman" w:cs="Times New Roman"/>
          <w:b/>
          <w:sz w:val="28"/>
          <w:szCs w:val="28"/>
        </w:rPr>
        <w:t>Доступность информации</w:t>
      </w:r>
    </w:p>
    <w:p w:rsidR="007E2A47" w:rsidRPr="00453A8F" w:rsidRDefault="007E2A47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Роль доступности информации особенно проявляется в разного рода системах управления – производством, транспортом и т.п.</w:t>
      </w:r>
    </w:p>
    <w:p w:rsidR="00453A8F" w:rsidRDefault="00017BDC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b/>
          <w:i/>
          <w:sz w:val="28"/>
          <w:szCs w:val="28"/>
        </w:rPr>
        <w:t>Доступность информации</w:t>
      </w:r>
      <w:r w:rsidRPr="00453A8F">
        <w:rPr>
          <w:rFonts w:ascii="Times New Roman" w:hAnsi="Times New Roman" w:cs="Times New Roman"/>
          <w:sz w:val="28"/>
          <w:szCs w:val="28"/>
        </w:rPr>
        <w:t xml:space="preserve"> — состояние информации (ресурсов автоматизированной информационной системы), при котором субъекты, имеющие права доступа, могут реализовывать их беспрепятственно. К правам доступа относятся: право на чтение, изменение, хранение, копирование, уничтожение информации, а также права на изменение, использование, уничтожение ресурсов</w:t>
      </w:r>
    </w:p>
    <w:p w:rsidR="00453A8F" w:rsidRDefault="007E2A47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3A8F">
        <w:rPr>
          <w:rStyle w:val="a4"/>
          <w:rFonts w:ascii="Times New Roman" w:hAnsi="Times New Roman" w:cs="Times New Roman"/>
          <w:bCs w:val="0"/>
          <w:sz w:val="28"/>
          <w:szCs w:val="28"/>
        </w:rPr>
        <w:t>Доступность</w:t>
      </w:r>
      <w:r w:rsidRPr="00453A8F">
        <w:rPr>
          <w:rFonts w:ascii="Times New Roman" w:hAnsi="Times New Roman" w:cs="Times New Roman"/>
          <w:bCs/>
          <w:sz w:val="28"/>
          <w:szCs w:val="28"/>
        </w:rPr>
        <w:t> – это гарантия получения требуемой информации или информационной услуги пользователем за определенное время.</w:t>
      </w:r>
    </w:p>
    <w:p w:rsidR="007E2A47" w:rsidRPr="00453A8F" w:rsidRDefault="007E2A47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3A8F">
        <w:rPr>
          <w:rFonts w:ascii="Times New Roman" w:hAnsi="Times New Roman" w:cs="Times New Roman"/>
          <w:bCs/>
          <w:sz w:val="28"/>
          <w:szCs w:val="28"/>
        </w:rPr>
        <w:t xml:space="preserve">Фактор времени в определении доступности информации в ряде случаев является очень важным, поскольку некоторые виды информации и информационных услуг имеют смысл только в определенный промежуток времени. </w:t>
      </w:r>
      <w:r w:rsidR="009F33A6" w:rsidRPr="00453A8F">
        <w:rPr>
          <w:rFonts w:ascii="Times New Roman" w:hAnsi="Times New Roman" w:cs="Times New Roman"/>
          <w:bCs/>
          <w:sz w:val="28"/>
          <w:szCs w:val="28"/>
        </w:rPr>
        <w:t>(</w:t>
      </w:r>
      <w:r w:rsidRPr="00453A8F">
        <w:rPr>
          <w:rFonts w:ascii="Times New Roman" w:hAnsi="Times New Roman" w:cs="Times New Roman"/>
          <w:bCs/>
          <w:sz w:val="28"/>
          <w:szCs w:val="28"/>
        </w:rPr>
        <w:t>получение заранее заказанного билета на самолет после его вылета теряет всякий смысл. Точно также получение прогноза погоды на вчерашний день не имеет никакого смысла, поскольку это событие уже наступило</w:t>
      </w:r>
      <w:r w:rsidR="009F33A6" w:rsidRPr="00453A8F">
        <w:rPr>
          <w:rFonts w:ascii="Times New Roman" w:hAnsi="Times New Roman" w:cs="Times New Roman"/>
          <w:bCs/>
          <w:sz w:val="28"/>
          <w:szCs w:val="28"/>
        </w:rPr>
        <w:t>)</w:t>
      </w:r>
    </w:p>
    <w:p w:rsidR="006A0AB0" w:rsidRPr="00453A8F" w:rsidRDefault="006A0AB0" w:rsidP="00453A8F">
      <w:pPr>
        <w:pStyle w:val="4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453A8F"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lastRenderedPageBreak/>
        <w:t>Целостность информации</w:t>
      </w:r>
    </w:p>
    <w:p w:rsidR="006A0AB0" w:rsidRPr="00453A8F" w:rsidRDefault="006A0AB0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Под целостностью подразумевается актуальность и непротиворечивость информации, ее защищенность от разрушения и несанкционированного изменения.</w:t>
      </w:r>
    </w:p>
    <w:p w:rsidR="006A0AB0" w:rsidRPr="00453A8F" w:rsidRDefault="006A0AB0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Целостность информации условно подразделяется на статическую и динамическую. </w:t>
      </w:r>
    </w:p>
    <w:p w:rsidR="0063049C" w:rsidRPr="00453A8F" w:rsidRDefault="006A0AB0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Статическая целостность информации предполагает неизменность информационных объектов от их исходного состояния, определяемого автором или источником информации</w:t>
      </w:r>
      <w:r w:rsidR="0063049C" w:rsidRPr="00453A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AB0" w:rsidRPr="00453A8F" w:rsidRDefault="006A0AB0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Динамическая целостность информации включает вопросы корректного выполнения сложных действий с информационными потоками, например, анализ потока сообщений для выявления некорректных, контроль правильности передачи сообщений, подтверждение отдельных сообщений и др.</w:t>
      </w:r>
      <w:r w:rsidR="0063049C" w:rsidRPr="00453A8F">
        <w:rPr>
          <w:rFonts w:ascii="Times New Roman" w:hAnsi="Times New Roman" w:cs="Times New Roman"/>
          <w:sz w:val="28"/>
          <w:szCs w:val="28"/>
        </w:rPr>
        <w:t xml:space="preserve"> </w:t>
      </w:r>
      <w:r w:rsidRPr="00453A8F">
        <w:rPr>
          <w:rFonts w:ascii="Times New Roman" w:hAnsi="Times New Roman" w:cs="Times New Roman"/>
          <w:sz w:val="28"/>
          <w:szCs w:val="28"/>
        </w:rPr>
        <w:t xml:space="preserve">Целостность является важнейшим аспектом информационной безопасности в тех случаях, когда информация используется для управления различными процессами, например, </w:t>
      </w:r>
      <w:r w:rsidR="00127187" w:rsidRPr="00453A8F">
        <w:rPr>
          <w:rFonts w:ascii="Times New Roman" w:hAnsi="Times New Roman" w:cs="Times New Roman"/>
          <w:sz w:val="28"/>
          <w:szCs w:val="28"/>
        </w:rPr>
        <w:t>техническими, социальными и т.д. (рецептура лекарств, предписанные медицинские процедуры, набор и характеристики комплектующих изделий, ход технологического процесса – все это примеры информации, нарушение целостности которой может оказаться в буквальном смысле смертельным)</w:t>
      </w:r>
    </w:p>
    <w:p w:rsidR="00143A05" w:rsidRPr="00453A8F" w:rsidRDefault="00143A05" w:rsidP="00453A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A8F">
        <w:rPr>
          <w:rFonts w:ascii="Times New Roman" w:hAnsi="Times New Roman" w:cs="Times New Roman"/>
          <w:b/>
          <w:sz w:val="28"/>
          <w:szCs w:val="28"/>
        </w:rPr>
        <w:t>Конфиденциальность</w:t>
      </w:r>
    </w:p>
    <w:p w:rsidR="00143A05" w:rsidRPr="00453A8F" w:rsidRDefault="00143A05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Конфиденциальность – это защита от несанкционированного доступа к информации.</w:t>
      </w:r>
    </w:p>
    <w:p w:rsidR="00453A8F" w:rsidRDefault="00143A05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Конфиденциальная информация есть практически во всех организациях. Это может быть технология производства, программный продукт, анкетные данные сотрудников и др. Применительно к вычислительным системам в обязательном порядке конфиденциальными данными являются пароли для доступа к системе.</w:t>
      </w:r>
    </w:p>
    <w:p w:rsidR="00453A8F" w:rsidRPr="00453A8F" w:rsidRDefault="00143A05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bCs/>
          <w:sz w:val="28"/>
          <w:szCs w:val="28"/>
        </w:rPr>
        <w:t xml:space="preserve">Нарушение каждой из трех категорий приводит к нарушению информационной безопасности в целом. Так, нарушение доступности </w:t>
      </w:r>
      <w:r w:rsidRPr="00453A8F">
        <w:rPr>
          <w:rFonts w:ascii="Times New Roman" w:hAnsi="Times New Roman" w:cs="Times New Roman"/>
          <w:bCs/>
          <w:sz w:val="28"/>
          <w:szCs w:val="28"/>
        </w:rPr>
        <w:lastRenderedPageBreak/>
        <w:t>приводит к отказу в доступе к информации, нарушение целостности приводит к фальсификации информации и, наконец, нарушение конфиденциальности приводит к раскрытию информации.</w:t>
      </w:r>
      <w:r w:rsidR="00453A8F" w:rsidRPr="00453A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A05" w:rsidRPr="00453A8F" w:rsidRDefault="00017BDC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bCs/>
          <w:sz w:val="28"/>
          <w:szCs w:val="28"/>
        </w:rPr>
        <w:t>В</w:t>
      </w:r>
      <w:r w:rsidR="00143A05" w:rsidRPr="00453A8F">
        <w:rPr>
          <w:rFonts w:ascii="Times New Roman" w:hAnsi="Times New Roman" w:cs="Times New Roman"/>
          <w:bCs/>
          <w:sz w:val="28"/>
          <w:szCs w:val="28"/>
        </w:rPr>
        <w:t>ыделение этих категорий в качестве базовых составляющих информационной безопасности обусловлено необходимостью реализации комплексного подхода при обеспечении режима информационной безопасности. Кроме этого нарушение одной из этих категорий может привести к нарушению или полной бесполезности двух других. Например, хищение пароля для доступа к компьютеру (нарушение конфиденциальности) может привести к его блокировке, уничтожению данных (нарушение доступности информации) или фальсификации информации, содержащейся в памяти компьютера (нарушение целостности информации).</w:t>
      </w:r>
    </w:p>
    <w:p w:rsidR="003858C5" w:rsidRPr="00453A8F" w:rsidRDefault="003858C5" w:rsidP="00453A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53A8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Важность и сложность проблемы информационной безопасности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Информационная безопасность является одним из важнейших аспектов интегральной безопасности, на каком бы уровне мы ни рассматривали последнюю – национальном, отраслевом, корпоративном или персональном.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При анализе проблематики, связанной с информационной безопасностью, необходимо учитывать специфику данного аспекта безопасности, состоящую в том, что информационная безопасность есть составная часть информационных технологий – области, развивающейся беспрецедентно высокими темпами. Здесь важны не столько отдельные решения (законы, учебные курсы, программно-технические изделия), находящиеся на современном уровне, сколько механизмы генерации новых решений, позволяющие жить в темпе технического прогресса.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Увеличение числа атак – ещё не самая большая неприятность. Хуже то, что постоянно обнаруживаются новые уязвимые места в программном обеспечении и, как следствие, появляются новые виды атак.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 xml:space="preserve">В таких условиях системы информационной безопасности должны уметь противостоять разнообразным атакам, как внешним, так и внутренним, атакам автоматизированным и скоординированным. Иногда нападение длится </w:t>
      </w:r>
      <w:r w:rsidRPr="00453A8F">
        <w:rPr>
          <w:rFonts w:ascii="Times New Roman" w:hAnsi="Times New Roman" w:cs="Times New Roman"/>
          <w:sz w:val="28"/>
          <w:szCs w:val="28"/>
        </w:rPr>
        <w:lastRenderedPageBreak/>
        <w:t>доли секунды; порой прощупывание уязвимых мест ведётся медленно и растягивается на часы, так что подозрительная активность практически незаметна. Целью злоумышленников может быть нарушение всех составляющих ИБ – доступности, целостности или конфиденциальности.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Рассмотрим некоторую крупную организацию, например, оператора связи. Для неё характерно следующее: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-       организация достаточно крупная и имеет территориально распределённую структуру, состоящую из нескольких филиалов;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-       внутренний информационный обмен включает в себя одно или несколько крупных ключевых звеньев, требования к бесперебойности и корректности работы которых крайне высоки;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-       имеется большой внешний информационный обмен с клиентами и партнерами;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 xml:space="preserve">-       оператор связи, предоставляя своим заказчикам каналы связи, естественно, эти же каналы использует в собственной внутренней работе: в системах внутреннего документооборота, </w:t>
      </w:r>
      <w:proofErr w:type="spellStart"/>
      <w:r w:rsidRPr="00453A8F">
        <w:rPr>
          <w:rFonts w:ascii="Times New Roman" w:hAnsi="Times New Roman" w:cs="Times New Roman"/>
          <w:sz w:val="28"/>
          <w:szCs w:val="28"/>
        </w:rPr>
        <w:t>биллинговой</w:t>
      </w:r>
      <w:proofErr w:type="spellEnd"/>
      <w:r w:rsidRPr="00453A8F">
        <w:rPr>
          <w:rFonts w:ascii="Times New Roman" w:hAnsi="Times New Roman" w:cs="Times New Roman"/>
          <w:sz w:val="28"/>
          <w:szCs w:val="28"/>
        </w:rPr>
        <w:t xml:space="preserve"> системе и т.п.;</w:t>
      </w:r>
    </w:p>
    <w:p w:rsidR="007E2A47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-       значительное количество сотрудников, участвующих в информационном обмене, выезжают в командировки, где для них актуальна возможность продолжения полноценного информационного взаимодействия с ресурсами корпоративной информационной системы (КИС).</w:t>
      </w: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57E3" w:rsidRPr="00453A8F" w:rsidRDefault="009D57E3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C69" w:rsidRPr="00453A8F" w:rsidRDefault="00735C69" w:rsidP="00453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5C69" w:rsidRPr="00453A8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E69" w:rsidRDefault="00DF4E69" w:rsidP="006A0AB0">
      <w:pPr>
        <w:spacing w:after="0" w:line="240" w:lineRule="auto"/>
      </w:pPr>
      <w:r>
        <w:separator/>
      </w:r>
    </w:p>
  </w:endnote>
  <w:endnote w:type="continuationSeparator" w:id="0">
    <w:p w:rsidR="00DF4E69" w:rsidRDefault="00DF4E69" w:rsidP="006A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-1128863671"/>
      <w:docPartObj>
        <w:docPartGallery w:val="Page Numbers (Bottom of Page)"/>
        <w:docPartUnique/>
      </w:docPartObj>
    </w:sdtPr>
    <w:sdtEndPr/>
    <w:sdtContent>
      <w:p w:rsidR="006A0AB0" w:rsidRPr="006A0AB0" w:rsidRDefault="006A0AB0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6A0AB0">
          <w:rPr>
            <w:rFonts w:ascii="Times New Roman" w:hAnsi="Times New Roman" w:cs="Times New Roman"/>
            <w:sz w:val="24"/>
          </w:rPr>
          <w:fldChar w:fldCharType="begin"/>
        </w:r>
        <w:r w:rsidRPr="006A0AB0">
          <w:rPr>
            <w:rFonts w:ascii="Times New Roman" w:hAnsi="Times New Roman" w:cs="Times New Roman"/>
            <w:sz w:val="24"/>
          </w:rPr>
          <w:instrText>PAGE   \* MERGEFORMAT</w:instrText>
        </w:r>
        <w:r w:rsidRPr="006A0AB0">
          <w:rPr>
            <w:rFonts w:ascii="Times New Roman" w:hAnsi="Times New Roman" w:cs="Times New Roman"/>
            <w:sz w:val="24"/>
          </w:rPr>
          <w:fldChar w:fldCharType="separate"/>
        </w:r>
        <w:r w:rsidR="00B85030">
          <w:rPr>
            <w:rFonts w:ascii="Times New Roman" w:hAnsi="Times New Roman" w:cs="Times New Roman"/>
            <w:noProof/>
            <w:sz w:val="24"/>
          </w:rPr>
          <w:t>7</w:t>
        </w:r>
        <w:r w:rsidRPr="006A0AB0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E69" w:rsidRDefault="00DF4E69" w:rsidP="006A0AB0">
      <w:pPr>
        <w:spacing w:after="0" w:line="240" w:lineRule="auto"/>
      </w:pPr>
      <w:r>
        <w:separator/>
      </w:r>
    </w:p>
  </w:footnote>
  <w:footnote w:type="continuationSeparator" w:id="0">
    <w:p w:rsidR="00DF4E69" w:rsidRDefault="00DF4E69" w:rsidP="006A0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BF0"/>
    <w:multiLevelType w:val="multilevel"/>
    <w:tmpl w:val="FA86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61BA"/>
    <w:multiLevelType w:val="hybridMultilevel"/>
    <w:tmpl w:val="CF30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622037"/>
    <w:multiLevelType w:val="hybridMultilevel"/>
    <w:tmpl w:val="4928EF9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DE4920"/>
    <w:multiLevelType w:val="hybridMultilevel"/>
    <w:tmpl w:val="461052C2"/>
    <w:lvl w:ilvl="0" w:tplc="790651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FC2559"/>
    <w:multiLevelType w:val="hybridMultilevel"/>
    <w:tmpl w:val="84F2BA16"/>
    <w:lvl w:ilvl="0" w:tplc="1CCAD388">
      <w:numFmt w:val="bullet"/>
      <w:lvlText w:val=""/>
      <w:lvlJc w:val="left"/>
      <w:pPr>
        <w:ind w:left="135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65FE1253"/>
    <w:multiLevelType w:val="multilevel"/>
    <w:tmpl w:val="3D7A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70082"/>
    <w:multiLevelType w:val="hybridMultilevel"/>
    <w:tmpl w:val="3BC08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E75215"/>
    <w:multiLevelType w:val="hybridMultilevel"/>
    <w:tmpl w:val="7124CACC"/>
    <w:lvl w:ilvl="0" w:tplc="790651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EB"/>
    <w:rsid w:val="00017BDC"/>
    <w:rsid w:val="00127187"/>
    <w:rsid w:val="00143A05"/>
    <w:rsid w:val="001714C5"/>
    <w:rsid w:val="00305276"/>
    <w:rsid w:val="003858C5"/>
    <w:rsid w:val="00453A8F"/>
    <w:rsid w:val="0058723D"/>
    <w:rsid w:val="0063049C"/>
    <w:rsid w:val="006A0AB0"/>
    <w:rsid w:val="00735C69"/>
    <w:rsid w:val="007E2A47"/>
    <w:rsid w:val="008535E5"/>
    <w:rsid w:val="00887FFC"/>
    <w:rsid w:val="009D57E3"/>
    <w:rsid w:val="009F33A6"/>
    <w:rsid w:val="00B226EB"/>
    <w:rsid w:val="00B85030"/>
    <w:rsid w:val="00BA58EE"/>
    <w:rsid w:val="00CD6987"/>
    <w:rsid w:val="00D20AE2"/>
    <w:rsid w:val="00DF4E69"/>
    <w:rsid w:val="00EB33D1"/>
    <w:rsid w:val="00FA3978"/>
    <w:rsid w:val="00FB3897"/>
    <w:rsid w:val="00FC20D0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6E3D"/>
  <w15:chartTrackingRefBased/>
  <w15:docId w15:val="{3ABA07BB-EC70-4AE0-98FB-385B389C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7E2A47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58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714C5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7E2A4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E2A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7E2A47"/>
    <w:rPr>
      <w:b/>
      <w:bCs/>
    </w:rPr>
  </w:style>
  <w:style w:type="paragraph" w:styleId="a5">
    <w:name w:val="header"/>
    <w:basedOn w:val="a"/>
    <w:link w:val="a6"/>
    <w:uiPriority w:val="99"/>
    <w:unhideWhenUsed/>
    <w:rsid w:val="006A0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0AB0"/>
  </w:style>
  <w:style w:type="paragraph" w:styleId="a7">
    <w:name w:val="footer"/>
    <w:basedOn w:val="a"/>
    <w:link w:val="a8"/>
    <w:uiPriority w:val="99"/>
    <w:unhideWhenUsed/>
    <w:rsid w:val="006A0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0AB0"/>
  </w:style>
  <w:style w:type="character" w:customStyle="1" w:styleId="20">
    <w:name w:val="Заголовок 2 Знак"/>
    <w:basedOn w:val="a0"/>
    <w:link w:val="2"/>
    <w:uiPriority w:val="9"/>
    <w:semiHidden/>
    <w:rsid w:val="003858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D2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CD698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6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inform.ru/blog/2016/12/07/osobye-zadachi-novoj-doktriny-informatsionnoj-bezopasnosti-r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ntd.ru/document/12001395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Чераева</dc:creator>
  <cp:keywords/>
  <dc:description/>
  <cp:lastModifiedBy>Чераева Ольга Александровна</cp:lastModifiedBy>
  <cp:revision>22</cp:revision>
  <dcterms:created xsi:type="dcterms:W3CDTF">2019-09-05T10:26:00Z</dcterms:created>
  <dcterms:modified xsi:type="dcterms:W3CDTF">2019-09-13T06:00:00Z</dcterms:modified>
</cp:coreProperties>
</file>