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499EF" w14:textId="77777777" w:rsidR="000817FF" w:rsidRDefault="00FB291E">
      <w:pPr>
        <w:spacing w:after="480"/>
        <w:jc w:val="center"/>
      </w:pPr>
      <w:r>
        <w:rPr>
          <w:rFonts w:eastAsia="黑体"/>
          <w:b/>
          <w:sz w:val="36"/>
        </w:rPr>
        <w:t>基于</w:t>
      </w:r>
      <w:r>
        <w:rPr>
          <w:rFonts w:eastAsia="黑体"/>
          <w:b/>
          <w:sz w:val="36"/>
        </w:rPr>
        <w:t xml:space="preserve"> FAERS </w:t>
      </w:r>
      <w:r>
        <w:rPr>
          <w:rFonts w:eastAsia="黑体"/>
          <w:b/>
          <w:sz w:val="36"/>
        </w:rPr>
        <w:t>数据库的老年人唑吡坦相关跌倒事件药物警戒研究</w:t>
      </w:r>
    </w:p>
    <w:p w14:paraId="2BD25DC9" w14:textId="77777777" w:rsidR="000817FF" w:rsidRDefault="00FB291E">
      <w:pPr>
        <w:jc w:val="center"/>
      </w:pPr>
      <w:r>
        <w:rPr>
          <w:b/>
          <w:sz w:val="28"/>
        </w:rPr>
        <w:t>硕士学位论文初稿</w:t>
      </w:r>
    </w:p>
    <w:p w14:paraId="4064BA71" w14:textId="77777777" w:rsidR="000817FF" w:rsidRDefault="00FB291E">
      <w:r>
        <w:br w:type="page"/>
      </w:r>
    </w:p>
    <w:p w14:paraId="73515365" w14:textId="77777777" w:rsidR="000817FF" w:rsidRDefault="00FB291E">
      <w:pPr>
        <w:spacing w:after="360"/>
        <w:jc w:val="center"/>
      </w:pPr>
      <w:r>
        <w:rPr>
          <w:rFonts w:eastAsia="黑体"/>
          <w:b/>
          <w:sz w:val="32"/>
        </w:rPr>
        <w:lastRenderedPageBreak/>
        <w:t>摘要</w:t>
      </w:r>
    </w:p>
    <w:p w14:paraId="11F93B70" w14:textId="77777777" w:rsidR="000817FF" w:rsidRDefault="00FB291E">
      <w:pPr>
        <w:spacing w:after="120" w:line="360" w:lineRule="auto"/>
        <w:ind w:firstLine="420"/>
      </w:pPr>
      <w:r>
        <w:rPr>
          <w:sz w:val="21"/>
        </w:rPr>
        <w:t>目的：唑吡坦是临床常用的非苯二氮卓类镇静催眠药，广泛用于失眠治疗。老年患者本身跌倒风险较高，且常合并多重用药和中枢神经系统相关药物使用，使用唑吡坦后可能进一步增加跌倒、骨折和损伤风险。本研究基于美国</w:t>
      </w:r>
      <w:r>
        <w:rPr>
          <w:sz w:val="21"/>
        </w:rPr>
        <w:t xml:space="preserve"> FDA </w:t>
      </w:r>
      <w:r>
        <w:rPr>
          <w:sz w:val="21"/>
        </w:rPr>
        <w:t>不良事件报告系统（</w:t>
      </w:r>
      <w:r>
        <w:rPr>
          <w:sz w:val="21"/>
        </w:rPr>
        <w:t>FAERS</w:t>
      </w:r>
      <w:r>
        <w:rPr>
          <w:sz w:val="21"/>
        </w:rPr>
        <w:t>），分析老年人群中唑吡坦相关跌倒事件的上市后药物警戒信号，并探索机器学习方法在跌倒相关报告辅助识别中的应用价值。</w:t>
      </w:r>
    </w:p>
    <w:p w14:paraId="2169E0FA" w14:textId="77777777" w:rsidR="000817FF" w:rsidRDefault="00FB291E">
      <w:pPr>
        <w:spacing w:after="120" w:line="360" w:lineRule="auto"/>
        <w:ind w:firstLine="420"/>
      </w:pPr>
      <w:r>
        <w:t>方法：下载并整理 2004-2025 年 FAERS 季度数据，以 65 岁及以上老年病例为研究对象，构建病例级分析数据集。通过 DEMO 表进行病例去重和基本信息整理，通过 DRUG 表识别唑吡坦、其他 Z-drugs、多重用药和中枢神经系统相关合并用药，通过 REAC 表构建严格 PT 定义的跌倒结局（FALL 或 DROP ATTACKS），通过 OUTC 表提取严重结局。主分析以唑吡坦被报告为 primary suspect 或 secondary suspect 作为暴露定义，采用报告比值比（ROR）、比例报告比（PRR）、信息成分（IC）和经验贝叶斯几何均数（EBGM）进行不成比例分析；同时开展 PS only 敏感性分析、与其他 Z-drugs 比较分析和多因素校正分析。进一步构建基于 ML-v2 特征表的逻辑回归、随机森林和 XGBoost 模型，对老年 FAERS 病例中的严格跌倒事件进行辅助识别和风险排序。</w:t>
      </w:r>
    </w:p>
    <w:p w14:paraId="75E88D84" w14:textId="77777777" w:rsidR="000817FF" w:rsidRDefault="00FB291E">
      <w:pPr>
        <w:spacing w:after="120" w:line="360" w:lineRule="auto"/>
        <w:ind w:firstLine="420"/>
      </w:pPr>
      <w:r>
        <w:t>结果：2004-2025 年 FAERS 全周期去重后共纳入老年病例 4,155,023 例，其中严格 PT 定义的跌倒事件 132,266 例，广义跌倒相关事件（补充） 298,906 例。唑吡坦 suspect 暴露病例为 8,011 例，排除混合 Z-drug 暴露后主分析暴露组为 7,798 例。主分析显示，唑吡坦 suspect 暴露组严格跌倒事件报告比例为 13.38%，参照组为 3.16%；ROR 为 4.73（95%CI：4.43-5.05），PRR 为 4.23（95%CI：3.99-4.47），IC 为 2.07，EBGM 为 4.19，四种方法均提示阳性信号。多因素校正分析显示，在控制年龄、性别、年份、季度、多重用药、去重药物数及常见中枢神经系统合并用药后，唑吡坦 suspect 暴露与严格跌倒事件仍保持较高的报告优势；补充加入报告结构和适应证相关变量后，结果方向仍然稳定。机器学习分析中，增强特征集下 XGBoost 在 2025 年测试集中的 ROC-AUC 为 0.805，average precision 为 0.173，前 5% 高风险病例中的严格跌倒事件比例为 18.98%，约为测试集总体阳性比例的 6.03 倍。</w:t>
      </w:r>
    </w:p>
    <w:p w14:paraId="7589F1B8" w14:textId="77777777" w:rsidR="000817FF" w:rsidRDefault="00FB291E">
      <w:pPr>
        <w:spacing w:after="120" w:line="360" w:lineRule="auto"/>
        <w:ind w:firstLine="420"/>
      </w:pPr>
      <w:r>
        <w:t>结论：FAERS 老年病例中，唑吡坦相关报告存在较明显的严格跌倒相关不良事件信号。该信号在不同暴露定义和统计方法下方向一致，并与既往指南、FDA 安全警示以及 Z-drugs 跌倒/骨折风险研究相互印证。临床使用唑吡坦时，应重点关注高龄、多重用药及合并中枢神经系统药物使用患者的跌倒风险。机器学习模型可作为药物警戒研究中的辅助筛选和风险排序工具，但不能替代传统信号挖掘方法，也不能直接解释为临床因果预测。本研究结果仍需在医保数据库、电子病历数据库或前瞻性研究中进一步验证。</w:t>
      </w:r>
    </w:p>
    <w:p w14:paraId="480B07EB" w14:textId="77777777" w:rsidR="000817FF" w:rsidRDefault="00FB291E">
      <w:pPr>
        <w:spacing w:after="120" w:line="360" w:lineRule="auto"/>
      </w:pPr>
      <w:r>
        <w:rPr>
          <w:sz w:val="21"/>
        </w:rPr>
        <w:t>关键词：唑吡坦；老年人；跌倒；</w:t>
      </w:r>
      <w:r>
        <w:rPr>
          <w:sz w:val="21"/>
        </w:rPr>
        <w:t>FAERS</w:t>
      </w:r>
      <w:r>
        <w:rPr>
          <w:sz w:val="21"/>
        </w:rPr>
        <w:t>；药物警戒；机器学习</w:t>
      </w:r>
    </w:p>
    <w:p w14:paraId="6A3BA7BF" w14:textId="77777777" w:rsidR="000817FF" w:rsidRDefault="00FB291E">
      <w:pPr>
        <w:spacing w:after="360"/>
        <w:jc w:val="center"/>
      </w:pPr>
      <w:r>
        <w:rPr>
          <w:rFonts w:eastAsia="黑体"/>
          <w:b/>
          <w:sz w:val="32"/>
        </w:rPr>
        <w:lastRenderedPageBreak/>
        <w:t>Abstract</w:t>
      </w:r>
    </w:p>
    <w:p w14:paraId="0D9F4160" w14:textId="77777777" w:rsidR="000817FF" w:rsidRDefault="00FB291E">
      <w:pPr>
        <w:spacing w:after="120" w:line="360" w:lineRule="auto"/>
        <w:ind w:firstLine="420"/>
      </w:pPr>
      <w:r>
        <w:rPr>
          <w:sz w:val="21"/>
        </w:rPr>
        <w:t>Objective: Zolpidem is a commonly used non-benzodiazepine hypnotic for the treatment of insomnia. Older adults have an intrinsically higher risk of falls and frequently experience polypharmacy and concomitant use of central nervous system medications. These factors may amplify fall-related safety concerns associated with zolpidem. This study aimed to evaluate post-marketing pharmacovigilance signals of zolpidem-associated fall events among older adults using the FDA Adverse Event Reporting System (FAERS), a</w:t>
      </w:r>
      <w:r>
        <w:rPr>
          <w:sz w:val="21"/>
        </w:rPr>
        <w:t>nd to explore the utility of machine learning for auxiliary identification and prioritization of fall-related reports.</w:t>
      </w:r>
    </w:p>
    <w:p w14:paraId="319BC470" w14:textId="77777777" w:rsidR="000817FF" w:rsidRDefault="00FB291E">
      <w:pPr>
        <w:spacing w:after="120" w:line="360" w:lineRule="auto"/>
        <w:ind w:firstLine="420"/>
      </w:pPr>
      <w:r>
        <w:t>Methods: Quarterly FAERS data from 2004 to 2025 were downloaded and processed. Cases aged 65 years or older were included. A case-level analytical dataset was constructed by deduplicating DEMO records, identifying zolpidem, other Z-drugs, polypharmacy, and concomitant central nervous system medications from DRUG records, defining strict PT-based fall outcomes from REAC records (FALL or DROP ATTACKS), and extracting serious outcomes from OUTC records. The primary exposure was zolpidem reported as either primary suspect or secondary suspect. Disproportionality analyses were performed using the reporting odds ratio (ROR), proportional reporting ratio (PRR), information component (IC), and empirical Bayes geometric mean (EBGM). Sensitivity analyses included a primary-suspect-only exposure definition, comparison with other Z-drugs, and multivariable adjustment. Logistic regression, random forest, and XGBoost models were further developed using the ML-v2 feature table to support auxiliary identification and risk ranking of strict fall reports among older FAERS cases.</w:t>
      </w:r>
    </w:p>
    <w:p w14:paraId="3FCBB7E2" w14:textId="77777777" w:rsidR="000817FF" w:rsidRDefault="00FB291E">
      <w:pPr>
        <w:spacing w:after="120" w:line="360" w:lineRule="auto"/>
        <w:ind w:firstLine="420"/>
      </w:pPr>
      <w:r>
        <w:t>Results: After full-period deduplication, 4,155,023 older adult FAERS cases were included from 2004 to 2025, including 132,266 strict PT-defined fall cases and 298,906 broad fall-related cases. There were 8,011 zolpidem suspect exposure cases, and 7,798 cases remained in the primary analysis after excluding mixed Z-drug exposure. In the primary analysis, the reporting proportion of strict fall events was 13.38% in the zolpidem suspect group and 3.16% in the reference group. The ROR was 4.73 (95% CI: 4.43-5.05), the PRR was 4.23 (95% CI: 3.99-4.47), the IC was 2.07, and the EBGM was 4.19; all four methods indicated a positive signal. Multivariable models indicated that zolpidem suspect exposure remained associated with a higher reporting odds of strict fall events after adjustment for age, sex, reporting year, quarter, polypharmacy, distinct drug count, and common concomitant central nervous system medications; the association remained directionally stable after additional adjustment for report-structure and indication variables. In the machine learning analysis, the enhanced-feature XGBoost model achieved a test ROC-AUC of 0.805 and an average precision of 0.173 in 2025 data. The top 5% highest-risk cases identified by XGBoost had a strict fall event proportion of 18.98%, approximately 6.03 times the overall positive proportion in the test set.</w:t>
      </w:r>
    </w:p>
    <w:p w14:paraId="055A1F9D" w14:textId="77777777" w:rsidR="000817FF" w:rsidRDefault="00FB291E">
      <w:pPr>
        <w:spacing w:after="120" w:line="360" w:lineRule="auto"/>
        <w:ind w:firstLine="420"/>
      </w:pPr>
      <w:r>
        <w:t>Conclusion: A notable pharmacovigilance signal for strict fall-related adverse event reports was observed for zolpidem among older adults in FAERS. The signal was consistent across exposure definitions and statistical methods, and was aligned with existing clinical guidelines, FDA safety communications, and prior evidence on fall and fracture risks associated with Z-drugs. In clinical practice, fall risk should be carefully assessed when zolpidem is used in older adults, especially in those with advanced age, polypharmacy, or concomitant central nervous system medications. Machine learning may serve as an auxiliary tool for case prioritization and risk ranking in pharmacovigilance research, but it should not replace traditional signal detection methods or be interpreted as a causal clinical prediction model. Further validation using claims databases, electronic health records, or prospective studies is warranted.</w:t>
      </w:r>
    </w:p>
    <w:p w14:paraId="6D7B7A96" w14:textId="77777777" w:rsidR="000817FF" w:rsidRDefault="00FB291E">
      <w:pPr>
        <w:spacing w:after="120" w:line="360" w:lineRule="auto"/>
      </w:pPr>
      <w:r>
        <w:rPr>
          <w:sz w:val="21"/>
        </w:rPr>
        <w:t>Key words: zolpidem; older adults; falls; FAERS; pharmacovigilance; machine learning</w:t>
      </w:r>
    </w:p>
    <w:p w14:paraId="351AC14E" w14:textId="77777777" w:rsidR="000817FF" w:rsidRDefault="00FB291E">
      <w:r>
        <w:br w:type="page"/>
      </w:r>
    </w:p>
    <w:p w14:paraId="5E76AE11" w14:textId="77777777" w:rsidR="000817FF" w:rsidRDefault="00FB291E">
      <w:pPr>
        <w:spacing w:after="560"/>
        <w:jc w:val="center"/>
      </w:pPr>
      <w:r>
        <w:rPr>
          <w:rFonts w:eastAsia="黑体"/>
          <w:b/>
          <w:sz w:val="32"/>
        </w:rPr>
        <w:lastRenderedPageBreak/>
        <w:t>目</w:t>
      </w:r>
      <w:r>
        <w:rPr>
          <w:rFonts w:eastAsia="黑体"/>
          <w:b/>
          <w:sz w:val="32"/>
        </w:rPr>
        <w:t xml:space="preserve">  </w:t>
      </w:r>
      <w:r>
        <w:rPr>
          <w:rFonts w:eastAsia="黑体"/>
          <w:b/>
          <w:sz w:val="32"/>
        </w:rPr>
        <w:t>录</w:t>
      </w:r>
    </w:p>
    <w:p w14:paraId="68F082B3" w14:textId="7B59A95B" w:rsidR="00DF3AC9" w:rsidRDefault="00FB291E">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r>
        <w:fldChar w:fldCharType="begin"/>
      </w:r>
      <w:r>
        <w:instrText>TOC \o "1-3" \h \z \u</w:instrText>
      </w:r>
      <w:r>
        <w:fldChar w:fldCharType="separate"/>
      </w:r>
      <w:hyperlink w:anchor="_Toc230281299" w:history="1">
        <w:r w:rsidR="00DF3AC9" w:rsidRPr="00A12385">
          <w:rPr>
            <w:rStyle w:val="aff9"/>
            <w:noProof/>
          </w:rPr>
          <w:t>第一章</w:t>
        </w:r>
        <w:r w:rsidR="00DF3AC9" w:rsidRPr="00A12385">
          <w:rPr>
            <w:rStyle w:val="aff9"/>
            <w:noProof/>
          </w:rPr>
          <w:t xml:space="preserve"> </w:t>
        </w:r>
        <w:r w:rsidR="00DF3AC9" w:rsidRPr="00A12385">
          <w:rPr>
            <w:rStyle w:val="aff9"/>
            <w:noProof/>
          </w:rPr>
          <w:t>绪论</w:t>
        </w:r>
        <w:r w:rsidR="00DF3AC9">
          <w:rPr>
            <w:rFonts w:hint="eastAsia"/>
            <w:noProof/>
            <w:webHidden/>
          </w:rPr>
          <w:tab/>
        </w:r>
        <w:r w:rsidR="00DF3AC9">
          <w:rPr>
            <w:rFonts w:hint="eastAsia"/>
            <w:noProof/>
            <w:webHidden/>
          </w:rPr>
          <w:fldChar w:fldCharType="begin"/>
        </w:r>
        <w:r w:rsidR="00DF3AC9">
          <w:rPr>
            <w:rFonts w:hint="eastAsia"/>
            <w:noProof/>
            <w:webHidden/>
          </w:rPr>
          <w:instrText xml:space="preserve"> </w:instrText>
        </w:r>
        <w:r w:rsidR="00DF3AC9">
          <w:rPr>
            <w:noProof/>
            <w:webHidden/>
          </w:rPr>
          <w:instrText>PAGEREF _Toc230281299 \h</w:instrText>
        </w:r>
        <w:r w:rsidR="00DF3AC9">
          <w:rPr>
            <w:rFonts w:hint="eastAsia"/>
            <w:noProof/>
            <w:webHidden/>
          </w:rPr>
          <w:instrText xml:space="preserve"> </w:instrText>
        </w:r>
        <w:r w:rsidR="00DF3AC9">
          <w:rPr>
            <w:rFonts w:hint="eastAsia"/>
            <w:noProof/>
            <w:webHidden/>
          </w:rPr>
        </w:r>
        <w:r w:rsidR="00DF3AC9">
          <w:rPr>
            <w:rFonts w:hint="eastAsia"/>
            <w:noProof/>
            <w:webHidden/>
          </w:rPr>
          <w:fldChar w:fldCharType="separate"/>
        </w:r>
        <w:r w:rsidR="00DF3AC9">
          <w:rPr>
            <w:noProof/>
            <w:webHidden/>
          </w:rPr>
          <w:t>1</w:t>
        </w:r>
        <w:r w:rsidR="00DF3AC9">
          <w:rPr>
            <w:rFonts w:hint="eastAsia"/>
            <w:noProof/>
            <w:webHidden/>
          </w:rPr>
          <w:fldChar w:fldCharType="end"/>
        </w:r>
      </w:hyperlink>
    </w:p>
    <w:p w14:paraId="6DD2F4CD" w14:textId="09A5299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0" w:history="1">
        <w:r w:rsidRPr="00A12385">
          <w:rPr>
            <w:rStyle w:val="aff9"/>
            <w:noProof/>
          </w:rPr>
          <w:t xml:space="preserve">1.1 </w:t>
        </w:r>
        <w:r w:rsidRPr="00A12385">
          <w:rPr>
            <w:rStyle w:val="aff9"/>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1064C44" w14:textId="3AD8443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1" w:history="1">
        <w:r w:rsidRPr="00A12385">
          <w:rPr>
            <w:rStyle w:val="aff9"/>
            <w:noProof/>
          </w:rPr>
          <w:t xml:space="preserve">1.1.1 </w:t>
        </w:r>
        <w:r w:rsidRPr="00A12385">
          <w:rPr>
            <w:rStyle w:val="aff9"/>
            <w:noProof/>
          </w:rPr>
          <w:t>老年失眠与镇静催眠药使用问题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9A8A6D7" w14:textId="0858920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2" w:history="1">
        <w:r w:rsidRPr="00A12385">
          <w:rPr>
            <w:rStyle w:val="aff9"/>
            <w:noProof/>
          </w:rPr>
          <w:t xml:space="preserve">1.1.2 </w:t>
        </w:r>
        <w:r w:rsidRPr="00A12385">
          <w:rPr>
            <w:rStyle w:val="aff9"/>
            <w:noProof/>
          </w:rPr>
          <w:t>老年跌倒的疾病负担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1573A6" w14:textId="075A7C3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3" w:history="1">
        <w:r w:rsidRPr="00A12385">
          <w:rPr>
            <w:rStyle w:val="aff9"/>
            <w:noProof/>
          </w:rPr>
          <w:t xml:space="preserve">1.1.3 </w:t>
        </w:r>
        <w:r w:rsidRPr="00A12385">
          <w:rPr>
            <w:rStyle w:val="aff9"/>
            <w:noProof/>
          </w:rPr>
          <w:t>老年潜在不适当用药与多重用药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00296BA" w14:textId="2176CCF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4" w:history="1">
        <w:r w:rsidRPr="00A12385">
          <w:rPr>
            <w:rStyle w:val="aff9"/>
            <w:noProof/>
          </w:rPr>
          <w:t xml:space="preserve">1.2 </w:t>
        </w:r>
        <w:r w:rsidRPr="00A12385">
          <w:rPr>
            <w:rStyle w:val="aff9"/>
            <w:noProof/>
          </w:rPr>
          <w:t>唑吡坦及</w:t>
        </w:r>
        <w:r w:rsidRPr="00A12385">
          <w:rPr>
            <w:rStyle w:val="aff9"/>
            <w:noProof/>
          </w:rPr>
          <w:t xml:space="preserve"> Z-drugs </w:t>
        </w:r>
        <w:r w:rsidRPr="00A12385">
          <w:rPr>
            <w:rStyle w:val="aff9"/>
            <w:noProof/>
          </w:rPr>
          <w:t>安全性研究现状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E5D14DE" w14:textId="79226563"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5" w:history="1">
        <w:r w:rsidRPr="00A12385">
          <w:rPr>
            <w:rStyle w:val="aff9"/>
            <w:noProof/>
          </w:rPr>
          <w:t xml:space="preserve">1.2.1 Z-drugs </w:t>
        </w:r>
        <w:r w:rsidRPr="00A12385">
          <w:rPr>
            <w:rStyle w:val="aff9"/>
            <w:noProof/>
          </w:rPr>
          <w:t>并非老年人中的</w:t>
        </w:r>
        <w:r w:rsidRPr="00A12385">
          <w:rPr>
            <w:rStyle w:val="aff9"/>
            <w:noProof/>
          </w:rPr>
          <w:t>“</w:t>
        </w:r>
        <w:r w:rsidRPr="00A12385">
          <w:rPr>
            <w:rStyle w:val="aff9"/>
            <w:noProof/>
          </w:rPr>
          <w:t>完全安全替代</w:t>
        </w:r>
        <w:r w:rsidRPr="00A12385">
          <w:rPr>
            <w:rStyle w:val="aff9"/>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3F6646F" w14:textId="73271B8A"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6" w:history="1">
        <w:r w:rsidRPr="00A12385">
          <w:rPr>
            <w:rStyle w:val="aff9"/>
            <w:noProof/>
          </w:rPr>
          <w:t xml:space="preserve">1.2.2 </w:t>
        </w:r>
        <w:r w:rsidRPr="00A12385">
          <w:rPr>
            <w:rStyle w:val="aff9"/>
            <w:noProof/>
          </w:rPr>
          <w:t>既往研究关于跌倒、骨折和损伤风险的证据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E77E3B7" w14:textId="606BE4F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07" w:history="1">
        <w:r w:rsidRPr="00A12385">
          <w:rPr>
            <w:rStyle w:val="aff9"/>
            <w:noProof/>
          </w:rPr>
          <w:t xml:space="preserve">1.3 FAERS </w:t>
        </w:r>
        <w:r w:rsidRPr="00A12385">
          <w:rPr>
            <w:rStyle w:val="aff9"/>
            <w:noProof/>
          </w:rPr>
          <w:t>数据库与药物警戒研究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867EB2D" w14:textId="0187650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8" w:history="1">
        <w:r w:rsidRPr="00A12385">
          <w:rPr>
            <w:rStyle w:val="aff9"/>
            <w:noProof/>
          </w:rPr>
          <w:t xml:space="preserve">1.3.1 FAERS </w:t>
        </w:r>
        <w:r w:rsidRPr="00A12385">
          <w:rPr>
            <w:rStyle w:val="aff9"/>
            <w:noProof/>
          </w:rPr>
          <w:t>数据库特点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B5F564" w14:textId="04CC298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09" w:history="1">
        <w:r w:rsidRPr="00A12385">
          <w:rPr>
            <w:rStyle w:val="aff9"/>
            <w:noProof/>
          </w:rPr>
          <w:t xml:space="preserve">1.3.2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093C136" w14:textId="6D52FA2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0" w:history="1">
        <w:r w:rsidRPr="00A12385">
          <w:rPr>
            <w:rStyle w:val="aff9"/>
            <w:noProof/>
          </w:rPr>
          <w:t xml:space="preserve">1.4 </w:t>
        </w:r>
        <w:r w:rsidRPr="00A12385">
          <w:rPr>
            <w:rStyle w:val="aff9"/>
            <w:noProof/>
          </w:rPr>
          <w:t>机器学习在药物警戒中的应用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F68242F" w14:textId="32D6E7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1" w:history="1">
        <w:r w:rsidRPr="00A12385">
          <w:rPr>
            <w:rStyle w:val="aff9"/>
            <w:noProof/>
          </w:rPr>
          <w:t xml:space="preserve">1.5 </w:t>
        </w:r>
        <w:r w:rsidRPr="00A12385">
          <w:rPr>
            <w:rStyle w:val="aff9"/>
            <w:noProof/>
          </w:rPr>
          <w:t>本研究的目的与意义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410AAB" w14:textId="46D02ED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2" w:history="1">
        <w:r w:rsidRPr="00A12385">
          <w:rPr>
            <w:rStyle w:val="aff9"/>
            <w:noProof/>
          </w:rPr>
          <w:t xml:space="preserve">1.5.1 </w:t>
        </w:r>
        <w:r w:rsidRPr="00A12385">
          <w:rPr>
            <w:rStyle w:val="aff9"/>
            <w:noProof/>
          </w:rPr>
          <w:t>研究目的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433C07" w14:textId="765050EF"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13" w:history="1">
        <w:r w:rsidRPr="00A12385">
          <w:rPr>
            <w:rStyle w:val="aff9"/>
            <w:noProof/>
          </w:rPr>
          <w:t xml:space="preserve">1.5.2 </w:t>
        </w:r>
        <w:r w:rsidRPr="00A12385">
          <w:rPr>
            <w:rStyle w:val="aff9"/>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62C6B0" w14:textId="193F6EB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4" w:history="1">
        <w:r w:rsidRPr="00A12385">
          <w:rPr>
            <w:rStyle w:val="aff9"/>
            <w:noProof/>
          </w:rPr>
          <w:t xml:space="preserve">1.6 </w:t>
        </w:r>
        <w:r w:rsidRPr="00A12385">
          <w:rPr>
            <w:rStyle w:val="aff9"/>
            <w:noProof/>
          </w:rPr>
          <w:t>本研究的创新点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6D2860" w14:textId="05849B3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5" w:history="1">
        <w:r w:rsidRPr="00A12385">
          <w:rPr>
            <w:rStyle w:val="aff9"/>
            <w:noProof/>
          </w:rPr>
          <w:t xml:space="preserve">1.7 </w:t>
        </w:r>
        <w:r w:rsidRPr="00A12385">
          <w:rPr>
            <w:rStyle w:val="aff9"/>
            <w:noProof/>
          </w:rPr>
          <w:t>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7B2CDEE" w14:textId="74CF0C52"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16" w:history="1">
        <w:r w:rsidRPr="00A12385">
          <w:rPr>
            <w:rStyle w:val="aff9"/>
            <w:noProof/>
          </w:rPr>
          <w:t>第二章</w:t>
        </w:r>
        <w:r w:rsidRPr="00A12385">
          <w:rPr>
            <w:rStyle w:val="aff9"/>
            <w:noProof/>
          </w:rPr>
          <w:t xml:space="preserve"> </w:t>
        </w:r>
        <w:r w:rsidRPr="00A12385">
          <w:rPr>
            <w:rStyle w:val="aff9"/>
            <w:noProof/>
          </w:rPr>
          <w:t>数据来源与研究方法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930240" w14:textId="36BC800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7" w:history="1">
        <w:r w:rsidRPr="00A12385">
          <w:rPr>
            <w:rStyle w:val="aff9"/>
            <w:noProof/>
          </w:rPr>
          <w:t xml:space="preserve">2.1 </w:t>
        </w:r>
        <w:r w:rsidRPr="00A12385">
          <w:rPr>
            <w:rStyle w:val="aff9"/>
            <w:noProof/>
          </w:rPr>
          <w:t>数据来源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FC9FC1B" w14:textId="213A4CE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8" w:history="1">
        <w:r w:rsidRPr="00A12385">
          <w:rPr>
            <w:rStyle w:val="aff9"/>
            <w:noProof/>
          </w:rPr>
          <w:t xml:space="preserve">2.2 </w:t>
        </w:r>
        <w:r w:rsidRPr="00A12385">
          <w:rPr>
            <w:rStyle w:val="aff9"/>
            <w:noProof/>
          </w:rPr>
          <w:t>研究对象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2D9941F" w14:textId="4858ECF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19" w:history="1">
        <w:r w:rsidRPr="00A12385">
          <w:rPr>
            <w:rStyle w:val="aff9"/>
            <w:noProof/>
          </w:rPr>
          <w:t xml:space="preserve">2.3 </w:t>
        </w:r>
        <w:r w:rsidRPr="00A12385">
          <w:rPr>
            <w:rStyle w:val="aff9"/>
            <w:noProof/>
          </w:rPr>
          <w:t>数据清洗与病例级数据集构建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140F19" w14:textId="57412C5C"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0" w:history="1">
        <w:r w:rsidRPr="00A12385">
          <w:rPr>
            <w:rStyle w:val="aff9"/>
            <w:noProof/>
          </w:rPr>
          <w:t xml:space="preserve">2.3.1 </w:t>
        </w:r>
        <w:r w:rsidRPr="00A12385">
          <w:rPr>
            <w:rStyle w:val="aff9"/>
            <w:noProof/>
          </w:rPr>
          <w:t>季度数据处理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9427DF" w14:textId="5B1964F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1" w:history="1">
        <w:r w:rsidRPr="00A12385">
          <w:rPr>
            <w:rStyle w:val="aff9"/>
            <w:noProof/>
          </w:rPr>
          <w:t xml:space="preserve">2.3.2 DEMO </w:t>
        </w:r>
        <w:r w:rsidRPr="00A12385">
          <w:rPr>
            <w:rStyle w:val="aff9"/>
            <w:noProof/>
          </w:rPr>
          <w:t>表处理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ACA753E" w14:textId="3EAA46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2" w:history="1">
        <w:r w:rsidRPr="00A12385">
          <w:rPr>
            <w:rStyle w:val="aff9"/>
            <w:noProof/>
          </w:rPr>
          <w:t xml:space="preserve">2.3.3 DRUG </w:t>
        </w:r>
        <w:r w:rsidRPr="00A12385">
          <w:rPr>
            <w:rStyle w:val="aff9"/>
            <w:noProof/>
          </w:rPr>
          <w:t>表处理与药物名称标准化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400C68E" w14:textId="52375414"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3" w:history="1">
        <w:r w:rsidRPr="00A12385">
          <w:rPr>
            <w:rStyle w:val="aff9"/>
            <w:noProof/>
          </w:rPr>
          <w:t xml:space="preserve">2.3.4 </w:t>
        </w:r>
        <w:r w:rsidRPr="00A12385">
          <w:rPr>
            <w:rStyle w:val="aff9"/>
            <w:noProof/>
          </w:rPr>
          <w:t>药物暴露定义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CCE1950" w14:textId="5AE578D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4" w:history="1">
        <w:r w:rsidRPr="00A12385">
          <w:rPr>
            <w:rStyle w:val="aff9"/>
            <w:noProof/>
          </w:rPr>
          <w:t xml:space="preserve">2.3.5 REAC </w:t>
        </w:r>
        <w:r w:rsidRPr="00A12385">
          <w:rPr>
            <w:rStyle w:val="aff9"/>
            <w:noProof/>
          </w:rPr>
          <w:t>表处理与跌倒结局定义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AE0945" w14:textId="01FDA85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5" w:history="1">
        <w:r w:rsidRPr="00A12385">
          <w:rPr>
            <w:rStyle w:val="aff9"/>
            <w:noProof/>
          </w:rPr>
          <w:t xml:space="preserve">2.3.6 OUTC </w:t>
        </w:r>
        <w:r w:rsidRPr="00A12385">
          <w:rPr>
            <w:rStyle w:val="aff9"/>
            <w:noProof/>
          </w:rPr>
          <w:t>表处理与严重结局定义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A69BE5" w14:textId="70BFDE49"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6" w:history="1">
        <w:r w:rsidRPr="00A12385">
          <w:rPr>
            <w:rStyle w:val="aff9"/>
            <w:noProof/>
          </w:rPr>
          <w:t xml:space="preserve">2.3.7 </w:t>
        </w:r>
        <w:r w:rsidRPr="00A12385">
          <w:rPr>
            <w:rStyle w:val="aff9"/>
            <w:noProof/>
          </w:rPr>
          <w:t>病例级主分析表构建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6B77563" w14:textId="4F2B92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7" w:history="1">
        <w:r w:rsidRPr="00A12385">
          <w:rPr>
            <w:rStyle w:val="aff9"/>
            <w:noProof/>
          </w:rPr>
          <w:t xml:space="preserve">2.4 </w:t>
        </w:r>
        <w:r w:rsidRPr="00A12385">
          <w:rPr>
            <w:rStyle w:val="aff9"/>
            <w:noProof/>
          </w:rPr>
          <w:t>全周期数据集合并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71F1E99" w14:textId="18C54FB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28" w:history="1">
        <w:r w:rsidRPr="00A12385">
          <w:rPr>
            <w:rStyle w:val="aff9"/>
            <w:noProof/>
          </w:rPr>
          <w:t xml:space="preserve">2.5 </w:t>
        </w:r>
        <w:r w:rsidRPr="00A12385">
          <w:rPr>
            <w:rStyle w:val="aff9"/>
            <w:noProof/>
          </w:rPr>
          <w:t>暴露、结局和协变量定义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FE59FF0" w14:textId="636D54C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29" w:history="1">
        <w:r w:rsidRPr="00A12385">
          <w:rPr>
            <w:rStyle w:val="aff9"/>
            <w:noProof/>
          </w:rPr>
          <w:t xml:space="preserve">2.5.1 </w:t>
        </w:r>
        <w:r w:rsidRPr="00A12385">
          <w:rPr>
            <w:rStyle w:val="aff9"/>
            <w:noProof/>
          </w:rPr>
          <w:t>暴露变量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735712F" w14:textId="20180B95"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0" w:history="1">
        <w:r w:rsidRPr="00A12385">
          <w:rPr>
            <w:rStyle w:val="aff9"/>
            <w:noProof/>
          </w:rPr>
          <w:t xml:space="preserve">2.5.2 </w:t>
        </w:r>
        <w:r w:rsidRPr="00A12385">
          <w:rPr>
            <w:rStyle w:val="aff9"/>
            <w:noProof/>
          </w:rPr>
          <w:t>结局变量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43FE59" w14:textId="54FAD68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1" w:history="1">
        <w:r w:rsidRPr="00A12385">
          <w:rPr>
            <w:rStyle w:val="aff9"/>
            <w:noProof/>
          </w:rPr>
          <w:t xml:space="preserve">2.5.3 </w:t>
        </w:r>
        <w:r w:rsidRPr="00A12385">
          <w:rPr>
            <w:rStyle w:val="aff9"/>
            <w:noProof/>
          </w:rPr>
          <w:t>协变量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819A37" w14:textId="0C4A4C3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2" w:history="1">
        <w:r w:rsidRPr="00A12385">
          <w:rPr>
            <w:rStyle w:val="aff9"/>
            <w:noProof/>
          </w:rPr>
          <w:t xml:space="preserve">2.6 </w:t>
        </w:r>
        <w:r w:rsidRPr="00A12385">
          <w:rPr>
            <w:rStyle w:val="aff9"/>
            <w:noProof/>
          </w:rPr>
          <w:t>描述性统计方法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E05E973" w14:textId="1C7682DE"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33" w:history="1">
        <w:r w:rsidRPr="00A12385">
          <w:rPr>
            <w:rStyle w:val="aff9"/>
            <w:noProof/>
          </w:rPr>
          <w:t xml:space="preserve">2.7 </w:t>
        </w:r>
        <w:r w:rsidRPr="00A12385">
          <w:rPr>
            <w:rStyle w:val="aff9"/>
            <w:noProof/>
          </w:rPr>
          <w:t>不成比例分析方法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3D9C6D4" w14:textId="25D6A20E"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4" w:history="1">
        <w:r w:rsidRPr="00A12385">
          <w:rPr>
            <w:rStyle w:val="aff9"/>
            <w:noProof/>
          </w:rPr>
          <w:t xml:space="preserve">2.7.1 </w:t>
        </w:r>
        <w:r w:rsidRPr="00A12385">
          <w:rPr>
            <w:rStyle w:val="aff9"/>
            <w:noProof/>
          </w:rPr>
          <w:t>四格表构建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AD9C25" w14:textId="2B3470A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5" w:history="1">
        <w:r w:rsidRPr="00A12385">
          <w:rPr>
            <w:rStyle w:val="aff9"/>
            <w:noProof/>
          </w:rPr>
          <w:t>2.7.2 ROR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4BE4ED" w14:textId="1D2021B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6" w:history="1">
        <w:r w:rsidRPr="00A12385">
          <w:rPr>
            <w:rStyle w:val="aff9"/>
            <w:noProof/>
          </w:rPr>
          <w:t>2.7.3 PRR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9A1563" w14:textId="7C21B3E2"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7" w:history="1">
        <w:r w:rsidRPr="00A12385">
          <w:rPr>
            <w:rStyle w:val="aff9"/>
            <w:noProof/>
          </w:rPr>
          <w:t>2.7.4 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336721" w14:textId="518AD74B"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8" w:history="1">
        <w:r w:rsidRPr="00A12385">
          <w:rPr>
            <w:rStyle w:val="aff9"/>
            <w:noProof/>
          </w:rPr>
          <w:t>2.7.5 EBGM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20859F9" w14:textId="7765573D"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39" w:history="1">
        <w:r w:rsidRPr="00A12385">
          <w:rPr>
            <w:rStyle w:val="aff9"/>
            <w:noProof/>
          </w:rPr>
          <w:t xml:space="preserve">2.7.6 </w:t>
        </w:r>
        <w:r w:rsidRPr="00A12385">
          <w:rPr>
            <w:rStyle w:val="aff9"/>
            <w:noProof/>
          </w:rPr>
          <w:t>信号综合判定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705809" w14:textId="30872FC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0" w:history="1">
        <w:r w:rsidRPr="00A12385">
          <w:rPr>
            <w:rStyle w:val="aff9"/>
            <w:noProof/>
          </w:rPr>
          <w:t xml:space="preserve">2.8 </w:t>
        </w:r>
        <w:r w:rsidRPr="00A12385">
          <w:rPr>
            <w:rStyle w:val="aff9"/>
            <w:noProof/>
          </w:rPr>
          <w:t>多因素校正分析方法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1EE1C0D" w14:textId="4D8BAC7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1" w:history="1">
        <w:r w:rsidRPr="00A12385">
          <w:rPr>
            <w:rStyle w:val="aff9"/>
            <w:noProof/>
          </w:rPr>
          <w:t xml:space="preserve">2.9 </w:t>
        </w:r>
        <w:r w:rsidRPr="00A12385">
          <w:rPr>
            <w:rStyle w:val="aff9"/>
            <w:noProof/>
          </w:rPr>
          <w:t>机器学习辅助分析方法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6B6DCD7" w14:textId="7C89DC71"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2" w:history="1">
        <w:r w:rsidRPr="00A12385">
          <w:rPr>
            <w:rStyle w:val="aff9"/>
            <w:noProof/>
          </w:rPr>
          <w:t xml:space="preserve">2.9.1 </w:t>
        </w:r>
        <w:r w:rsidRPr="00A12385">
          <w:rPr>
            <w:rStyle w:val="aff9"/>
            <w:noProof/>
          </w:rPr>
          <w:t>建模目的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42EDD7" w14:textId="191A60E0"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3" w:history="1">
        <w:r w:rsidRPr="00A12385">
          <w:rPr>
            <w:rStyle w:val="aff9"/>
            <w:noProof/>
          </w:rPr>
          <w:t xml:space="preserve">2.9.2 </w:t>
        </w:r>
        <w:r w:rsidRPr="00A12385">
          <w:rPr>
            <w:rStyle w:val="aff9"/>
            <w:noProof/>
          </w:rPr>
          <w:t>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2AAFA65" w14:textId="2A80D026"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4" w:history="1">
        <w:r w:rsidRPr="00A12385">
          <w:rPr>
            <w:rStyle w:val="aff9"/>
            <w:noProof/>
          </w:rPr>
          <w:t xml:space="preserve">2.9.3 </w:t>
        </w:r>
        <w:r w:rsidRPr="00A12385">
          <w:rPr>
            <w:rStyle w:val="aff9"/>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54AB65" w14:textId="59208728"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5" w:history="1">
        <w:r w:rsidRPr="00A12385">
          <w:rPr>
            <w:rStyle w:val="aff9"/>
            <w:noProof/>
          </w:rPr>
          <w:t xml:space="preserve">2.9.4 </w:t>
        </w:r>
        <w:r w:rsidRPr="00A12385">
          <w:rPr>
            <w:rStyle w:val="aff9"/>
            <w:noProof/>
          </w:rPr>
          <w:t>模型类型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F3FF41F" w14:textId="76914A27" w:rsidR="00DF3AC9" w:rsidRDefault="00DF3AC9">
      <w:pPr>
        <w:pStyle w:val="TOC3"/>
        <w:tabs>
          <w:tab w:val="right" w:leader="dot" w:pos="8778"/>
        </w:tabs>
        <w:ind w:left="960"/>
        <w:rPr>
          <w:rFonts w:asciiTheme="minorHAnsi" w:eastAsiaTheme="minorEastAsia" w:hAnsiTheme="minorHAnsi" w:hint="eastAsia"/>
          <w:noProof/>
          <w:kern w:val="2"/>
          <w:sz w:val="22"/>
          <w:szCs w:val="24"/>
          <w:lang w:eastAsia="zh-CN"/>
          <w14:ligatures w14:val="standardContextual"/>
        </w:rPr>
      </w:pPr>
      <w:hyperlink w:anchor="_Toc230281346" w:history="1">
        <w:r w:rsidRPr="00A12385">
          <w:rPr>
            <w:rStyle w:val="aff9"/>
            <w:noProof/>
          </w:rPr>
          <w:t xml:space="preserve">2.9.5 </w:t>
        </w:r>
        <w:r w:rsidRPr="00A12385">
          <w:rPr>
            <w:rStyle w:val="aff9"/>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385061B" w14:textId="4C0F5EF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7" w:history="1">
        <w:r w:rsidRPr="00A12385">
          <w:rPr>
            <w:rStyle w:val="aff9"/>
            <w:noProof/>
          </w:rPr>
          <w:t xml:space="preserve">2.10 </w:t>
        </w:r>
        <w:r w:rsidRPr="00A12385">
          <w:rPr>
            <w:rStyle w:val="aff9"/>
            <w:noProof/>
          </w:rPr>
          <w:t>统计软件与实现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148002B" w14:textId="312CAB2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48" w:history="1">
        <w:r w:rsidRPr="00A12385">
          <w:rPr>
            <w:rStyle w:val="aff9"/>
            <w:noProof/>
          </w:rPr>
          <w:t xml:space="preserve">2.11 </w:t>
        </w:r>
        <w:r w:rsidRPr="00A12385">
          <w:rPr>
            <w:rStyle w:val="aff9"/>
            <w:noProof/>
          </w:rPr>
          <w:t>质量控制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3B3A9B" w14:textId="0D2C00DE"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49" w:history="1">
        <w:r w:rsidRPr="00A12385">
          <w:rPr>
            <w:rStyle w:val="aff9"/>
            <w:noProof/>
          </w:rPr>
          <w:t>第三章</w:t>
        </w:r>
        <w:r w:rsidRPr="00A12385">
          <w:rPr>
            <w:rStyle w:val="aff9"/>
            <w:noProof/>
          </w:rPr>
          <w:t xml:space="preserve"> </w:t>
        </w:r>
        <w:r w:rsidRPr="00A12385">
          <w:rPr>
            <w:rStyle w:val="aff9"/>
            <w:noProof/>
          </w:rPr>
          <w:t>数据集构建与描述性分析结果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543FCA3" w14:textId="243731B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0" w:history="1">
        <w:r w:rsidRPr="00A12385">
          <w:rPr>
            <w:rStyle w:val="aff9"/>
            <w:noProof/>
          </w:rPr>
          <w:t xml:space="preserve">3.1 </w:t>
        </w:r>
        <w:r w:rsidRPr="00A12385">
          <w:rPr>
            <w:rStyle w:val="aff9"/>
            <w:noProof/>
          </w:rPr>
          <w:t>数据处理总体情况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C3FD921" w14:textId="4A351BD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1" w:history="1">
        <w:r w:rsidRPr="00A12385">
          <w:rPr>
            <w:rStyle w:val="aff9"/>
            <w:noProof/>
          </w:rPr>
          <w:t xml:space="preserve">3.2 </w:t>
        </w:r>
        <w:r w:rsidRPr="00A12385">
          <w:rPr>
            <w:rStyle w:val="aff9"/>
            <w:noProof/>
          </w:rPr>
          <w:t>全周期主要变量总体分布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8797E4A" w14:textId="61545A1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2" w:history="1">
        <w:r w:rsidRPr="00A12385">
          <w:rPr>
            <w:rStyle w:val="aff9"/>
            <w:noProof/>
          </w:rPr>
          <w:t xml:space="preserve">3.3 </w:t>
        </w:r>
        <w:r w:rsidRPr="00A12385">
          <w:rPr>
            <w:rStyle w:val="aff9"/>
            <w:noProof/>
          </w:rPr>
          <w:t>主分析人群与暴露</w:t>
        </w:r>
        <w:r w:rsidRPr="00A12385">
          <w:rPr>
            <w:rStyle w:val="aff9"/>
            <w:noProof/>
          </w:rPr>
          <w:t>-</w:t>
        </w:r>
        <w:r w:rsidRPr="00A12385">
          <w:rPr>
            <w:rStyle w:val="aff9"/>
            <w:noProof/>
          </w:rPr>
          <w:t>结局粗分布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7EE924F" w14:textId="47362C8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3" w:history="1">
        <w:r w:rsidRPr="00A12385">
          <w:rPr>
            <w:rStyle w:val="aff9"/>
            <w:noProof/>
          </w:rPr>
          <w:t xml:space="preserve">3.4 2025 </w:t>
        </w:r>
        <w:r w:rsidRPr="00A12385">
          <w:rPr>
            <w:rStyle w:val="aff9"/>
            <w:noProof/>
          </w:rPr>
          <w:t>年病例描述性分析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66FA7BB" w14:textId="221A301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4" w:history="1">
        <w:r w:rsidRPr="00A12385">
          <w:rPr>
            <w:rStyle w:val="aff9"/>
            <w:noProof/>
          </w:rPr>
          <w:t xml:space="preserve">3.5 2025 </w:t>
        </w:r>
        <w:r w:rsidRPr="00A12385">
          <w:rPr>
            <w:rStyle w:val="aff9"/>
            <w:noProof/>
          </w:rPr>
          <w:t>年药物暴露与合并用药分布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829245" w14:textId="62F81CE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5" w:history="1">
        <w:r w:rsidRPr="00A12385">
          <w:rPr>
            <w:rStyle w:val="aff9"/>
            <w:noProof/>
          </w:rPr>
          <w:t xml:space="preserve">3.6 2025 </w:t>
        </w:r>
        <w:r w:rsidRPr="00A12385">
          <w:rPr>
            <w:rStyle w:val="aff9"/>
            <w:noProof/>
          </w:rPr>
          <w:t>年跌倒相关事件分布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3212AB" w14:textId="64098C9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6" w:history="1">
        <w:r w:rsidRPr="00A12385">
          <w:rPr>
            <w:rStyle w:val="aff9"/>
            <w:noProof/>
          </w:rPr>
          <w:t xml:space="preserve">3.7 </w:t>
        </w:r>
        <w:r w:rsidRPr="00A12385">
          <w:rPr>
            <w:rStyle w:val="aff9"/>
            <w:noProof/>
          </w:rPr>
          <w:t>报告国家分布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C030D67" w14:textId="5402669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57" w:history="1">
        <w:r w:rsidRPr="00A12385">
          <w:rPr>
            <w:rStyle w:val="aff9"/>
            <w:noProof/>
          </w:rPr>
          <w:t xml:space="preserve">3.8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C25F5D2" w14:textId="7CC1C7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58" w:history="1">
        <w:r w:rsidRPr="00A12385">
          <w:rPr>
            <w:rStyle w:val="aff9"/>
            <w:noProof/>
          </w:rPr>
          <w:t>第四章</w:t>
        </w:r>
        <w:r w:rsidRPr="00A12385">
          <w:rPr>
            <w:rStyle w:val="aff9"/>
            <w:noProof/>
          </w:rPr>
          <w:t xml:space="preserve"> </w:t>
        </w:r>
        <w:r w:rsidRPr="00A12385">
          <w:rPr>
            <w:rStyle w:val="aff9"/>
            <w:noProof/>
          </w:rPr>
          <w:t>唑吡坦相关跌倒事件信号挖掘结果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754451E" w14:textId="6392554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4.1 主分析：唑吡坦 suspect 暴露与严格 PT 跌倒事件</w:t>
        <w:tab/>
        <w:t>22</w:t>
      </w:r>
    </w:p>
    <w:p w14:paraId="06EC62D9" w14:textId="039E77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r>
        <w:t>4.2 广义跌倒相关补充分析</w:t>
        <w:tab/>
        <w:t>23</w:t>
      </w:r>
    </w:p>
    <w:p w14:paraId="3598D53B" w14:textId="6FEE852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1" w:history="1">
        <w:r w:rsidRPr="00A12385">
          <w:rPr>
            <w:rStyle w:val="aff9"/>
            <w:noProof/>
          </w:rPr>
          <w:t xml:space="preserve">4.3 PS only </w:t>
        </w:r>
        <w:r w:rsidRPr="00A12385">
          <w:rPr>
            <w:rStyle w:val="aff9"/>
            <w:noProof/>
          </w:rPr>
          <w:t>敏感性分析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3390D54" w14:textId="035E30C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2" w:history="1">
        <w:r w:rsidRPr="00A12385">
          <w:rPr>
            <w:rStyle w:val="aff9"/>
            <w:noProof/>
          </w:rPr>
          <w:t xml:space="preserve">4.4 </w:t>
        </w:r>
        <w:r w:rsidRPr="00A12385">
          <w:rPr>
            <w:rStyle w:val="aff9"/>
            <w:noProof/>
          </w:rPr>
          <w:t>与其他</w:t>
        </w:r>
        <w:r w:rsidRPr="00A12385">
          <w:rPr>
            <w:rStyle w:val="aff9"/>
            <w:noProof/>
          </w:rPr>
          <w:t xml:space="preserve"> Z-drugs </w:t>
        </w:r>
        <w:r w:rsidRPr="00A12385">
          <w:rPr>
            <w:rStyle w:val="aff9"/>
            <w:noProof/>
          </w:rPr>
          <w:t>的比较分析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EC121A2" w14:textId="28BDDD4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3" w:history="1">
        <w:r w:rsidRPr="00A12385">
          <w:rPr>
            <w:rStyle w:val="aff9"/>
            <w:noProof/>
          </w:rPr>
          <w:t xml:space="preserve">4.5 </w:t>
        </w:r>
        <w:r w:rsidRPr="00A12385">
          <w:rPr>
            <w:rStyle w:val="aff9"/>
            <w:noProof/>
          </w:rPr>
          <w:t>探索性分层分析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234470D" w14:textId="270AF09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4" w:history="1">
        <w:r w:rsidRPr="00A12385">
          <w:rPr>
            <w:rStyle w:val="aff9"/>
            <w:noProof/>
          </w:rPr>
          <w:t xml:space="preserve">4.6 </w:t>
        </w:r>
        <w:r w:rsidRPr="00A12385">
          <w:rPr>
            <w:rStyle w:val="aff9"/>
            <w:noProof/>
          </w:rPr>
          <w:t>多因素校正分析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A9699A9" w14:textId="23278FB4"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5" w:history="1">
        <w:r w:rsidRPr="00A12385">
          <w:rPr>
            <w:rStyle w:val="aff9"/>
            <w:noProof/>
          </w:rPr>
          <w:t xml:space="preserve">4.7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E91BD5D" w14:textId="5DE120E0"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66" w:history="1">
        <w:r w:rsidRPr="00A12385">
          <w:rPr>
            <w:rStyle w:val="aff9"/>
            <w:noProof/>
          </w:rPr>
          <w:t>第五章</w:t>
        </w:r>
        <w:r w:rsidRPr="00A12385">
          <w:rPr>
            <w:rStyle w:val="aff9"/>
            <w:noProof/>
          </w:rPr>
          <w:t xml:space="preserve"> </w:t>
        </w:r>
        <w:r w:rsidRPr="00A12385">
          <w:rPr>
            <w:rStyle w:val="aff9"/>
            <w:noProof/>
          </w:rPr>
          <w:t>机器学习辅助识别模型探索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81A71DF" w14:textId="2D27014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7" w:history="1">
        <w:r w:rsidRPr="00A12385">
          <w:rPr>
            <w:rStyle w:val="aff9"/>
            <w:noProof/>
          </w:rPr>
          <w:t xml:space="preserve">5.1 </w:t>
        </w:r>
        <w:r w:rsidRPr="00A12385">
          <w:rPr>
            <w:rStyle w:val="aff9"/>
            <w:noProof/>
          </w:rPr>
          <w:t>建模目的与总体思路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98F7717" w14:textId="527A62D8"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8" w:history="1">
        <w:r w:rsidRPr="00A12385">
          <w:rPr>
            <w:rStyle w:val="aff9"/>
            <w:noProof/>
          </w:rPr>
          <w:t xml:space="preserve">5.2 </w:t>
        </w:r>
        <w:r w:rsidRPr="00A12385">
          <w:rPr>
            <w:rStyle w:val="aff9"/>
            <w:noProof/>
          </w:rPr>
          <w:t>建模数据集与目标变量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D88997" w14:textId="6DA57715"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69" w:history="1">
        <w:r w:rsidRPr="00A12385">
          <w:rPr>
            <w:rStyle w:val="aff9"/>
            <w:noProof/>
          </w:rPr>
          <w:t xml:space="preserve">5.3 </w:t>
        </w:r>
        <w:r w:rsidRPr="00A12385">
          <w:rPr>
            <w:rStyle w:val="aff9"/>
            <w:noProof/>
          </w:rPr>
          <w:t>特征体系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12356B3" w14:textId="5A6829E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0" w:history="1">
        <w:r w:rsidRPr="00A12385">
          <w:rPr>
            <w:rStyle w:val="aff9"/>
            <w:noProof/>
          </w:rPr>
          <w:t xml:space="preserve">5.4 </w:t>
        </w:r>
        <w:r w:rsidRPr="00A12385">
          <w:rPr>
            <w:rStyle w:val="aff9"/>
            <w:noProof/>
          </w:rPr>
          <w:t>模型训练与参数选择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3C1D9C9" w14:textId="2424B14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1" w:history="1">
        <w:r w:rsidRPr="00A12385">
          <w:rPr>
            <w:rStyle w:val="aff9"/>
            <w:noProof/>
          </w:rPr>
          <w:t xml:space="preserve">5.5 </w:t>
        </w:r>
        <w:r w:rsidRPr="00A12385">
          <w:rPr>
            <w:rStyle w:val="aff9"/>
            <w:noProof/>
          </w:rPr>
          <w:t>模型总体性能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ECCB5CF" w14:textId="6C65A5D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2" w:history="1">
        <w:r w:rsidRPr="00A12385">
          <w:rPr>
            <w:rStyle w:val="aff9"/>
            <w:noProof/>
          </w:rPr>
          <w:t xml:space="preserve">5.6 </w:t>
        </w:r>
        <w:r w:rsidRPr="00A12385">
          <w:rPr>
            <w:rStyle w:val="aff9"/>
            <w:noProof/>
          </w:rPr>
          <w:t>阈值下分类表现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E678C1B" w14:textId="100EB88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3" w:history="1">
        <w:r w:rsidRPr="00A12385">
          <w:rPr>
            <w:rStyle w:val="aff9"/>
            <w:noProof/>
          </w:rPr>
          <w:t xml:space="preserve">5.7 </w:t>
        </w:r>
        <w:r w:rsidRPr="00A12385">
          <w:rPr>
            <w:rStyle w:val="aff9"/>
            <w:noProof/>
          </w:rPr>
          <w:t>高风险分层识别能力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76D3B4" w14:textId="3799028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4" w:history="1">
        <w:r w:rsidRPr="00A12385">
          <w:rPr>
            <w:rStyle w:val="aff9"/>
            <w:noProof/>
          </w:rPr>
          <w:t xml:space="preserve">5.8 </w:t>
        </w:r>
        <w:r w:rsidRPr="00A12385">
          <w:rPr>
            <w:rStyle w:val="aff9"/>
            <w:noProof/>
          </w:rPr>
          <w:t>特征重要性分析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A48FD0" w14:textId="78DBFBE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5" w:history="1">
        <w:r w:rsidRPr="00A12385">
          <w:rPr>
            <w:rStyle w:val="aff9"/>
            <w:noProof/>
          </w:rPr>
          <w:t xml:space="preserve">5.9 </w:t>
        </w:r>
        <w:r w:rsidRPr="00A12385">
          <w:rPr>
            <w:rStyle w:val="aff9"/>
            <w:noProof/>
          </w:rPr>
          <w:t>与药物警戒结果的关系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62DD5DC" w14:textId="0428437F"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6" w:history="1">
        <w:r w:rsidRPr="00A12385">
          <w:rPr>
            <w:rStyle w:val="aff9"/>
            <w:noProof/>
          </w:rPr>
          <w:t xml:space="preserve">5.10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7234B6" w14:textId="23BD9703"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77" w:history="1">
        <w:r w:rsidRPr="00A12385">
          <w:rPr>
            <w:rStyle w:val="aff9"/>
            <w:noProof/>
          </w:rPr>
          <w:t>第六章</w:t>
        </w:r>
        <w:r w:rsidRPr="00A12385">
          <w:rPr>
            <w:rStyle w:val="aff9"/>
            <w:noProof/>
          </w:rPr>
          <w:t xml:space="preserve"> </w:t>
        </w:r>
        <w:r w:rsidRPr="00A12385">
          <w:rPr>
            <w:rStyle w:val="aff9"/>
            <w:noProof/>
          </w:rPr>
          <w:t>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5CF127" w14:textId="18CC10D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8" w:history="1">
        <w:r w:rsidRPr="00A12385">
          <w:rPr>
            <w:rStyle w:val="aff9"/>
            <w:noProof/>
          </w:rPr>
          <w:t xml:space="preserve">6.1 </w:t>
        </w:r>
        <w:r w:rsidRPr="00A12385">
          <w:rPr>
            <w:rStyle w:val="aff9"/>
            <w:noProof/>
          </w:rPr>
          <w:t>主要研究发现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F9C2022" w14:textId="2FE1740B"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79" w:history="1">
        <w:r w:rsidRPr="00A12385">
          <w:rPr>
            <w:rStyle w:val="aff9"/>
            <w:noProof/>
          </w:rPr>
          <w:t xml:space="preserve">6.2 </w:t>
        </w:r>
        <w:r w:rsidRPr="00A12385">
          <w:rPr>
            <w:rStyle w:val="aff9"/>
            <w:noProof/>
          </w:rPr>
          <w:t>唑吡坦与老年跌倒相关性的药学解释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389B6AE" w14:textId="2A2D1A5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0" w:history="1">
        <w:r w:rsidRPr="00A12385">
          <w:rPr>
            <w:rStyle w:val="aff9"/>
            <w:noProof/>
          </w:rPr>
          <w:t xml:space="preserve">6.3 </w:t>
        </w:r>
        <w:r w:rsidRPr="00A12385">
          <w:rPr>
            <w:rStyle w:val="aff9"/>
            <w:noProof/>
          </w:rPr>
          <w:t>与既往研究和指南认识的关系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53214A4" w14:textId="34D41C91"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1" w:history="1">
        <w:r w:rsidRPr="00A12385">
          <w:rPr>
            <w:rStyle w:val="aff9"/>
            <w:noProof/>
          </w:rPr>
          <w:t xml:space="preserve">6.4 </w:t>
        </w:r>
        <w:r w:rsidRPr="00A12385">
          <w:rPr>
            <w:rStyle w:val="aff9"/>
            <w:noProof/>
          </w:rPr>
          <w:t>高龄、多重用药和合并用药的意义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4EB2D7" w14:textId="11038C70"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2" w:history="1">
        <w:r w:rsidRPr="00A12385">
          <w:rPr>
            <w:rStyle w:val="aff9"/>
            <w:noProof/>
          </w:rPr>
          <w:t xml:space="preserve">6.5 </w:t>
        </w:r>
        <w:r w:rsidRPr="00A12385">
          <w:rPr>
            <w:rStyle w:val="aff9"/>
            <w:noProof/>
          </w:rPr>
          <w:t>与其他</w:t>
        </w:r>
        <w:r w:rsidRPr="00A12385">
          <w:rPr>
            <w:rStyle w:val="aff9"/>
            <w:noProof/>
          </w:rPr>
          <w:t xml:space="preserve"> Z-drugs </w:t>
        </w:r>
        <w:r w:rsidRPr="00A12385">
          <w:rPr>
            <w:rStyle w:val="aff9"/>
            <w:noProof/>
          </w:rPr>
          <w:t>比较的解释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F2FC516" w14:textId="438412DC"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3" w:history="1">
        <w:r w:rsidRPr="00A12385">
          <w:rPr>
            <w:rStyle w:val="aff9"/>
            <w:noProof/>
          </w:rPr>
          <w:t xml:space="preserve">6.6 </w:t>
        </w:r>
        <w:r w:rsidRPr="00A12385">
          <w:rPr>
            <w:rStyle w:val="aff9"/>
            <w:noProof/>
          </w:rPr>
          <w:t>机器学习辅助分析的意义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6A8B4CF" w14:textId="3B5DC7AA"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4" w:history="1">
        <w:r w:rsidRPr="00A12385">
          <w:rPr>
            <w:rStyle w:val="aff9"/>
            <w:noProof/>
          </w:rPr>
          <w:t xml:space="preserve">6.7 </w:t>
        </w:r>
        <w:r w:rsidRPr="00A12385">
          <w:rPr>
            <w:rStyle w:val="aff9"/>
            <w:noProof/>
          </w:rPr>
          <w:t>临床药学启示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2D3E8B" w14:textId="7ADF9A6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5" w:history="1">
        <w:r w:rsidRPr="00A12385">
          <w:rPr>
            <w:rStyle w:val="aff9"/>
            <w:noProof/>
          </w:rPr>
          <w:t xml:space="preserve">6.8 </w:t>
        </w:r>
        <w:r w:rsidRPr="00A12385">
          <w:rPr>
            <w:rStyle w:val="aff9"/>
            <w:noProof/>
          </w:rPr>
          <w:t>本研究的优势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FC53010" w14:textId="0A022DB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6" w:history="1">
        <w:r w:rsidRPr="00A12385">
          <w:rPr>
            <w:rStyle w:val="aff9"/>
            <w:noProof/>
          </w:rPr>
          <w:t xml:space="preserve">6.9 </w:t>
        </w:r>
        <w:r w:rsidRPr="00A12385">
          <w:rPr>
            <w:rStyle w:val="aff9"/>
            <w:noProof/>
          </w:rPr>
          <w:t>本研究的局限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AD1C049" w14:textId="60E9628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7" w:history="1">
        <w:r w:rsidRPr="00A12385">
          <w:rPr>
            <w:rStyle w:val="aff9"/>
            <w:noProof/>
          </w:rPr>
          <w:t xml:space="preserve">6.10 </w:t>
        </w:r>
        <w:r w:rsidRPr="00A12385">
          <w:rPr>
            <w:rStyle w:val="aff9"/>
            <w:noProof/>
          </w:rPr>
          <w:t>后续研究方向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CA8EA1" w14:textId="05554C13"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88" w:history="1">
        <w:r w:rsidRPr="00A12385">
          <w:rPr>
            <w:rStyle w:val="aff9"/>
            <w:noProof/>
          </w:rPr>
          <w:t xml:space="preserve">6.11 </w:t>
        </w:r>
        <w:r w:rsidRPr="00A12385">
          <w:rPr>
            <w:rStyle w:val="aff9"/>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4CE95B8" w14:textId="19C6781F"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89" w:history="1">
        <w:r w:rsidRPr="00A12385">
          <w:rPr>
            <w:rStyle w:val="aff9"/>
            <w:noProof/>
          </w:rPr>
          <w:t>第七章</w:t>
        </w:r>
        <w:r w:rsidRPr="00A12385">
          <w:rPr>
            <w:rStyle w:val="aff9"/>
            <w:noProof/>
          </w:rPr>
          <w:t xml:space="preserve"> </w:t>
        </w:r>
        <w:r w:rsidRPr="00A12385">
          <w:rPr>
            <w:rStyle w:val="aff9"/>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452AEE0" w14:textId="526D6C3D"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0" w:history="1">
        <w:r w:rsidRPr="00A12385">
          <w:rPr>
            <w:rStyle w:val="aff9"/>
            <w:noProof/>
          </w:rPr>
          <w:t xml:space="preserve">7.1 </w:t>
        </w:r>
        <w:r w:rsidRPr="00A12385">
          <w:rPr>
            <w:rStyle w:val="aff9"/>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0BAAF4" w14:textId="4E57B626"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1" w:history="1">
        <w:r w:rsidRPr="00A12385">
          <w:rPr>
            <w:rStyle w:val="aff9"/>
            <w:noProof/>
          </w:rPr>
          <w:t xml:space="preserve">7.2 </w:t>
        </w:r>
        <w:r w:rsidRPr="00A12385">
          <w:rPr>
            <w:rStyle w:val="aff9"/>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1AA3BD8" w14:textId="40C2A4F9"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2" w:history="1">
        <w:r w:rsidRPr="00A12385">
          <w:rPr>
            <w:rStyle w:val="aff9"/>
            <w:noProof/>
          </w:rPr>
          <w:t xml:space="preserve">7.3 </w:t>
        </w:r>
        <w:r w:rsidRPr="00A12385">
          <w:rPr>
            <w:rStyle w:val="aff9"/>
            <w:noProof/>
          </w:rPr>
          <w:t>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AC681D7" w14:textId="584BA612"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3" w:history="1">
        <w:r w:rsidRPr="00A12385">
          <w:rPr>
            <w:rStyle w:val="aff9"/>
            <w:noProof/>
          </w:rPr>
          <w:t xml:space="preserve">7.4 </w:t>
        </w:r>
        <w:r w:rsidRPr="00A12385">
          <w:rPr>
            <w:rStyle w:val="aff9"/>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701409" w14:textId="479EB457" w:rsidR="00DF3AC9" w:rsidRDefault="00DF3AC9">
      <w:pPr>
        <w:pStyle w:val="TOC2"/>
        <w:tabs>
          <w:tab w:val="right" w:leader="dot" w:pos="8778"/>
        </w:tabs>
        <w:ind w:left="480"/>
        <w:rPr>
          <w:rFonts w:asciiTheme="minorHAnsi" w:eastAsiaTheme="minorEastAsia" w:hAnsiTheme="minorHAnsi" w:hint="eastAsia"/>
          <w:noProof/>
          <w:kern w:val="2"/>
          <w:sz w:val="22"/>
          <w:szCs w:val="24"/>
          <w:lang w:eastAsia="zh-CN"/>
          <w14:ligatures w14:val="standardContextual"/>
        </w:rPr>
      </w:pPr>
      <w:hyperlink w:anchor="_Toc230281394" w:history="1">
        <w:r w:rsidRPr="00A12385">
          <w:rPr>
            <w:rStyle w:val="aff9"/>
            <w:noProof/>
          </w:rPr>
          <w:t xml:space="preserve">7.5 </w:t>
        </w:r>
        <w:r w:rsidRPr="00A12385">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2BD771B" w14:textId="7B49CE04" w:rsidR="00DF3AC9" w:rsidRDefault="00DF3AC9">
      <w:pPr>
        <w:pStyle w:val="TOC1"/>
        <w:tabs>
          <w:tab w:val="right" w:leader="dot" w:pos="8778"/>
        </w:tabs>
        <w:rPr>
          <w:rFonts w:asciiTheme="minorHAnsi" w:eastAsiaTheme="minorEastAsia" w:hAnsiTheme="minorHAnsi" w:hint="eastAsia"/>
          <w:noProof/>
          <w:kern w:val="2"/>
          <w:sz w:val="22"/>
          <w:szCs w:val="24"/>
          <w:lang w:eastAsia="zh-CN"/>
          <w14:ligatures w14:val="standardContextual"/>
        </w:rPr>
      </w:pPr>
      <w:hyperlink w:anchor="_Toc230281395" w:history="1">
        <w:r w:rsidRPr="00A12385">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_Toc230281395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F73D853" w14:textId="198F3ED9" w:rsidR="000817FF" w:rsidRDefault="00FB291E">
      <w:r>
        <w:fldChar w:fldCharType="end"/>
      </w:r>
    </w:p>
    <w:p w14:paraId="4A3ED6D2" w14:textId="77777777" w:rsidR="000817FF" w:rsidRDefault="000817FF">
      <w:pPr>
        <w:sectPr w:rsidR="000817FF">
          <w:headerReference w:type="default" r:id="rId8"/>
          <w:footerReference w:type="default" r:id="rId9"/>
          <w:pgSz w:w="11906" w:h="16838"/>
          <w:pgMar w:top="1440" w:right="1417" w:bottom="1440" w:left="1701" w:header="720" w:footer="720" w:gutter="0"/>
          <w:cols w:space="720"/>
          <w:docGrid w:linePitch="360"/>
        </w:sectPr>
      </w:pPr>
    </w:p>
    <w:p w14:paraId="67C41B11" w14:textId="77777777" w:rsidR="000817FF" w:rsidRDefault="00FB291E">
      <w:pPr>
        <w:spacing w:after="120" w:line="360" w:lineRule="auto"/>
        <w:ind w:firstLine="420"/>
      </w:pPr>
      <w:r>
        <w:rPr>
          <w:sz w:val="21"/>
        </w:rPr>
        <w:lastRenderedPageBreak/>
        <w:t>﻿</w:t>
      </w:r>
      <w:r>
        <w:rPr>
          <w:sz w:val="21"/>
        </w:rPr>
        <w:t xml:space="preserve"># </w:t>
      </w:r>
      <w:r>
        <w:rPr>
          <w:sz w:val="21"/>
        </w:rPr>
        <w:t>基于</w:t>
      </w:r>
      <w:r>
        <w:rPr>
          <w:sz w:val="21"/>
        </w:rPr>
        <w:t xml:space="preserve"> FAERS </w:t>
      </w:r>
      <w:r>
        <w:rPr>
          <w:sz w:val="21"/>
        </w:rPr>
        <w:t>数据库的老年人唑吡坦相关跌倒事件药物警戒研究</w:t>
      </w:r>
    </w:p>
    <w:p w14:paraId="694F40C7" w14:textId="77777777" w:rsidR="000817FF" w:rsidRDefault="00FB291E">
      <w:pPr>
        <w:jc w:val="center"/>
      </w:pPr>
      <w:r>
        <w:rPr>
          <w:sz w:val="20"/>
        </w:rPr>
        <w:t>完整论文初稿</w:t>
      </w:r>
      <w:r>
        <w:rPr>
          <w:sz w:val="20"/>
        </w:rPr>
        <w:t xml:space="preserve"> v1</w:t>
      </w:r>
      <w:r>
        <w:rPr>
          <w:sz w:val="20"/>
        </w:rPr>
        <w:t>。正文引用采用右上角上标形式，参考文献采用</w:t>
      </w:r>
      <w:r>
        <w:rPr>
          <w:sz w:val="20"/>
        </w:rPr>
        <w:t xml:space="preserve"> GB/T 7714 </w:t>
      </w:r>
      <w:r>
        <w:rPr>
          <w:sz w:val="20"/>
        </w:rPr>
        <w:t>顺序编码制草稿。</w:t>
      </w:r>
    </w:p>
    <w:p w14:paraId="2074F7D3" w14:textId="77777777" w:rsidR="000817FF" w:rsidRDefault="00FB291E">
      <w:pPr>
        <w:pStyle w:val="1"/>
        <w:spacing w:before="240" w:after="160"/>
        <w:jc w:val="center"/>
      </w:pPr>
      <w:bookmarkStart w:id="0" w:name="_Toc230281299"/>
      <w:r>
        <w:rPr>
          <w:rFonts w:ascii="Times New Roman" w:eastAsia="宋体" w:hAnsi="Times New Roman"/>
        </w:rPr>
        <w:t>第一章</w:t>
      </w:r>
      <w:r>
        <w:rPr>
          <w:rFonts w:ascii="Times New Roman" w:eastAsia="宋体" w:hAnsi="Times New Roman"/>
        </w:rPr>
        <w:t xml:space="preserve"> </w:t>
      </w:r>
      <w:r>
        <w:rPr>
          <w:rFonts w:ascii="Times New Roman" w:eastAsia="宋体" w:hAnsi="Times New Roman"/>
        </w:rPr>
        <w:t>绪论</w:t>
      </w:r>
      <w:bookmarkEnd w:id="0"/>
    </w:p>
    <w:p w14:paraId="425411D9" w14:textId="77777777" w:rsidR="000817FF" w:rsidRDefault="00FB291E">
      <w:pPr>
        <w:pStyle w:val="21"/>
        <w:spacing w:before="160" w:after="80"/>
      </w:pPr>
      <w:bookmarkStart w:id="1" w:name="_Toc230281300"/>
      <w:r>
        <w:rPr>
          <w:rFonts w:ascii="Times New Roman" w:eastAsia="宋体" w:hAnsi="Times New Roman"/>
        </w:rPr>
        <w:t xml:space="preserve">1.1 </w:t>
      </w:r>
      <w:r>
        <w:rPr>
          <w:rFonts w:ascii="Times New Roman" w:eastAsia="宋体" w:hAnsi="Times New Roman"/>
        </w:rPr>
        <w:t>研究背景</w:t>
      </w:r>
      <w:bookmarkEnd w:id="1"/>
    </w:p>
    <w:p w14:paraId="2E3D9484" w14:textId="77777777" w:rsidR="000817FF" w:rsidRDefault="00FB291E">
      <w:pPr>
        <w:pStyle w:val="31"/>
        <w:spacing w:before="160" w:after="80"/>
      </w:pPr>
      <w:bookmarkStart w:id="2" w:name="_Toc230281301"/>
      <w:r>
        <w:rPr>
          <w:rFonts w:ascii="Times New Roman" w:eastAsia="宋体" w:hAnsi="Times New Roman"/>
        </w:rPr>
        <w:t xml:space="preserve">1.1.1 </w:t>
      </w:r>
      <w:r>
        <w:rPr>
          <w:rFonts w:ascii="Times New Roman" w:eastAsia="宋体" w:hAnsi="Times New Roman"/>
        </w:rPr>
        <w:t>老年失眠与镇静催眠药使用问题</w:t>
      </w:r>
      <w:bookmarkEnd w:id="2"/>
    </w:p>
    <w:p w14:paraId="0B7747E6" w14:textId="77777777" w:rsidR="000817FF" w:rsidRDefault="00FB291E">
      <w:pPr>
        <w:spacing w:after="120" w:line="360" w:lineRule="auto"/>
        <w:ind w:firstLine="420"/>
      </w:pPr>
      <w:r>
        <w:rPr>
          <w:sz w:val="21"/>
        </w:rPr>
        <w:t>失眠是老年人群中常见的睡眠问题。随着年龄增长，老年人常出现睡眠结构改变、入睡困难、夜间觉醒增多、早醒和睡眠维持困难等表现。失眠不仅影响生活质量，也可能与抑郁、焦虑、认知下降、慢性疼痛、心血管疾病和多药并用等问题相互影响。对老年患者而言，失眠治疗不能只追求</w:t>
      </w:r>
      <w:r>
        <w:rPr>
          <w:sz w:val="21"/>
        </w:rPr>
        <w:t>“</w:t>
      </w:r>
      <w:r>
        <w:rPr>
          <w:sz w:val="21"/>
        </w:rPr>
        <w:t>睡着</w:t>
      </w:r>
      <w:r>
        <w:rPr>
          <w:sz w:val="21"/>
        </w:rPr>
        <w:t>”</w:t>
      </w:r>
      <w:r>
        <w:rPr>
          <w:sz w:val="21"/>
        </w:rPr>
        <w:t>，还必须同时考虑药物安全性、跌倒风险、认知功能和第二天活动能力。</w:t>
      </w:r>
    </w:p>
    <w:p w14:paraId="7A0E0204" w14:textId="77777777" w:rsidR="000817FF" w:rsidRDefault="00FB291E">
      <w:pPr>
        <w:spacing w:after="120" w:line="360" w:lineRule="auto"/>
        <w:ind w:firstLine="420"/>
      </w:pPr>
      <w:r>
        <w:rPr>
          <w:sz w:val="21"/>
        </w:rPr>
        <w:t>《中国成人失眠诊断与治疗指南》指出，失眠药物治疗需要平衡获益与风险，选择药物时应考虑患者一般状况、既往用药反应、当前用药相互作用、药物不良反应以及合并疾病等因素</w:t>
      </w:r>
      <w:r>
        <w:rPr>
          <w:sz w:val="18"/>
          <w:vertAlign w:val="superscript"/>
        </w:rPr>
        <w:t>[2]</w:t>
      </w:r>
      <w:r>
        <w:rPr>
          <w:sz w:val="21"/>
        </w:rPr>
        <w:t>。指南还强调，长期或超过</w:t>
      </w:r>
      <w:r>
        <w:rPr>
          <w:sz w:val="21"/>
        </w:rPr>
        <w:t xml:space="preserve"> 4 </w:t>
      </w:r>
      <w:r>
        <w:rPr>
          <w:sz w:val="21"/>
        </w:rPr>
        <w:t>周的药物治疗需要重新评估；慢性失眠患者不提倡镇静催眠药连续长期治疗，建议采用间歇治疗或按需治疗，并定期评估治疗反应</w:t>
      </w:r>
      <w:r>
        <w:rPr>
          <w:sz w:val="18"/>
          <w:vertAlign w:val="superscript"/>
        </w:rPr>
        <w:t>[2]</w:t>
      </w:r>
      <w:r>
        <w:rPr>
          <w:sz w:val="21"/>
        </w:rPr>
        <w:t>。</w:t>
      </w:r>
      <w:r>
        <w:rPr>
          <w:sz w:val="21"/>
        </w:rPr>
        <w:t xml:space="preserve">2025 </w:t>
      </w:r>
      <w:r>
        <w:rPr>
          <w:sz w:val="21"/>
        </w:rPr>
        <w:t>版失眠障碍诊断和治疗指南进一步更新了失眠临床评估和治疗推荐，欧洲失眠指南和</w:t>
      </w:r>
      <w:r>
        <w:rPr>
          <w:sz w:val="21"/>
        </w:rPr>
        <w:t xml:space="preserve"> AASM </w:t>
      </w:r>
      <w:r>
        <w:rPr>
          <w:sz w:val="21"/>
        </w:rPr>
        <w:t>指南也强调慢性失眠治疗应重视认知行为治疗、短疗程用药和风险评估</w:t>
      </w:r>
      <w:r>
        <w:rPr>
          <w:sz w:val="18"/>
          <w:vertAlign w:val="superscript"/>
        </w:rPr>
        <w:t>[3-5]</w:t>
      </w:r>
      <w:r>
        <w:rPr>
          <w:sz w:val="21"/>
        </w:rPr>
        <w:t>。</w:t>
      </w:r>
    </w:p>
    <w:p w14:paraId="06704DE4" w14:textId="77777777" w:rsidR="000817FF" w:rsidRDefault="00FB291E">
      <w:pPr>
        <w:spacing w:after="120" w:line="360" w:lineRule="auto"/>
        <w:ind w:firstLine="420"/>
      </w:pPr>
      <w:r>
        <w:rPr>
          <w:sz w:val="21"/>
        </w:rPr>
        <w:t>唑吡坦是一种常用的非苯二氮卓类镇静催眠药，常归入</w:t>
      </w:r>
      <w:r>
        <w:rPr>
          <w:sz w:val="21"/>
        </w:rPr>
        <w:t xml:space="preserve"> Z-drugs</w:t>
      </w:r>
      <w:r>
        <w:rPr>
          <w:sz w:val="21"/>
        </w:rPr>
        <w:t>。与传统苯二氮卓类药物相比，</w:t>
      </w:r>
      <w:r>
        <w:rPr>
          <w:sz w:val="21"/>
        </w:rPr>
        <w:t xml:space="preserve">Z-drugs </w:t>
      </w:r>
      <w:r>
        <w:rPr>
          <w:sz w:val="21"/>
        </w:rPr>
        <w:t>曾被认为具有较好的受体选择性和较短半衰期，因此在失眠治疗中应用较广。但从老年药学角度看，唑吡坦仍属于作用于中枢神经系统的催眠药物，仍可能引起嗜睡、头晕、反应迟钝、注意力下降、运动协调能力下降和次日残余效应。</w:t>
      </w:r>
      <w:r>
        <w:rPr>
          <w:sz w:val="21"/>
        </w:rPr>
        <w:t xml:space="preserve">FDA </w:t>
      </w:r>
      <w:r>
        <w:rPr>
          <w:sz w:val="21"/>
        </w:rPr>
        <w:t>曾因唑吡坦次日损害风险要求降低部分制剂推荐剂量，并于</w:t>
      </w:r>
      <w:r>
        <w:rPr>
          <w:sz w:val="21"/>
        </w:rPr>
        <w:t xml:space="preserve"> 2019 </w:t>
      </w:r>
      <w:r>
        <w:rPr>
          <w:sz w:val="21"/>
        </w:rPr>
        <w:t>年要求</w:t>
      </w:r>
      <w:r>
        <w:rPr>
          <w:sz w:val="21"/>
        </w:rPr>
        <w:t xml:space="preserve"> Z-drugs </w:t>
      </w:r>
      <w:r>
        <w:rPr>
          <w:sz w:val="21"/>
        </w:rPr>
        <w:t>增加复杂睡眠行为相关严重伤害风险的黑框警告</w:t>
      </w:r>
      <w:r>
        <w:rPr>
          <w:sz w:val="18"/>
          <w:vertAlign w:val="superscript"/>
        </w:rPr>
        <w:t>[19-22]</w:t>
      </w:r>
      <w:r>
        <w:rPr>
          <w:sz w:val="21"/>
        </w:rPr>
        <w:t>。这些问题都可能与老年跌倒风险有关。</w:t>
      </w:r>
    </w:p>
    <w:p w14:paraId="1D68CFD0" w14:textId="77777777" w:rsidR="000817FF" w:rsidRDefault="00FB291E">
      <w:pPr>
        <w:pStyle w:val="31"/>
        <w:spacing w:before="160" w:after="80"/>
      </w:pPr>
      <w:bookmarkStart w:id="3" w:name="_Toc230281302"/>
      <w:r>
        <w:rPr>
          <w:rFonts w:ascii="Times New Roman" w:eastAsia="宋体" w:hAnsi="Times New Roman"/>
        </w:rPr>
        <w:t xml:space="preserve">1.1.2 </w:t>
      </w:r>
      <w:r>
        <w:rPr>
          <w:rFonts w:ascii="Times New Roman" w:eastAsia="宋体" w:hAnsi="Times New Roman"/>
        </w:rPr>
        <w:t>老年跌倒的疾病负担</w:t>
      </w:r>
      <w:bookmarkEnd w:id="3"/>
    </w:p>
    <w:p w14:paraId="58F929F0" w14:textId="77777777" w:rsidR="000817FF" w:rsidRDefault="00FB291E">
      <w:pPr>
        <w:spacing w:after="120" w:line="360" w:lineRule="auto"/>
        <w:ind w:firstLine="420"/>
      </w:pPr>
      <w:r>
        <w:rPr>
          <w:sz w:val="21"/>
        </w:rPr>
        <w:t>跌倒是老年人常见且严重的健康问题。跌倒可导致软组织损伤、骨折、颅脑损伤、功能下降、失能、住院和死亡，也会增加家庭照护和医疗系统负担。世界卫生组织和美国</w:t>
      </w:r>
      <w:r>
        <w:rPr>
          <w:sz w:val="21"/>
        </w:rPr>
        <w:t xml:space="preserve"> CDC </w:t>
      </w:r>
      <w:r>
        <w:rPr>
          <w:sz w:val="21"/>
        </w:rPr>
        <w:t>均将老年跌倒视为重要公共卫生问题，强调跌倒预防对老年健康和伤害控制具有重要意义</w:t>
      </w:r>
      <w:r>
        <w:rPr>
          <w:sz w:val="18"/>
          <w:vertAlign w:val="superscript"/>
        </w:rPr>
        <w:t>[25-26]</w:t>
      </w:r>
      <w:r>
        <w:rPr>
          <w:sz w:val="21"/>
        </w:rPr>
        <w:t>。系统评价和全球疾病负担类研究也提示，跌倒在老年人群中发生普遍，且与骨折、住院、功能下降和长期照护需求密切相关</w:t>
      </w:r>
      <w:r>
        <w:rPr>
          <w:sz w:val="18"/>
          <w:vertAlign w:val="superscript"/>
        </w:rPr>
        <w:t>[27-30]</w:t>
      </w:r>
      <w:r>
        <w:rPr>
          <w:sz w:val="21"/>
        </w:rPr>
        <w:t>。</w:t>
      </w:r>
    </w:p>
    <w:p w14:paraId="69CAD20C" w14:textId="77777777" w:rsidR="000817FF" w:rsidRDefault="00FB291E">
      <w:pPr>
        <w:spacing w:after="120" w:line="360" w:lineRule="auto"/>
        <w:ind w:firstLine="420"/>
      </w:pPr>
      <w:r>
        <w:rPr>
          <w:sz w:val="21"/>
        </w:rPr>
        <w:t>老年人发生跌倒通常不是单一原因造成，而是多种因素共同作用的结果。年龄增长、肌力下降、平衡功能下降、视力减退、认知功能下降、慢性病共存、环境风险和药物使用都可能增加跌倒风险。其中，药物相关因素是临床上相对可干预的部分。镇静催眠药、抗抑郁药、抗精</w:t>
      </w:r>
      <w:r>
        <w:rPr>
          <w:sz w:val="21"/>
        </w:rPr>
        <w:lastRenderedPageBreak/>
        <w:t>神病药、抗癫痫药、阿片类药物、降压药和抗胆碱能药物等均可能通过镇静、低血压、眩晕、共济失调或精神运动功能受损等机制增加跌倒风险</w:t>
      </w:r>
      <w:r>
        <w:rPr>
          <w:sz w:val="18"/>
          <w:vertAlign w:val="superscript"/>
        </w:rPr>
        <w:t>[1,31-33,43]</w:t>
      </w:r>
      <w:r>
        <w:rPr>
          <w:sz w:val="21"/>
        </w:rPr>
        <w:t>。</w:t>
      </w:r>
    </w:p>
    <w:p w14:paraId="24E90BD9" w14:textId="77777777" w:rsidR="000817FF" w:rsidRDefault="00FB291E">
      <w:pPr>
        <w:pStyle w:val="31"/>
        <w:spacing w:before="160" w:after="80"/>
      </w:pPr>
      <w:bookmarkStart w:id="4" w:name="_Toc230281303"/>
      <w:r>
        <w:rPr>
          <w:rFonts w:ascii="Times New Roman" w:eastAsia="宋体" w:hAnsi="Times New Roman"/>
        </w:rPr>
        <w:t xml:space="preserve">1.1.3 </w:t>
      </w:r>
      <w:r>
        <w:rPr>
          <w:rFonts w:ascii="Times New Roman" w:eastAsia="宋体" w:hAnsi="Times New Roman"/>
        </w:rPr>
        <w:t>老年潜在不适当用药与多重用药</w:t>
      </w:r>
      <w:bookmarkEnd w:id="4"/>
    </w:p>
    <w:p w14:paraId="1B78567B" w14:textId="77777777" w:rsidR="000817FF" w:rsidRDefault="00FB291E">
      <w:pPr>
        <w:spacing w:after="120" w:line="360" w:lineRule="auto"/>
        <w:ind w:firstLine="420"/>
      </w:pPr>
      <w:r>
        <w:rPr>
          <w:sz w:val="21"/>
        </w:rPr>
        <w:t>老年患者常合并多种慢性疾病，因此多重用药较为常见。多重用药可能增加药物相互作用、不良反应、服药错误、依从性下降和潜在不适当用药风险。我国《中国老年人潜在不适当用药判断标准（</w:t>
      </w:r>
      <w:r>
        <w:rPr>
          <w:sz w:val="21"/>
        </w:rPr>
        <w:t>2017</w:t>
      </w:r>
      <w:r>
        <w:rPr>
          <w:sz w:val="21"/>
        </w:rPr>
        <w:t>年版）》结合国内外</w:t>
      </w:r>
      <w:r>
        <w:rPr>
          <w:sz w:val="21"/>
        </w:rPr>
        <w:t xml:space="preserve"> PIM </w:t>
      </w:r>
      <w:r>
        <w:rPr>
          <w:sz w:val="21"/>
        </w:rPr>
        <w:t>标准和我国老年患者用药特点，提出对相关药物在老年患者中应采取避免使用、减量或加强监测等措施</w:t>
      </w:r>
      <w:r>
        <w:rPr>
          <w:sz w:val="18"/>
          <w:vertAlign w:val="superscript"/>
        </w:rPr>
        <w:t>[40]</w:t>
      </w:r>
      <w:r>
        <w:rPr>
          <w:sz w:val="21"/>
        </w:rPr>
        <w:t>。</w:t>
      </w:r>
    </w:p>
    <w:p w14:paraId="729A6D92" w14:textId="77777777" w:rsidR="000817FF" w:rsidRDefault="00FB291E">
      <w:pPr>
        <w:spacing w:after="120" w:line="360" w:lineRule="auto"/>
        <w:ind w:firstLine="420"/>
      </w:pPr>
      <w:r>
        <w:rPr>
          <w:sz w:val="21"/>
        </w:rPr>
        <w:t>国内研究也显示，老年人潜在不适当用药问题较为突出。中国社区老年人潜在不适当用药发生率</w:t>
      </w:r>
      <w:r>
        <w:rPr>
          <w:sz w:val="21"/>
        </w:rPr>
        <w:t xml:space="preserve"> Meta </w:t>
      </w:r>
      <w:r>
        <w:rPr>
          <w:sz w:val="21"/>
        </w:rPr>
        <w:t>分析显示，我国社区老年人</w:t>
      </w:r>
      <w:r>
        <w:rPr>
          <w:sz w:val="21"/>
        </w:rPr>
        <w:t xml:space="preserve"> PIM </w:t>
      </w:r>
      <w:r>
        <w:rPr>
          <w:sz w:val="21"/>
        </w:rPr>
        <w:t>发生率为</w:t>
      </w:r>
      <w:r>
        <w:rPr>
          <w:sz w:val="21"/>
        </w:rPr>
        <w:t xml:space="preserve"> 34.8%</w:t>
      </w:r>
      <w:r>
        <w:rPr>
          <w:sz w:val="21"/>
        </w:rPr>
        <w:t>，高龄、合并多病、用药数量</w:t>
      </w:r>
      <w:r>
        <w:rPr>
          <w:sz w:val="21"/>
        </w:rPr>
        <w:t xml:space="preserve"> ≥5 </w:t>
      </w:r>
      <w:r>
        <w:rPr>
          <w:sz w:val="21"/>
        </w:rPr>
        <w:t>种和</w:t>
      </w:r>
      <w:r>
        <w:rPr>
          <w:sz w:val="21"/>
        </w:rPr>
        <w:t xml:space="preserve"> ≥10 </w:t>
      </w:r>
      <w:r>
        <w:rPr>
          <w:sz w:val="21"/>
        </w:rPr>
        <w:t>种均与</w:t>
      </w:r>
      <w:r>
        <w:rPr>
          <w:sz w:val="21"/>
        </w:rPr>
        <w:t xml:space="preserve"> PIM </w:t>
      </w:r>
      <w:r>
        <w:rPr>
          <w:sz w:val="21"/>
        </w:rPr>
        <w:t>发生相关</w:t>
      </w:r>
      <w:r>
        <w:rPr>
          <w:sz w:val="18"/>
          <w:vertAlign w:val="superscript"/>
        </w:rPr>
        <w:t>[41]</w:t>
      </w:r>
      <w:r>
        <w:rPr>
          <w:sz w:val="21"/>
        </w:rPr>
        <w:t>。老年人潜在不适当用药的现状研究也提示，共病和多重用药会增加药物不良反应和潜在可避免伤害，应加强老年用药安全管理</w:t>
      </w:r>
      <w:r>
        <w:rPr>
          <w:sz w:val="18"/>
          <w:vertAlign w:val="superscript"/>
        </w:rPr>
        <w:t>[42]</w:t>
      </w:r>
      <w:r>
        <w:rPr>
          <w:sz w:val="21"/>
        </w:rPr>
        <w:t>。</w:t>
      </w:r>
    </w:p>
    <w:p w14:paraId="296A5F6B" w14:textId="77777777" w:rsidR="000817FF" w:rsidRDefault="00FB291E">
      <w:pPr>
        <w:spacing w:after="120" w:line="360" w:lineRule="auto"/>
        <w:ind w:firstLine="420"/>
      </w:pPr>
      <w:r>
        <w:rPr>
          <w:sz w:val="21"/>
        </w:rPr>
        <w:t>在本研究关注的唑吡坦相关跌倒问题中，多重用药尤其重要。若患者同时使用唑吡坦和其他中枢神经系统活性药物，例如苯二氮卓类、抗抑郁药、抗精神病药、阿片类药物或抗癫痫药，可能出现镇静效应叠加，从而增加跌倒相关报告的可能性。多重用药和老年药代</w:t>
      </w:r>
      <w:r>
        <w:rPr>
          <w:sz w:val="21"/>
        </w:rPr>
        <w:t>/</w:t>
      </w:r>
      <w:r>
        <w:rPr>
          <w:sz w:val="21"/>
        </w:rPr>
        <w:t>药效学改变会进一步放大这种风险</w:t>
      </w:r>
      <w:r>
        <w:rPr>
          <w:sz w:val="18"/>
          <w:vertAlign w:val="superscript"/>
        </w:rPr>
        <w:t>[35-39]</w:t>
      </w:r>
      <w:r>
        <w:rPr>
          <w:sz w:val="21"/>
        </w:rPr>
        <w:t>。</w:t>
      </w:r>
      <w:r>
        <w:rPr>
          <w:sz w:val="21"/>
        </w:rPr>
        <w:t xml:space="preserve">2023 </w:t>
      </w:r>
      <w:r>
        <w:rPr>
          <w:sz w:val="21"/>
        </w:rPr>
        <w:t>年</w:t>
      </w:r>
      <w:r>
        <w:rPr>
          <w:sz w:val="21"/>
        </w:rPr>
        <w:t xml:space="preserve"> AGS Beers Criteria </w:t>
      </w:r>
      <w:r>
        <w:rPr>
          <w:sz w:val="21"/>
        </w:rPr>
        <w:t>也提醒，对于有跌倒或骨折史的老年人，应避免或谨慎使用可能导致共济失调、精神运动功能受损、晕厥或再次跌倒的中枢神经系统相关药物，包括</w:t>
      </w:r>
      <w:r>
        <w:rPr>
          <w:sz w:val="21"/>
        </w:rPr>
        <w:t xml:space="preserve"> Z-drugs</w:t>
      </w:r>
      <w:r>
        <w:rPr>
          <w:sz w:val="21"/>
        </w:rPr>
        <w:t>、苯二氮卓类、部分抗抑郁药、抗癫痫药、抗精神病药和阿片类药物等</w:t>
      </w:r>
      <w:r>
        <w:rPr>
          <w:sz w:val="18"/>
          <w:vertAlign w:val="superscript"/>
        </w:rPr>
        <w:t>[1]</w:t>
      </w:r>
      <w:r>
        <w:rPr>
          <w:sz w:val="21"/>
        </w:rPr>
        <w:t>。</w:t>
      </w:r>
    </w:p>
    <w:p w14:paraId="70DB5C91" w14:textId="77777777" w:rsidR="000817FF" w:rsidRDefault="00FB291E">
      <w:pPr>
        <w:pStyle w:val="21"/>
        <w:spacing w:before="160" w:after="80"/>
      </w:pPr>
      <w:bookmarkStart w:id="5" w:name="_Toc230281304"/>
      <w:r>
        <w:rPr>
          <w:rFonts w:ascii="Times New Roman" w:eastAsia="宋体" w:hAnsi="Times New Roman"/>
        </w:rPr>
        <w:t xml:space="preserve">1.2 </w:t>
      </w:r>
      <w:r>
        <w:rPr>
          <w:rFonts w:ascii="Times New Roman" w:eastAsia="宋体" w:hAnsi="Times New Roman"/>
        </w:rPr>
        <w:t>唑吡坦及</w:t>
      </w:r>
      <w:r>
        <w:rPr>
          <w:rFonts w:ascii="Times New Roman" w:eastAsia="宋体" w:hAnsi="Times New Roman"/>
        </w:rPr>
        <w:t xml:space="preserve"> Z-drugs </w:t>
      </w:r>
      <w:r>
        <w:rPr>
          <w:rFonts w:ascii="Times New Roman" w:eastAsia="宋体" w:hAnsi="Times New Roman"/>
        </w:rPr>
        <w:t>安全性研究现状</w:t>
      </w:r>
      <w:bookmarkEnd w:id="5"/>
    </w:p>
    <w:p w14:paraId="2A7B1892" w14:textId="77777777" w:rsidR="000817FF" w:rsidRDefault="00FB291E">
      <w:pPr>
        <w:pStyle w:val="31"/>
        <w:spacing w:before="160" w:after="80"/>
      </w:pPr>
      <w:bookmarkStart w:id="6" w:name="_Toc230281305"/>
      <w:r>
        <w:rPr>
          <w:rFonts w:ascii="Times New Roman" w:eastAsia="宋体" w:hAnsi="Times New Roman"/>
        </w:rPr>
        <w:t xml:space="preserve">1.2.1 Z-drugs </w:t>
      </w:r>
      <w:r>
        <w:rPr>
          <w:rFonts w:ascii="Times New Roman" w:eastAsia="宋体" w:hAnsi="Times New Roman"/>
        </w:rPr>
        <w:t>并非老年人中的</w:t>
      </w:r>
      <w:r>
        <w:rPr>
          <w:rFonts w:ascii="Times New Roman" w:eastAsia="宋体" w:hAnsi="Times New Roman"/>
        </w:rPr>
        <w:t>“</w:t>
      </w:r>
      <w:r>
        <w:rPr>
          <w:rFonts w:ascii="Times New Roman" w:eastAsia="宋体" w:hAnsi="Times New Roman"/>
        </w:rPr>
        <w:t>完全安全替代</w:t>
      </w:r>
      <w:r>
        <w:rPr>
          <w:rFonts w:ascii="Times New Roman" w:eastAsia="宋体" w:hAnsi="Times New Roman"/>
        </w:rPr>
        <w:t>”</w:t>
      </w:r>
      <w:bookmarkEnd w:id="6"/>
    </w:p>
    <w:p w14:paraId="4F6A501C" w14:textId="77777777" w:rsidR="000817FF" w:rsidRDefault="00FB291E">
      <w:pPr>
        <w:spacing w:after="120" w:line="360" w:lineRule="auto"/>
        <w:ind w:firstLine="420"/>
      </w:pPr>
      <w:r>
        <w:rPr>
          <w:sz w:val="21"/>
        </w:rPr>
        <w:t xml:space="preserve">Z-drugs </w:t>
      </w:r>
      <w:r>
        <w:rPr>
          <w:sz w:val="21"/>
        </w:rPr>
        <w:t>包括</w:t>
      </w:r>
      <w:r>
        <w:rPr>
          <w:sz w:val="21"/>
        </w:rPr>
        <w:t xml:space="preserve"> zolpidem</w:t>
      </w:r>
      <w:r>
        <w:rPr>
          <w:sz w:val="21"/>
        </w:rPr>
        <w:t>、</w:t>
      </w:r>
      <w:r>
        <w:rPr>
          <w:sz w:val="21"/>
        </w:rPr>
        <w:t>zaleplon</w:t>
      </w:r>
      <w:r>
        <w:rPr>
          <w:sz w:val="21"/>
        </w:rPr>
        <w:t>、</w:t>
      </w:r>
      <w:r>
        <w:rPr>
          <w:sz w:val="21"/>
        </w:rPr>
        <w:t xml:space="preserve">zopiclone </w:t>
      </w:r>
      <w:r>
        <w:rPr>
          <w:sz w:val="21"/>
        </w:rPr>
        <w:t>和</w:t>
      </w:r>
      <w:r>
        <w:rPr>
          <w:sz w:val="21"/>
        </w:rPr>
        <w:t xml:space="preserve"> eszopiclone </w:t>
      </w:r>
      <w:r>
        <w:rPr>
          <w:sz w:val="21"/>
        </w:rPr>
        <w:t>等药物。它们常用于短期失眠治疗，在临床上有一定治疗价值。但近年来越来越多研究提示，</w:t>
      </w:r>
      <w:r>
        <w:rPr>
          <w:sz w:val="21"/>
        </w:rPr>
        <w:t xml:space="preserve">Z-drugs </w:t>
      </w:r>
      <w:r>
        <w:rPr>
          <w:sz w:val="21"/>
        </w:rPr>
        <w:t>在老年患者中的安全性仍需谨慎看待。</w:t>
      </w:r>
    </w:p>
    <w:p w14:paraId="3C902F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。该标准指出，这类药物在老年人中可能产生与苯二氮卓类相似的不良反应，例如谵妄、跌倒、骨折、急诊就诊、住院和机动车事故等风险，而改善睡眠潜伏期和睡眠持续时间的获益有限</w:t>
      </w:r>
      <w:r>
        <w:rPr>
          <w:sz w:val="18"/>
          <w:vertAlign w:val="superscript"/>
        </w:rPr>
        <w:t>[1]</w:t>
      </w:r>
      <w:r>
        <w:rPr>
          <w:sz w:val="21"/>
        </w:rPr>
        <w:t>。</w:t>
      </w:r>
    </w:p>
    <w:p w14:paraId="0277EF45" w14:textId="77777777" w:rsidR="000817FF" w:rsidRDefault="00FB291E">
      <w:pPr>
        <w:spacing w:after="120" w:line="360" w:lineRule="auto"/>
        <w:ind w:firstLine="420"/>
      </w:pPr>
      <w:r>
        <w:rPr>
          <w:sz w:val="21"/>
        </w:rPr>
        <w:t>因此，在老年患者中，</w:t>
      </w:r>
      <w:r>
        <w:rPr>
          <w:sz w:val="21"/>
        </w:rPr>
        <w:t xml:space="preserve">Z-drugs </w:t>
      </w:r>
      <w:r>
        <w:rPr>
          <w:sz w:val="21"/>
        </w:rPr>
        <w:t>不能简单理解为</w:t>
      </w:r>
      <w:r>
        <w:rPr>
          <w:sz w:val="21"/>
        </w:rPr>
        <w:t>“</w:t>
      </w:r>
      <w:r>
        <w:rPr>
          <w:sz w:val="21"/>
        </w:rPr>
        <w:t>比苯二氮卓类更安全，所以可以放心长期使用</w:t>
      </w:r>
      <w:r>
        <w:rPr>
          <w:sz w:val="21"/>
        </w:rPr>
        <w:t>”</w:t>
      </w:r>
      <w:r>
        <w:rPr>
          <w:sz w:val="21"/>
        </w:rPr>
        <w:t>。更合适的临床态度是：若确需使用，应明确适应证，采用最低有效剂量和短疗程，定期评估疗效和不良反应，并尽量避免与其他中枢神经系统抑制药物叠加使用。</w:t>
      </w:r>
    </w:p>
    <w:p w14:paraId="4E22E3E9" w14:textId="77777777" w:rsidR="000817FF" w:rsidRDefault="00FB291E">
      <w:pPr>
        <w:pStyle w:val="31"/>
        <w:spacing w:before="160" w:after="80"/>
      </w:pPr>
      <w:bookmarkStart w:id="7" w:name="_Toc230281306"/>
      <w:r>
        <w:rPr>
          <w:rFonts w:ascii="Times New Roman" w:eastAsia="宋体" w:hAnsi="Times New Roman"/>
        </w:rPr>
        <w:lastRenderedPageBreak/>
        <w:t xml:space="preserve">1.2.2 </w:t>
      </w:r>
      <w:r>
        <w:rPr>
          <w:rFonts w:ascii="Times New Roman" w:eastAsia="宋体" w:hAnsi="Times New Roman"/>
        </w:rPr>
        <w:t>既往研究关于跌倒、骨折和损伤风险的证据</w:t>
      </w:r>
      <w:bookmarkEnd w:id="7"/>
    </w:p>
    <w:p w14:paraId="2B8E442E" w14:textId="77777777" w:rsidR="000817FF" w:rsidRDefault="00FB291E">
      <w:pPr>
        <w:spacing w:after="120" w:line="360" w:lineRule="auto"/>
        <w:ind w:firstLine="420"/>
      </w:pPr>
      <w:r>
        <w:rPr>
          <w:sz w:val="21"/>
        </w:rPr>
        <w:t>既往系统评价和</w:t>
      </w:r>
      <w:r>
        <w:rPr>
          <w:sz w:val="21"/>
        </w:rPr>
        <w:t xml:space="preserve"> Meta </w:t>
      </w:r>
      <w:r>
        <w:rPr>
          <w:sz w:val="21"/>
        </w:rPr>
        <w:t>分析为</w:t>
      </w:r>
      <w:r>
        <w:rPr>
          <w:sz w:val="21"/>
        </w:rPr>
        <w:t xml:space="preserve"> Z-drugs </w:t>
      </w:r>
      <w:r>
        <w:rPr>
          <w:sz w:val="21"/>
        </w:rPr>
        <w:t>与跌倒、骨折和损伤风险之间的关系提供了重要依据。一项关于</w:t>
      </w:r>
      <w:r>
        <w:rPr>
          <w:sz w:val="21"/>
        </w:rPr>
        <w:t xml:space="preserve"> Z-drugs </w:t>
      </w:r>
      <w:r>
        <w:rPr>
          <w:sz w:val="21"/>
        </w:rPr>
        <w:t>与老年跌倒、骨折和损伤风险的系统评价和</w:t>
      </w:r>
      <w:r>
        <w:rPr>
          <w:sz w:val="21"/>
        </w:rPr>
        <w:t xml:space="preserve"> Meta </w:t>
      </w:r>
      <w:r>
        <w:rPr>
          <w:sz w:val="21"/>
        </w:rPr>
        <w:t>分析显示，</w:t>
      </w:r>
      <w:r>
        <w:rPr>
          <w:sz w:val="21"/>
        </w:rPr>
        <w:t xml:space="preserve">Z-drugs </w:t>
      </w:r>
      <w:r>
        <w:rPr>
          <w:sz w:val="21"/>
        </w:rPr>
        <w:t>使用与骨折风险升高有关，并提示跌倒和损伤风险可能增加</w:t>
      </w:r>
      <w:r>
        <w:rPr>
          <w:sz w:val="18"/>
          <w:vertAlign w:val="superscript"/>
        </w:rPr>
        <w:t>[9]</w:t>
      </w:r>
      <w:r>
        <w:rPr>
          <w:sz w:val="21"/>
        </w:rPr>
        <w:t>。另一项聚焦</w:t>
      </w:r>
      <w:r>
        <w:rPr>
          <w:sz w:val="21"/>
        </w:rPr>
        <w:t xml:space="preserve"> zolpidem </w:t>
      </w:r>
      <w:r>
        <w:rPr>
          <w:sz w:val="21"/>
        </w:rPr>
        <w:t>的系统评价和</w:t>
      </w:r>
      <w:r>
        <w:rPr>
          <w:sz w:val="21"/>
        </w:rPr>
        <w:t xml:space="preserve"> Meta </w:t>
      </w:r>
      <w:r>
        <w:rPr>
          <w:sz w:val="21"/>
        </w:rPr>
        <w:t>分析纳入</w:t>
      </w:r>
      <w:r>
        <w:rPr>
          <w:sz w:val="21"/>
        </w:rPr>
        <w:t xml:space="preserve"> 9 </w:t>
      </w:r>
      <w:r>
        <w:rPr>
          <w:sz w:val="21"/>
        </w:rPr>
        <w:t>项研究、超过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，髋部骨折风险也明显升高</w:t>
      </w:r>
      <w:r>
        <w:rPr>
          <w:sz w:val="18"/>
          <w:vertAlign w:val="superscript"/>
        </w:rPr>
        <w:t>[10]</w:t>
      </w:r>
      <w:r>
        <w:rPr>
          <w:sz w:val="21"/>
        </w:rPr>
        <w:t>。</w:t>
      </w:r>
    </w:p>
    <w:p w14:paraId="0BDA5DB9" w14:textId="77777777" w:rsidR="000817FF" w:rsidRDefault="00FB291E">
      <w:pPr>
        <w:spacing w:after="120" w:line="360" w:lineRule="auto"/>
        <w:ind w:firstLine="420"/>
      </w:pPr>
      <w:r>
        <w:rPr>
          <w:sz w:val="21"/>
        </w:rPr>
        <w:t>此外，老年失眠患者队列、住院患者研究、护理院研究和</w:t>
      </w:r>
      <w:r>
        <w:rPr>
          <w:sz w:val="21"/>
        </w:rPr>
        <w:t xml:space="preserve"> Medicare </w:t>
      </w:r>
      <w:r>
        <w:rPr>
          <w:sz w:val="21"/>
        </w:rPr>
        <w:t>数据均提示，唑吡坦或非苯二氮卓类催眠药与跌倒、骨折或医疗资源使用增加有关</w:t>
      </w:r>
      <w:r>
        <w:rPr>
          <w:sz w:val="18"/>
          <w:vertAlign w:val="superscript"/>
        </w:rPr>
        <w:t>[11-15,69]</w:t>
      </w:r>
      <w:r>
        <w:rPr>
          <w:sz w:val="21"/>
        </w:rPr>
        <w:t>。这些研究提示，老年失眠药物治疗不仅是睡眠问题，也与跌倒、损伤、医疗利用和公共卫生负担有关。</w:t>
      </w:r>
    </w:p>
    <w:p w14:paraId="534A40D9" w14:textId="77777777" w:rsidR="000817FF" w:rsidRDefault="00FB291E">
      <w:pPr>
        <w:spacing w:after="120" w:line="360" w:lineRule="auto"/>
        <w:ind w:firstLine="420"/>
      </w:pPr>
      <w:r>
        <w:rPr>
          <w:sz w:val="21"/>
        </w:rPr>
        <w:t>不过，既往研究多采用队列研究、病例对照研究或医保数据库研究，研究人群、暴露定义和结局定义差异较大。针对</w:t>
      </w:r>
      <w:r>
        <w:rPr>
          <w:sz w:val="21"/>
        </w:rPr>
        <w:t xml:space="preserve"> FAERS </w:t>
      </w:r>
      <w:r>
        <w:rPr>
          <w:sz w:val="21"/>
        </w:rPr>
        <w:t>这类上市后自发报告数据库中唑吡坦相关跌倒信号的研究仍有补充空间。药物警戒数据库虽然不能证明因果关系，但可以从上市后安全性监测角度发现潜在信号。</w:t>
      </w:r>
    </w:p>
    <w:p w14:paraId="62A698FA" w14:textId="77777777" w:rsidR="000817FF" w:rsidRDefault="00FB291E">
      <w:pPr>
        <w:pStyle w:val="21"/>
        <w:spacing w:before="160" w:after="80"/>
      </w:pPr>
      <w:bookmarkStart w:id="8" w:name="_Toc230281307"/>
      <w:r>
        <w:rPr>
          <w:rFonts w:ascii="Times New Roman" w:eastAsia="宋体" w:hAnsi="Times New Roman"/>
        </w:rPr>
        <w:t xml:space="preserve">1.3 FAERS </w:t>
      </w:r>
      <w:r>
        <w:rPr>
          <w:rFonts w:ascii="Times New Roman" w:eastAsia="宋体" w:hAnsi="Times New Roman"/>
        </w:rPr>
        <w:t>数据库与药物警戒研究</w:t>
      </w:r>
      <w:bookmarkEnd w:id="8"/>
    </w:p>
    <w:p w14:paraId="2C4787FD" w14:textId="77777777" w:rsidR="000817FF" w:rsidRDefault="00FB291E">
      <w:pPr>
        <w:pStyle w:val="31"/>
        <w:spacing w:before="160" w:after="80"/>
      </w:pPr>
      <w:bookmarkStart w:id="9" w:name="_Toc230281308"/>
      <w:r>
        <w:rPr>
          <w:rFonts w:ascii="Times New Roman" w:eastAsia="宋体" w:hAnsi="Times New Roman"/>
        </w:rPr>
        <w:t xml:space="preserve">1.3.1 FAERS </w:t>
      </w:r>
      <w:r>
        <w:rPr>
          <w:rFonts w:ascii="Times New Roman" w:eastAsia="宋体" w:hAnsi="Times New Roman"/>
        </w:rPr>
        <w:t>数据库特点</w:t>
      </w:r>
      <w:bookmarkEnd w:id="9"/>
    </w:p>
    <w:p w14:paraId="4F38AE3B" w14:textId="77777777" w:rsidR="000817FF" w:rsidRDefault="00FB291E">
      <w:pPr>
        <w:spacing w:after="120" w:line="360" w:lineRule="auto"/>
        <w:ind w:firstLine="420"/>
      </w:pPr>
      <w:r>
        <w:rPr>
          <w:sz w:val="21"/>
        </w:rPr>
        <w:t>美国</w:t>
      </w:r>
      <w:r>
        <w:rPr>
          <w:sz w:val="21"/>
        </w:rPr>
        <w:t xml:space="preserve"> FDA Adverse Event Reporting System</w:t>
      </w:r>
      <w:r>
        <w:rPr>
          <w:sz w:val="21"/>
        </w:rPr>
        <w:t>（</w:t>
      </w:r>
      <w:r>
        <w:rPr>
          <w:sz w:val="21"/>
        </w:rPr>
        <w:t>FAERS</w:t>
      </w:r>
      <w:r>
        <w:rPr>
          <w:sz w:val="21"/>
        </w:rPr>
        <w:t>）是</w:t>
      </w:r>
      <w:r>
        <w:rPr>
          <w:sz w:val="21"/>
        </w:rPr>
        <w:t xml:space="preserve"> FDA </w:t>
      </w:r>
      <w:r>
        <w:rPr>
          <w:sz w:val="21"/>
        </w:rPr>
        <w:t>用于收集药品和治疗性生物制品上市后不良事件报告的重要数据库。</w:t>
      </w:r>
      <w:r>
        <w:rPr>
          <w:sz w:val="21"/>
        </w:rPr>
        <w:t xml:space="preserve">FAERS </w:t>
      </w:r>
      <w:r>
        <w:rPr>
          <w:sz w:val="21"/>
        </w:rPr>
        <w:t>包含患者基本信息、可疑药物、合并用药、不良事件、严重结局和报告来源等信息，可用于上市后药品安全性监测和潜在安全信号发现</w:t>
      </w:r>
      <w:r>
        <w:rPr>
          <w:sz w:val="18"/>
          <w:vertAlign w:val="superscript"/>
        </w:rPr>
        <w:t>[44-46]</w:t>
      </w:r>
      <w:r>
        <w:rPr>
          <w:sz w:val="21"/>
        </w:rPr>
        <w:t>。</w:t>
      </w:r>
    </w:p>
    <w:p w14:paraId="4C80E58C" w14:textId="77777777" w:rsidR="000817FF" w:rsidRDefault="00FB291E">
      <w:pPr>
        <w:spacing w:after="120" w:line="360" w:lineRule="auto"/>
        <w:ind w:firstLine="420"/>
      </w:pPr>
      <w:r>
        <w:rPr>
          <w:sz w:val="21"/>
        </w:rPr>
        <w:t xml:space="preserve">FAERS </w:t>
      </w:r>
      <w:r>
        <w:rPr>
          <w:sz w:val="21"/>
        </w:rPr>
        <w:t>的优势在于覆盖时间长、数据量大、包含真实世界中多种药物和不良事件组合，尤其适合发现临床试验中难以发现的罕见或迟发不良事件。对于唑吡坦这类已上市多年、使用人群广泛的药物，</w:t>
      </w:r>
      <w:r>
        <w:rPr>
          <w:sz w:val="21"/>
        </w:rPr>
        <w:t xml:space="preserve">FAERS </w:t>
      </w:r>
      <w:r>
        <w:rPr>
          <w:sz w:val="21"/>
        </w:rPr>
        <w:t>可作为观察长期安全性报告模式的重要数据来源。</w:t>
      </w:r>
    </w:p>
    <w:p w14:paraId="07F31D14" w14:textId="77777777" w:rsidR="000817FF" w:rsidRDefault="00FB291E">
      <w:pPr>
        <w:spacing w:after="120" w:line="360" w:lineRule="auto"/>
        <w:ind w:firstLine="420"/>
      </w:pPr>
      <w:r>
        <w:rPr>
          <w:sz w:val="21"/>
        </w:rPr>
        <w:t>但</w:t>
      </w:r>
      <w:r>
        <w:rPr>
          <w:sz w:val="21"/>
        </w:rPr>
        <w:t xml:space="preserve"> FAERS </w:t>
      </w:r>
      <w:r>
        <w:rPr>
          <w:sz w:val="21"/>
        </w:rPr>
        <w:t>也有明显局限。首先，它是自发报告系统，存在低报、重复报告、选择性报告和刺激性报告等问题。其次，</w:t>
      </w:r>
      <w:r>
        <w:rPr>
          <w:sz w:val="21"/>
        </w:rPr>
        <w:t xml:space="preserve">FAERS </w:t>
      </w:r>
      <w:r>
        <w:rPr>
          <w:sz w:val="21"/>
        </w:rPr>
        <w:t>缺少真实用药总人数，因此不能计算真实发生率。再次，</w:t>
      </w:r>
      <w:r>
        <w:rPr>
          <w:sz w:val="21"/>
        </w:rPr>
        <w:t xml:space="preserve">FAERS </w:t>
      </w:r>
      <w:r>
        <w:rPr>
          <w:sz w:val="21"/>
        </w:rPr>
        <w:t>报告中的药物和事件同时出现，不等于药物一定导致该事件。</w:t>
      </w:r>
      <w:r>
        <w:rPr>
          <w:sz w:val="21"/>
        </w:rPr>
        <w:t xml:space="preserve">FDA </w:t>
      </w:r>
      <w:r>
        <w:rPr>
          <w:sz w:val="21"/>
        </w:rPr>
        <w:t>对</w:t>
      </w:r>
      <w:r>
        <w:rPr>
          <w:sz w:val="21"/>
        </w:rPr>
        <w:t xml:space="preserve"> FAERS </w:t>
      </w:r>
      <w:r>
        <w:rPr>
          <w:sz w:val="21"/>
        </w:rPr>
        <w:t>潜在安全信号的说明也强调，信号并不意味着</w:t>
      </w:r>
      <w:r>
        <w:rPr>
          <w:sz w:val="21"/>
        </w:rPr>
        <w:t xml:space="preserve"> FDA </w:t>
      </w:r>
      <w:r>
        <w:rPr>
          <w:sz w:val="21"/>
        </w:rPr>
        <w:t>已确认药物与风险之间存在因果关系</w:t>
      </w:r>
      <w:r>
        <w:rPr>
          <w:sz w:val="18"/>
          <w:vertAlign w:val="superscript"/>
        </w:rPr>
        <w:t>[45-46]</w:t>
      </w:r>
      <w:r>
        <w:rPr>
          <w:sz w:val="21"/>
        </w:rPr>
        <w:t>。</w:t>
      </w:r>
    </w:p>
    <w:p w14:paraId="14AF4D5A" w14:textId="77777777" w:rsidR="000817FF" w:rsidRDefault="00FB291E">
      <w:pPr>
        <w:spacing w:after="120" w:line="360" w:lineRule="auto"/>
        <w:ind w:firstLine="420"/>
      </w:pPr>
      <w:r>
        <w:rPr>
          <w:sz w:val="21"/>
        </w:rPr>
        <w:t>因此，基于</w:t>
      </w:r>
      <w:r>
        <w:rPr>
          <w:sz w:val="21"/>
        </w:rPr>
        <w:t xml:space="preserve"> FAERS </w:t>
      </w:r>
      <w:r>
        <w:rPr>
          <w:sz w:val="21"/>
        </w:rPr>
        <w:t>的研究应将结论限定为</w:t>
      </w:r>
      <w:r>
        <w:rPr>
          <w:sz w:val="21"/>
        </w:rPr>
        <w:t>“</w:t>
      </w:r>
      <w:r>
        <w:rPr>
          <w:sz w:val="21"/>
        </w:rPr>
        <w:t>报告信号</w:t>
      </w:r>
      <w:r>
        <w:rPr>
          <w:sz w:val="21"/>
        </w:rPr>
        <w:t>”</w:t>
      </w:r>
      <w:r>
        <w:rPr>
          <w:sz w:val="21"/>
        </w:rPr>
        <w:t>或</w:t>
      </w:r>
      <w:r>
        <w:rPr>
          <w:sz w:val="21"/>
        </w:rPr>
        <w:t>“</w:t>
      </w:r>
      <w:r>
        <w:rPr>
          <w:sz w:val="21"/>
        </w:rPr>
        <w:t>潜在安全性提示</w:t>
      </w:r>
      <w:r>
        <w:rPr>
          <w:sz w:val="21"/>
        </w:rPr>
        <w:t>”</w:t>
      </w:r>
      <w:r>
        <w:rPr>
          <w:sz w:val="21"/>
        </w:rPr>
        <w:t>，而不是直接写成因果判断。本研究也遵循这一原则，将结果解释为唑吡坦相关跌倒报告信号，而不是证明唑吡坦导致跌倒。</w:t>
      </w:r>
    </w:p>
    <w:p w14:paraId="24373B4E" w14:textId="77777777" w:rsidR="000817FF" w:rsidRDefault="00FB291E">
      <w:pPr>
        <w:pStyle w:val="31"/>
        <w:spacing w:before="160" w:after="80"/>
      </w:pPr>
      <w:bookmarkStart w:id="10" w:name="_Toc230281309"/>
      <w:r>
        <w:rPr>
          <w:rFonts w:ascii="Times New Roman" w:eastAsia="宋体" w:hAnsi="Times New Roman"/>
        </w:rPr>
        <w:t xml:space="preserve">1.3.2 </w:t>
      </w:r>
      <w:r>
        <w:rPr>
          <w:rFonts w:ascii="Times New Roman" w:eastAsia="宋体" w:hAnsi="Times New Roman"/>
        </w:rPr>
        <w:t>不成比例分析方法</w:t>
      </w:r>
      <w:bookmarkEnd w:id="10"/>
    </w:p>
    <w:p w14:paraId="75EAEF5B" w14:textId="77777777" w:rsidR="000817FF" w:rsidRDefault="00FB291E">
      <w:pPr>
        <w:spacing w:after="120" w:line="360" w:lineRule="auto"/>
        <w:ind w:firstLine="420"/>
      </w:pPr>
      <w:r>
        <w:rPr>
          <w:sz w:val="21"/>
        </w:rPr>
        <w:t>自发报告数据库常用不成比例分析进行药物</w:t>
      </w:r>
      <w:r>
        <w:rPr>
          <w:sz w:val="21"/>
        </w:rPr>
        <w:t>-</w:t>
      </w:r>
      <w:r>
        <w:rPr>
          <w:sz w:val="21"/>
        </w:rPr>
        <w:t>事件组合的信号检测。常见方法包括报告比值比（</w:t>
      </w:r>
      <w:r>
        <w:rPr>
          <w:sz w:val="21"/>
        </w:rPr>
        <w:t>ROR</w:t>
      </w:r>
      <w:r>
        <w:rPr>
          <w:sz w:val="21"/>
        </w:rPr>
        <w:t>）、比例报告比（</w:t>
      </w:r>
      <w:r>
        <w:rPr>
          <w:sz w:val="21"/>
        </w:rPr>
        <w:t>PRR</w:t>
      </w:r>
      <w:r>
        <w:rPr>
          <w:sz w:val="21"/>
        </w:rPr>
        <w:t>）、信息成分（</w:t>
      </w:r>
      <w:r>
        <w:rPr>
          <w:sz w:val="21"/>
        </w:rPr>
        <w:t>IC</w:t>
      </w:r>
      <w:r>
        <w:rPr>
          <w:sz w:val="21"/>
        </w:rPr>
        <w:t>）和经验贝叶斯几何均数（</w:t>
      </w:r>
      <w:r>
        <w:rPr>
          <w:sz w:val="21"/>
        </w:rPr>
        <w:t>EBGM</w:t>
      </w:r>
      <w:r>
        <w:rPr>
          <w:sz w:val="21"/>
        </w:rPr>
        <w:t>）等。</w:t>
      </w:r>
      <w:r>
        <w:rPr>
          <w:sz w:val="21"/>
        </w:rPr>
        <w:t xml:space="preserve">PRR </w:t>
      </w:r>
      <w:r>
        <w:rPr>
          <w:sz w:val="21"/>
        </w:rPr>
        <w:lastRenderedPageBreak/>
        <w:t>是较早用于自发报告系统信号生成的方法之一</w:t>
      </w:r>
      <w:r>
        <w:rPr>
          <w:sz w:val="18"/>
          <w:vertAlign w:val="superscript"/>
        </w:rPr>
        <w:t>[54-55]</w:t>
      </w:r>
      <w:r>
        <w:rPr>
          <w:sz w:val="21"/>
        </w:rPr>
        <w:t>；</w:t>
      </w:r>
      <w:r>
        <w:rPr>
          <w:sz w:val="21"/>
        </w:rPr>
        <w:t xml:space="preserve">ROR </w:t>
      </w:r>
      <w:r>
        <w:rPr>
          <w:sz w:val="21"/>
        </w:rPr>
        <w:t>也是药物警戒中常用的频数法指标</w:t>
      </w:r>
      <w:r>
        <w:rPr>
          <w:sz w:val="18"/>
          <w:vertAlign w:val="superscript"/>
        </w:rPr>
        <w:t>[55-56]</w:t>
      </w:r>
      <w:r>
        <w:rPr>
          <w:sz w:val="21"/>
        </w:rPr>
        <w:t>。</w:t>
      </w:r>
      <w:r>
        <w:rPr>
          <w:sz w:val="21"/>
        </w:rPr>
        <w:t xml:space="preserve">IC </w:t>
      </w:r>
      <w:r>
        <w:rPr>
          <w:sz w:val="21"/>
        </w:rPr>
        <w:t>和</w:t>
      </w:r>
      <w:r>
        <w:rPr>
          <w:sz w:val="21"/>
        </w:rPr>
        <w:t xml:space="preserve"> EBGM </w:t>
      </w:r>
      <w:r>
        <w:rPr>
          <w:sz w:val="21"/>
        </w:rPr>
        <w:t>属于贝叶斯类或经验贝叶斯类信号检测指标，常用于评价实际报告数是否高于期望水平</w:t>
      </w:r>
      <w:r>
        <w:rPr>
          <w:sz w:val="18"/>
          <w:vertAlign w:val="superscript"/>
        </w:rPr>
        <w:t>[57-60]</w:t>
      </w:r>
      <w:r>
        <w:rPr>
          <w:sz w:val="21"/>
        </w:rPr>
        <w:t>。</w:t>
      </w:r>
    </w:p>
    <w:p w14:paraId="50ED75F6" w14:textId="77777777" w:rsidR="000817FF" w:rsidRDefault="00FB291E">
      <w:pPr>
        <w:spacing w:after="120" w:line="360" w:lineRule="auto"/>
        <w:ind w:firstLine="420"/>
      </w:pPr>
      <w:r>
        <w:rPr>
          <w:sz w:val="21"/>
        </w:rPr>
        <w:t>方法学综述指出，</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等方法均可用于自发报告系统中的药物警戒信号检测，但各有优势和限制</w:t>
      </w:r>
      <w:r>
        <w:rPr>
          <w:sz w:val="18"/>
          <w:vertAlign w:val="superscript"/>
        </w:rPr>
        <w:t>[47-53]</w:t>
      </w:r>
      <w:r>
        <w:rPr>
          <w:sz w:val="21"/>
        </w:rPr>
        <w:t>。单一算法可能受到小样本、报告结构和事件稀疏性的影响，因此多种方法联合使用有助于从不同角度观察信号稳定性。</w:t>
      </w:r>
    </w:p>
    <w:p w14:paraId="40D33A9B" w14:textId="77777777" w:rsidR="000817FF" w:rsidRDefault="00FB291E">
      <w:pPr>
        <w:spacing w:after="120" w:line="360" w:lineRule="auto"/>
        <w:ind w:firstLine="420"/>
      </w:pPr>
      <w:r>
        <w:rPr>
          <w:sz w:val="21"/>
        </w:rPr>
        <w:t>本研究同时采用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四种指标评价唑吡坦相关跌倒事件信号，并进一步使用</w:t>
      </w:r>
      <w:r>
        <w:rPr>
          <w:sz w:val="21"/>
        </w:rPr>
        <w:t xml:space="preserve"> PS only </w:t>
      </w:r>
      <w:r>
        <w:rPr>
          <w:sz w:val="21"/>
        </w:rPr>
        <w:t>敏感性分析、多因素校正模型和机器学习辅助分析，以提高结果解释的完整性。</w:t>
      </w:r>
    </w:p>
    <w:p w14:paraId="027C16CB" w14:textId="77777777" w:rsidR="000817FF" w:rsidRDefault="00FB291E">
      <w:pPr>
        <w:pStyle w:val="21"/>
        <w:spacing w:before="160" w:after="80"/>
      </w:pPr>
      <w:bookmarkStart w:id="11" w:name="_Toc230281310"/>
      <w:r>
        <w:rPr>
          <w:rFonts w:ascii="Times New Roman" w:eastAsia="宋体" w:hAnsi="Times New Roman"/>
        </w:rPr>
        <w:t xml:space="preserve">1.4 </w:t>
      </w:r>
      <w:r>
        <w:rPr>
          <w:rFonts w:ascii="Times New Roman" w:eastAsia="宋体" w:hAnsi="Times New Roman"/>
        </w:rPr>
        <w:t>机器学习在药物警戒中的应用</w:t>
      </w:r>
      <w:bookmarkEnd w:id="11"/>
    </w:p>
    <w:p w14:paraId="6D830BFC" w14:textId="77777777" w:rsidR="000817FF" w:rsidRDefault="00FB291E">
      <w:pPr>
        <w:spacing w:after="120" w:line="360" w:lineRule="auto"/>
        <w:ind w:firstLine="420"/>
      </w:pPr>
      <w:r>
        <w:rPr>
          <w:sz w:val="21"/>
        </w:rPr>
        <w:t>随着真实世界数据和计算方法发展，机器学习逐渐被用于药物警戒任务，例如不良事件识别、个例筛查、信号检测、文献筛选、因果评估辅助和风险排序等。机器学习能够整合多维特征，捕捉传统单一指标难以表达的非线性关系和变量交互。</w:t>
      </w:r>
    </w:p>
    <w:p w14:paraId="576FC320" w14:textId="77777777" w:rsidR="000817FF" w:rsidRDefault="00FB291E">
      <w:pPr>
        <w:spacing w:after="120" w:line="360" w:lineRule="auto"/>
        <w:ind w:firstLine="420"/>
      </w:pPr>
      <w:r>
        <w:rPr>
          <w:sz w:val="21"/>
        </w:rPr>
        <w:t>药物警戒机器学习范围综述显示，</w:t>
      </w:r>
      <w:r>
        <w:rPr>
          <w:sz w:val="21"/>
        </w:rPr>
        <w:t xml:space="preserve">2000 </w:t>
      </w:r>
      <w:r>
        <w:rPr>
          <w:sz w:val="21"/>
        </w:rPr>
        <w:t>年至</w:t>
      </w:r>
      <w:r>
        <w:rPr>
          <w:sz w:val="21"/>
        </w:rPr>
        <w:t xml:space="preserve"> 2021 </w:t>
      </w:r>
      <w:r>
        <w:rPr>
          <w:sz w:val="21"/>
        </w:rPr>
        <w:t>年间已有大量研究探索机器学习用于药物警戒，但真正符合较高机器学习实践标准的研究比例仍有限</w:t>
      </w:r>
      <w:r>
        <w:rPr>
          <w:sz w:val="18"/>
          <w:vertAlign w:val="superscript"/>
        </w:rPr>
        <w:t>[61]</w:t>
      </w:r>
      <w:r>
        <w:rPr>
          <w:sz w:val="21"/>
        </w:rPr>
        <w:t>。相关系统评价也指出，</w:t>
      </w:r>
      <w:r>
        <w:rPr>
          <w:sz w:val="21"/>
        </w:rPr>
        <w:t xml:space="preserve">AI </w:t>
      </w:r>
      <w:r>
        <w:rPr>
          <w:sz w:val="21"/>
        </w:rPr>
        <w:t>和机器学习可用于药物警戒多个环节，但仍需注意数据质量、模型可解释性、外部验证和实际应用边界</w:t>
      </w:r>
      <w:r>
        <w:rPr>
          <w:sz w:val="18"/>
          <w:vertAlign w:val="superscript"/>
        </w:rPr>
        <w:t>[62-64]</w:t>
      </w:r>
      <w:r>
        <w:rPr>
          <w:sz w:val="21"/>
        </w:rPr>
        <w:t>。计算药物警戒综述进一步提示，未来信号检测可能从单一自发报告数据库走向多源数据整合和语义增强分析</w:t>
      </w:r>
      <w:r>
        <w:rPr>
          <w:sz w:val="18"/>
          <w:vertAlign w:val="superscript"/>
        </w:rPr>
        <w:t>[65-68]</w:t>
      </w:r>
      <w:r>
        <w:rPr>
          <w:sz w:val="21"/>
        </w:rPr>
        <w:t>。</w:t>
      </w:r>
    </w:p>
    <w:p w14:paraId="759D87DA" w14:textId="77777777" w:rsidR="000817FF" w:rsidRDefault="00FB291E">
      <w:pPr>
        <w:spacing w:after="120" w:line="360" w:lineRule="auto"/>
        <w:ind w:firstLine="420"/>
      </w:pPr>
      <w:r>
        <w:t>对于本研究而言，机器学习并不是为了建立临床个体预测模型。FAERS 数据缺少真实用药人群分母和完整临床随访信息，因此模型输出更适合解释为报告模式中的风险排序，而不是临床发生风险预测。本研究将机器学习作为辅助分析，目的是探索 FAERS 老年病例中哪些报告特征组合更容易对应严格 PT 跌倒事件，并观察这些特征是否与药物警戒结果和老年药学认识一致。</w:t>
      </w:r>
    </w:p>
    <w:p w14:paraId="37719F3F" w14:textId="77777777" w:rsidR="000817FF" w:rsidRDefault="00FB291E">
      <w:pPr>
        <w:pStyle w:val="21"/>
        <w:spacing w:before="160" w:after="80"/>
      </w:pPr>
      <w:bookmarkStart w:id="12" w:name="_Toc230281311"/>
      <w:r>
        <w:rPr>
          <w:rFonts w:ascii="Times New Roman" w:eastAsia="宋体" w:hAnsi="Times New Roman"/>
        </w:rPr>
        <w:t xml:space="preserve">1.5 </w:t>
      </w:r>
      <w:r>
        <w:rPr>
          <w:rFonts w:ascii="Times New Roman" w:eastAsia="宋体" w:hAnsi="Times New Roman"/>
        </w:rPr>
        <w:t>本研究的目的与意义</w:t>
      </w:r>
      <w:bookmarkEnd w:id="12"/>
    </w:p>
    <w:p w14:paraId="1CF700D7" w14:textId="77777777" w:rsidR="000817FF" w:rsidRDefault="00FB291E">
      <w:pPr>
        <w:pStyle w:val="31"/>
        <w:spacing w:before="160" w:after="80"/>
      </w:pPr>
      <w:bookmarkStart w:id="13" w:name="_Toc230281312"/>
      <w:r>
        <w:rPr>
          <w:rFonts w:ascii="Times New Roman" w:eastAsia="宋体" w:hAnsi="Times New Roman"/>
        </w:rPr>
        <w:t xml:space="preserve">1.5.1 </w:t>
      </w:r>
      <w:r>
        <w:rPr>
          <w:rFonts w:ascii="Times New Roman" w:eastAsia="宋体" w:hAnsi="Times New Roman"/>
        </w:rPr>
        <w:t>研究目的</w:t>
      </w:r>
      <w:bookmarkEnd w:id="13"/>
    </w:p>
    <w:p w14:paraId="4AE8007C" w14:textId="77777777" w:rsidR="000817FF" w:rsidRDefault="00FB291E">
      <w:pPr>
        <w:spacing w:after="120" w:line="360" w:lineRule="auto"/>
        <w:ind w:firstLine="420"/>
      </w:pPr>
      <w:r>
        <w:rPr>
          <w:sz w:val="21"/>
        </w:rPr>
        <w:t>本研究拟基于</w:t>
      </w:r>
      <w:r>
        <w:rPr>
          <w:sz w:val="21"/>
        </w:rPr>
        <w:t xml:space="preserve"> 2004-2025 </w:t>
      </w:r>
      <w:r>
        <w:rPr>
          <w:sz w:val="21"/>
        </w:rPr>
        <w:t>年</w:t>
      </w:r>
      <w:r>
        <w:rPr>
          <w:sz w:val="21"/>
        </w:rPr>
        <w:t xml:space="preserve"> FAERS </w:t>
      </w:r>
      <w:r>
        <w:rPr>
          <w:sz w:val="21"/>
        </w:rPr>
        <w:t>数据库，系统分析老年人群中唑吡坦相关跌倒事件报告信号。具体目的包括：</w:t>
      </w:r>
    </w:p>
    <w:p w14:paraId="416780B8" w14:textId="77777777" w:rsidR="000817FF" w:rsidRDefault="00FB291E">
      <w:pPr>
        <w:spacing w:after="120" w:line="360" w:lineRule="auto"/>
        <w:ind w:firstLine="420"/>
      </w:pPr>
      <w:r>
        <w:rPr>
          <w:sz w:val="21"/>
        </w:rPr>
        <w:t>第一，构建</w:t>
      </w:r>
      <w:r>
        <w:rPr>
          <w:sz w:val="21"/>
        </w:rPr>
        <w:t xml:space="preserve"> 2004-2025 </w:t>
      </w:r>
      <w:r>
        <w:rPr>
          <w:sz w:val="21"/>
        </w:rPr>
        <w:t>年</w:t>
      </w:r>
      <w:r>
        <w:rPr>
          <w:sz w:val="21"/>
        </w:rPr>
        <w:t xml:space="preserve"> FAERS </w:t>
      </w:r>
      <w:r>
        <w:rPr>
          <w:sz w:val="21"/>
        </w:rPr>
        <w:t>老年病例级分析数据集，提取唑吡坦、其他</w:t>
      </w:r>
      <w:r>
        <w:rPr>
          <w:sz w:val="21"/>
        </w:rPr>
        <w:t xml:space="preserve"> Z-drugs</w:t>
      </w:r>
      <w:r>
        <w:rPr>
          <w:sz w:val="21"/>
        </w:rPr>
        <w:t>、合并用药和跌倒相关不良事件变量。</w:t>
      </w:r>
    </w:p>
    <w:p w14:paraId="3AC1ED5C" w14:textId="77777777" w:rsidR="000817FF" w:rsidRDefault="00FB291E">
      <w:pPr>
        <w:spacing w:after="120" w:line="360" w:lineRule="auto"/>
        <w:ind w:firstLine="420"/>
      </w:pPr>
      <w:r>
        <w:t>第二，使用 ROR、PRR、IC 和 EBGM 等不成比例分析方法，评价唑吡坦 suspect 暴露与严格 PT 跌倒及广义跌倒相关事件（补充）之间是否存在报告信号。</w:t>
      </w:r>
    </w:p>
    <w:p w14:paraId="3CBBA615" w14:textId="77777777" w:rsidR="000817FF" w:rsidRDefault="00FB291E">
      <w:pPr>
        <w:spacing w:after="120" w:line="360" w:lineRule="auto"/>
        <w:ind w:firstLine="420"/>
      </w:pPr>
      <w:r>
        <w:rPr>
          <w:sz w:val="21"/>
        </w:rPr>
        <w:lastRenderedPageBreak/>
        <w:t>第三，通过</w:t>
      </w:r>
      <w:r>
        <w:rPr>
          <w:sz w:val="21"/>
        </w:rPr>
        <w:t xml:space="preserve"> PS only </w:t>
      </w:r>
      <w:r>
        <w:rPr>
          <w:sz w:val="21"/>
        </w:rPr>
        <w:t>暴露定义、广义跌倒结局和其他</w:t>
      </w:r>
      <w:r>
        <w:rPr>
          <w:sz w:val="21"/>
        </w:rPr>
        <w:t xml:space="preserve"> Z-drugs </w:t>
      </w:r>
      <w:r>
        <w:rPr>
          <w:sz w:val="21"/>
        </w:rPr>
        <w:t>比较分析，评价研究结果的稳定性。</w:t>
      </w:r>
    </w:p>
    <w:p w14:paraId="05DF4E4C" w14:textId="77777777" w:rsidR="000817FF" w:rsidRDefault="00FB291E">
      <w:pPr>
        <w:spacing w:after="120" w:line="360" w:lineRule="auto"/>
        <w:ind w:firstLine="420"/>
      </w:pPr>
      <w:r>
        <w:rPr>
          <w:sz w:val="21"/>
        </w:rPr>
        <w:t>第四，使用多因素校正模型控制年龄、性别、年份、季度、多重用药和中枢神经系统相关合并用药等可获得协变量。</w:t>
      </w:r>
    </w:p>
    <w:p w14:paraId="62CB64D7" w14:textId="77777777" w:rsidR="000817FF" w:rsidRDefault="00FB291E">
      <w:pPr>
        <w:spacing w:after="120" w:line="360" w:lineRule="auto"/>
        <w:ind w:firstLine="420"/>
      </w:pPr>
      <w:r>
        <w:rPr>
          <w:sz w:val="21"/>
        </w:rPr>
        <w:t>第五，构建逻辑回归、随机森林和</w:t>
      </w:r>
      <w:r>
        <w:rPr>
          <w:sz w:val="21"/>
        </w:rPr>
        <w:t xml:space="preserve"> XGBoost </w:t>
      </w:r>
      <w:r>
        <w:rPr>
          <w:sz w:val="21"/>
        </w:rPr>
        <w:t>模型，探索</w:t>
      </w:r>
      <w:r>
        <w:rPr>
          <w:sz w:val="21"/>
        </w:rPr>
        <w:t xml:space="preserve"> FAERS </w:t>
      </w:r>
      <w:r>
        <w:rPr>
          <w:sz w:val="21"/>
        </w:rPr>
        <w:t>老年病例中跌倒事件报告的多维特征组合和风险排序能力。</w:t>
      </w:r>
    </w:p>
    <w:p w14:paraId="2FE884E4" w14:textId="77777777" w:rsidR="000817FF" w:rsidRDefault="00FB291E">
      <w:pPr>
        <w:pStyle w:val="31"/>
        <w:spacing w:before="160" w:after="80"/>
      </w:pPr>
      <w:bookmarkStart w:id="14" w:name="_Toc230281313"/>
      <w:r>
        <w:rPr>
          <w:rFonts w:ascii="Times New Roman" w:eastAsia="宋体" w:hAnsi="Times New Roman"/>
        </w:rPr>
        <w:t xml:space="preserve">1.5.2 </w:t>
      </w:r>
      <w:r>
        <w:rPr>
          <w:rFonts w:ascii="Times New Roman" w:eastAsia="宋体" w:hAnsi="Times New Roman"/>
        </w:rPr>
        <w:t>研究意义</w:t>
      </w:r>
      <w:bookmarkEnd w:id="14"/>
    </w:p>
    <w:p w14:paraId="063EF12E" w14:textId="77777777" w:rsidR="000817FF" w:rsidRDefault="00FB291E">
      <w:pPr>
        <w:spacing w:after="120" w:line="360" w:lineRule="auto"/>
        <w:ind w:firstLine="420"/>
      </w:pPr>
      <w:r>
        <w:rPr>
          <w:sz w:val="21"/>
        </w:rPr>
        <w:t>本研究具有一定理论和实践意义。</w:t>
      </w:r>
    </w:p>
    <w:p w14:paraId="37B716BA" w14:textId="77777777" w:rsidR="000817FF" w:rsidRDefault="00FB291E">
      <w:pPr>
        <w:spacing w:after="120" w:line="360" w:lineRule="auto"/>
        <w:ind w:firstLine="420"/>
      </w:pPr>
      <w:r>
        <w:rPr>
          <w:sz w:val="21"/>
        </w:rPr>
        <w:t>从药物警戒角度看，本研究利用大规模上市后自发报告数据，补充了唑吡坦相关跌倒事件安全性信号证据。既往临床研究和指南已提示</w:t>
      </w:r>
      <w:r>
        <w:rPr>
          <w:sz w:val="21"/>
        </w:rPr>
        <w:t xml:space="preserve"> Z-drugs </w:t>
      </w:r>
      <w:r>
        <w:rPr>
          <w:sz w:val="21"/>
        </w:rPr>
        <w:t>在老年患者中存在跌倒、骨折和损伤风险</w:t>
      </w:r>
      <w:r>
        <w:rPr>
          <w:sz w:val="18"/>
          <w:vertAlign w:val="superscript"/>
        </w:rPr>
        <w:t>[1,9-17,69-70]</w:t>
      </w:r>
      <w:r>
        <w:rPr>
          <w:sz w:val="21"/>
        </w:rPr>
        <w:t>，而本研究从</w:t>
      </w:r>
      <w:r>
        <w:rPr>
          <w:sz w:val="21"/>
        </w:rPr>
        <w:t xml:space="preserve"> FAERS </w:t>
      </w:r>
      <w:r>
        <w:rPr>
          <w:sz w:val="21"/>
        </w:rPr>
        <w:t>报告模式角度进一步观察这一问题。</w:t>
      </w:r>
    </w:p>
    <w:p w14:paraId="05EFAD13" w14:textId="77777777" w:rsidR="000817FF" w:rsidRDefault="00FB291E">
      <w:pPr>
        <w:spacing w:after="120" w:line="360" w:lineRule="auto"/>
        <w:ind w:firstLine="420"/>
      </w:pPr>
      <w:r>
        <w:rPr>
          <w:sz w:val="21"/>
        </w:rPr>
        <w:t>从临床药学角度看，本研究聚焦老年人群、高龄、多重用药和中枢神经系统合并用药等关键背景，有助于临床药师识别唑吡坦使用中的高风险场景。研究结果可为老年患者镇静催眠药用药评估、处方审核、药物重整和跌倒风险管理提供参考。</w:t>
      </w:r>
    </w:p>
    <w:p w14:paraId="56CF5AAA" w14:textId="77777777" w:rsidR="000817FF" w:rsidRDefault="00FB291E">
      <w:pPr>
        <w:spacing w:after="120" w:line="360" w:lineRule="auto"/>
        <w:ind w:firstLine="420"/>
      </w:pPr>
      <w:r>
        <w:rPr>
          <w:sz w:val="21"/>
        </w:rPr>
        <w:t>从方法学角度看，本研究结合传统不成比例分析、多因素校正模型和机器学习辅助分析，尝试从多个层面理解</w:t>
      </w:r>
      <w:r>
        <w:rPr>
          <w:sz w:val="21"/>
        </w:rPr>
        <w:t xml:space="preserve"> FAERS </w:t>
      </w:r>
      <w:r>
        <w:rPr>
          <w:sz w:val="21"/>
        </w:rPr>
        <w:t>报告数据中的唑吡坦相关跌倒信号。这样的组合分析有助于避免单一方法解释过度，也为类似药物警戒研究提供流程参考。</w:t>
      </w:r>
    </w:p>
    <w:p w14:paraId="6BD5FE67" w14:textId="77777777" w:rsidR="000817FF" w:rsidRDefault="00FB291E">
      <w:pPr>
        <w:pStyle w:val="21"/>
        <w:spacing w:before="160" w:after="80"/>
      </w:pPr>
      <w:bookmarkStart w:id="15" w:name="_Toc230281314"/>
      <w:r>
        <w:rPr>
          <w:rFonts w:ascii="Times New Roman" w:eastAsia="宋体" w:hAnsi="Times New Roman"/>
        </w:rPr>
        <w:t xml:space="preserve">1.6 </w:t>
      </w:r>
      <w:r>
        <w:rPr>
          <w:rFonts w:ascii="Times New Roman" w:eastAsia="宋体" w:hAnsi="Times New Roman"/>
        </w:rPr>
        <w:t>本研究的创新点</w:t>
      </w:r>
      <w:bookmarkEnd w:id="15"/>
    </w:p>
    <w:p w14:paraId="0B8D9CAC" w14:textId="77777777" w:rsidR="000817FF" w:rsidRDefault="00FB291E">
      <w:pPr>
        <w:spacing w:after="120" w:line="360" w:lineRule="auto"/>
        <w:ind w:firstLine="420"/>
      </w:pPr>
      <w:r>
        <w:rPr>
          <w:sz w:val="21"/>
        </w:rPr>
        <w:t>本研究的创新点主要包括以下方面。</w:t>
      </w:r>
    </w:p>
    <w:p w14:paraId="52C031A6" w14:textId="77777777" w:rsidR="000817FF" w:rsidRDefault="00FB291E">
      <w:pPr>
        <w:spacing w:after="120" w:line="360" w:lineRule="auto"/>
        <w:ind w:firstLine="420"/>
      </w:pPr>
      <w:r>
        <w:rPr>
          <w:sz w:val="21"/>
        </w:rPr>
        <w:t>第一，研究时间跨度较长。本研究整合</w:t>
      </w:r>
      <w:r>
        <w:rPr>
          <w:sz w:val="21"/>
        </w:rPr>
        <w:t xml:space="preserve"> 2004-2025 </w:t>
      </w:r>
      <w:r>
        <w:rPr>
          <w:sz w:val="21"/>
        </w:rPr>
        <w:t>年</w:t>
      </w:r>
      <w:r>
        <w:rPr>
          <w:sz w:val="21"/>
        </w:rPr>
        <w:t xml:space="preserve"> FAERS </w:t>
      </w:r>
      <w:r>
        <w:rPr>
          <w:sz w:val="21"/>
        </w:rPr>
        <w:t>数据，构建全周期病例级数据集，覆盖唑吡坦长期上市后不良事件报告情况。</w:t>
      </w:r>
    </w:p>
    <w:p w14:paraId="323D8BDE" w14:textId="77777777" w:rsidR="000817FF" w:rsidRDefault="00FB291E">
      <w:pPr>
        <w:spacing w:after="120" w:line="360" w:lineRule="auto"/>
        <w:ind w:firstLine="420"/>
      </w:pPr>
      <w:r>
        <w:rPr>
          <w:sz w:val="21"/>
        </w:rPr>
        <w:t>第二，研究对象聚焦老年人群。老年人是跌倒高风险人群，也是镇静催眠药安全性管理重点人群，研究对象具有较强临床药学意义。</w:t>
      </w:r>
    </w:p>
    <w:p w14:paraId="7E2B7FF6" w14:textId="77777777" w:rsidR="000817FF" w:rsidRDefault="00FB291E">
      <w:pPr>
        <w:spacing w:after="120" w:line="360" w:lineRule="auto"/>
        <w:ind w:firstLine="420"/>
      </w:pPr>
      <w:r>
        <w:t>第三，暴露和结局定义较清晰。本研究同时设置 PS+SS 主分析和 PS only 敏感性分析；正式结局采用严格 PT 定义的跌倒事件，补充分析仅作为观察相关临床表现的辅助口径。</w:t>
      </w:r>
    </w:p>
    <w:p w14:paraId="65D90909" w14:textId="77777777" w:rsidR="000817FF" w:rsidRDefault="00FB291E">
      <w:pPr>
        <w:spacing w:after="120" w:line="360" w:lineRule="auto"/>
        <w:ind w:firstLine="420"/>
      </w:pPr>
      <w:r>
        <w:rPr>
          <w:sz w:val="21"/>
        </w:rPr>
        <w:t>第四，使用多种药物警戒信号检测方法。本研究同时计算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，避免完全依赖单一算法。</w:t>
      </w:r>
    </w:p>
    <w:p w14:paraId="523C8419" w14:textId="77777777" w:rsidR="000817FF" w:rsidRDefault="00FB291E">
      <w:pPr>
        <w:spacing w:after="120" w:line="360" w:lineRule="auto"/>
        <w:ind w:firstLine="420"/>
      </w:pPr>
      <w:r>
        <w:rPr>
          <w:sz w:val="21"/>
        </w:rPr>
        <w:t>第五，引入机器学习辅助识别模型。本研究将逻辑回归、随机森林和</w:t>
      </w:r>
      <w:r>
        <w:rPr>
          <w:sz w:val="21"/>
        </w:rPr>
        <w:t xml:space="preserve"> XGBoost </w:t>
      </w:r>
      <w:r>
        <w:rPr>
          <w:sz w:val="21"/>
        </w:rPr>
        <w:t>用于</w:t>
      </w:r>
      <w:r>
        <w:rPr>
          <w:sz w:val="21"/>
        </w:rPr>
        <w:t xml:space="preserve"> FAERS </w:t>
      </w:r>
      <w:r>
        <w:rPr>
          <w:sz w:val="21"/>
        </w:rPr>
        <w:t>老年病例跌倒事件辅助排序，但严格限定其解释边界，不将其夸大为临床因果模型或个体预测工具。</w:t>
      </w:r>
    </w:p>
    <w:p w14:paraId="76A48726" w14:textId="77777777" w:rsidR="000817FF" w:rsidRDefault="00FB291E">
      <w:pPr>
        <w:pStyle w:val="21"/>
        <w:spacing w:before="160" w:after="80"/>
      </w:pPr>
      <w:bookmarkStart w:id="16" w:name="_Toc230281315"/>
      <w:r>
        <w:rPr>
          <w:rFonts w:ascii="Times New Roman" w:eastAsia="宋体" w:hAnsi="Times New Roman"/>
        </w:rPr>
        <w:lastRenderedPageBreak/>
        <w:t xml:space="preserve">1.7 </w:t>
      </w:r>
      <w:r>
        <w:rPr>
          <w:rFonts w:ascii="Times New Roman" w:eastAsia="宋体" w:hAnsi="Times New Roman"/>
        </w:rPr>
        <w:t>技术路线</w:t>
      </w:r>
      <w:bookmarkEnd w:id="16"/>
    </w:p>
    <w:p w14:paraId="20E1B55E" w14:textId="77777777" w:rsidR="000817FF" w:rsidRDefault="00FB291E">
      <w:pPr>
        <w:spacing w:after="120" w:line="360" w:lineRule="auto"/>
        <w:ind w:firstLine="420"/>
      </w:pPr>
      <w:r>
        <w:rPr>
          <w:sz w:val="21"/>
        </w:rPr>
        <w:t>本研究技术路线包括以下步骤：</w:t>
      </w:r>
    </w:p>
    <w:p w14:paraId="0DF794AB" w14:textId="77777777" w:rsidR="000817FF" w:rsidRDefault="00FB291E">
      <w:pPr>
        <w:spacing w:after="120" w:line="360" w:lineRule="auto"/>
        <w:ind w:firstLine="420"/>
      </w:pPr>
      <w:r>
        <w:rPr>
          <w:sz w:val="21"/>
        </w:rPr>
        <w:t>第一，下载并整理</w:t>
      </w:r>
      <w:r>
        <w:rPr>
          <w:sz w:val="21"/>
        </w:rPr>
        <w:t xml:space="preserve"> 2004-2025 </w:t>
      </w:r>
      <w:r>
        <w:rPr>
          <w:sz w:val="21"/>
        </w:rPr>
        <w:t>年</w:t>
      </w:r>
      <w:r>
        <w:rPr>
          <w:sz w:val="21"/>
        </w:rPr>
        <w:t xml:space="preserve"> FAERS </w:t>
      </w:r>
      <w:r>
        <w:rPr>
          <w:sz w:val="21"/>
        </w:rPr>
        <w:t>季度数据，读取</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等原始表。</w:t>
      </w:r>
    </w:p>
    <w:p w14:paraId="6E0F1C77" w14:textId="77777777" w:rsidR="000817FF" w:rsidRDefault="00FB291E">
      <w:pPr>
        <w:spacing w:after="120" w:line="360" w:lineRule="auto"/>
        <w:ind w:firstLine="420"/>
      </w:pPr>
      <w:r>
        <w:t>第二，对季度数据进行清洗和病例级整理。DEMO 表用于病例基础信息和去重；DRUG 表用于构建唑吡坦、其他 Z-drugs 和合并用药变量；REAC 表用于识别严格 PT 定义的跌倒事件；OUTC 表用于构建严重结局变量。</w:t>
      </w:r>
    </w:p>
    <w:p w14:paraId="54C3F1D9" w14:textId="77777777" w:rsidR="000817FF" w:rsidRDefault="00FB291E">
      <w:pPr>
        <w:spacing w:after="120" w:line="360" w:lineRule="auto"/>
        <w:ind w:firstLine="420"/>
      </w:pPr>
      <w:r>
        <w:rPr>
          <w:sz w:val="21"/>
        </w:rPr>
        <w:t>第三，合并季度数据，构建</w:t>
      </w:r>
      <w:r>
        <w:rPr>
          <w:sz w:val="21"/>
        </w:rPr>
        <w:t xml:space="preserve"> 2004-2025 </w:t>
      </w:r>
      <w:r>
        <w:rPr>
          <w:sz w:val="21"/>
        </w:rPr>
        <w:t>年全周期病例级数据集，并进行描述性统计分析。</w:t>
      </w:r>
    </w:p>
    <w:p w14:paraId="7C21EBF8" w14:textId="77777777" w:rsidR="000817FF" w:rsidRDefault="00FB291E">
      <w:pPr>
        <w:spacing w:after="120" w:line="360" w:lineRule="auto"/>
        <w:ind w:firstLine="420"/>
      </w:pPr>
      <w:r>
        <w:t>第四，采用 ROR、PRR、IC 和 EBGM 进行不成比例信号检测，并进行 PS only、其他 Z-drugs 比较和补充探索等敏感性分析。</w:t>
      </w:r>
    </w:p>
    <w:p w14:paraId="3C6676A4" w14:textId="77777777" w:rsidR="000817FF" w:rsidRDefault="00FB291E">
      <w:pPr>
        <w:spacing w:after="120" w:line="360" w:lineRule="auto"/>
        <w:ind w:firstLine="420"/>
      </w:pPr>
      <w:r>
        <w:rPr>
          <w:sz w:val="21"/>
        </w:rPr>
        <w:t>第五，构建多因素校正模型，控制年龄、性别、年份、季度、多重用药和常见中枢神经系统合并用药等变量。</w:t>
      </w:r>
    </w:p>
    <w:p w14:paraId="41E23AA2" w14:textId="77777777" w:rsidR="000817FF" w:rsidRDefault="00FB291E">
      <w:pPr>
        <w:spacing w:after="120" w:line="360" w:lineRule="auto"/>
        <w:ind w:firstLine="420"/>
      </w:pPr>
      <w:r>
        <w:rPr>
          <w:sz w:val="21"/>
        </w:rPr>
        <w:t>第六，构建机器学习特征表，按时间划分训练集、验证集和测试集，训练逻辑回归、随机森林和</w:t>
      </w:r>
      <w:r>
        <w:rPr>
          <w:sz w:val="21"/>
        </w:rPr>
        <w:t xml:space="preserve"> XGBoost </w:t>
      </w:r>
      <w:r>
        <w:rPr>
          <w:sz w:val="21"/>
        </w:rPr>
        <w:t>模型，评价其辅助识别和风险排序能力。</w:t>
      </w:r>
    </w:p>
    <w:p w14:paraId="1EF03684" w14:textId="77777777" w:rsidR="000817FF" w:rsidRDefault="00FB291E">
      <w:pPr>
        <w:spacing w:after="120" w:line="360" w:lineRule="auto"/>
        <w:ind w:firstLine="420"/>
      </w:pPr>
      <w:r>
        <w:rPr>
          <w:sz w:val="21"/>
        </w:rPr>
        <w:t>第七，结合药物警戒结果、机器学习结果、既往文献和老年药学理论，对唑吡坦相关跌倒事件信号进行综合讨论。</w:t>
      </w:r>
    </w:p>
    <w:p w14:paraId="00681B62" w14:textId="77777777" w:rsidR="000817FF" w:rsidRDefault="00FB291E">
      <w:r>
        <w:br w:type="page"/>
      </w:r>
    </w:p>
    <w:p w14:paraId="34EF1F45" w14:textId="77777777" w:rsidR="000817FF" w:rsidRDefault="00FB291E">
      <w:pPr>
        <w:pStyle w:val="1"/>
        <w:spacing w:before="240" w:after="160"/>
        <w:jc w:val="center"/>
      </w:pPr>
      <w:bookmarkStart w:id="17" w:name="_Toc230281316"/>
      <w:r>
        <w:rPr>
          <w:rFonts w:ascii="Times New Roman" w:eastAsia="宋体" w:hAnsi="Times New Roman"/>
        </w:rPr>
        <w:lastRenderedPageBreak/>
        <w:t>第二章</w:t>
      </w:r>
      <w:r>
        <w:rPr>
          <w:rFonts w:ascii="Times New Roman" w:eastAsia="宋体" w:hAnsi="Times New Roman"/>
        </w:rPr>
        <w:t xml:space="preserve"> </w:t>
      </w:r>
      <w:r>
        <w:rPr>
          <w:rFonts w:ascii="Times New Roman" w:eastAsia="宋体" w:hAnsi="Times New Roman"/>
        </w:rPr>
        <w:t>数据来源与研究方法</w:t>
      </w:r>
      <w:bookmarkEnd w:id="17"/>
    </w:p>
    <w:p w14:paraId="548F7B66" w14:textId="77777777" w:rsidR="000817FF" w:rsidRDefault="00FB291E">
      <w:pPr>
        <w:pStyle w:val="21"/>
        <w:spacing w:before="160" w:after="80"/>
      </w:pPr>
      <w:bookmarkStart w:id="18" w:name="_Toc230281317"/>
      <w:r>
        <w:rPr>
          <w:rFonts w:ascii="Times New Roman" w:eastAsia="宋体" w:hAnsi="Times New Roman"/>
        </w:rPr>
        <w:t xml:space="preserve">2.1 </w:t>
      </w:r>
      <w:r>
        <w:rPr>
          <w:rFonts w:ascii="Times New Roman" w:eastAsia="宋体" w:hAnsi="Times New Roman"/>
        </w:rPr>
        <w:t>数据来源</w:t>
      </w:r>
      <w:bookmarkEnd w:id="18"/>
    </w:p>
    <w:p w14:paraId="1F7DDE69" w14:textId="77777777" w:rsidR="000817FF" w:rsidRDefault="00FB291E">
      <w:pPr>
        <w:spacing w:after="120" w:line="360" w:lineRule="auto"/>
        <w:ind w:firstLine="420"/>
      </w:pPr>
      <w:r>
        <w:rPr>
          <w:sz w:val="21"/>
        </w:rPr>
        <w:t>本研究数据来源于美国食品药品监督管理局（</w:t>
      </w:r>
      <w:r>
        <w:rPr>
          <w:sz w:val="21"/>
        </w:rPr>
        <w:t>Food and Drug Administration</w:t>
      </w:r>
      <w:r>
        <w:rPr>
          <w:sz w:val="21"/>
        </w:rPr>
        <w:t>，</w:t>
      </w:r>
      <w:r>
        <w:rPr>
          <w:sz w:val="21"/>
        </w:rPr>
        <w:t>FDA</w:t>
      </w:r>
      <w:r>
        <w:rPr>
          <w:sz w:val="21"/>
        </w:rPr>
        <w:t>）不良事件报告系统（</w:t>
      </w:r>
      <w:r>
        <w:rPr>
          <w:sz w:val="21"/>
        </w:rPr>
        <w:t>FDA Adverse Event Reporting System</w:t>
      </w:r>
      <w:r>
        <w:rPr>
          <w:sz w:val="21"/>
        </w:rPr>
        <w:t>，</w:t>
      </w:r>
      <w:r>
        <w:rPr>
          <w:sz w:val="21"/>
        </w:rPr>
        <w:t>FAERS</w:t>
      </w:r>
      <w:r>
        <w:rPr>
          <w:sz w:val="21"/>
        </w:rPr>
        <w:t>）。</w:t>
      </w:r>
      <w:r>
        <w:rPr>
          <w:sz w:val="21"/>
        </w:rPr>
        <w:t xml:space="preserve">FAERS </w:t>
      </w:r>
      <w:r>
        <w:rPr>
          <w:sz w:val="21"/>
        </w:rPr>
        <w:t>是一个用于收集药品和治疗性生物制品上市后不良事件报告的自发报告数据库，包含患者基本信息、可疑药物、合并用药、不良事件、严重结局和报告来源等信息。该数据库常用于上市后药品安全性监测和不良事件信号挖掘</w:t>
      </w:r>
      <w:r>
        <w:rPr>
          <w:sz w:val="18"/>
          <w:vertAlign w:val="superscript"/>
        </w:rPr>
        <w:t>[44-46]</w:t>
      </w:r>
      <w:r>
        <w:rPr>
          <w:sz w:val="21"/>
        </w:rPr>
        <w:t>。</w:t>
      </w:r>
    </w:p>
    <w:p w14:paraId="3ACA1A44" w14:textId="77777777" w:rsidR="000817FF" w:rsidRDefault="00FB291E">
      <w:pPr>
        <w:spacing w:after="120" w:line="360" w:lineRule="auto"/>
        <w:ind w:firstLine="420"/>
      </w:pPr>
      <w:r>
        <w:rPr>
          <w:sz w:val="21"/>
        </w:rPr>
        <w:t>本研究使用</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季度数据。每个季度原始数据主要包括</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w:t>
      </w:r>
      <w:r>
        <w:rPr>
          <w:sz w:val="21"/>
        </w:rPr>
        <w:t xml:space="preserve">DEMO </w:t>
      </w:r>
      <w:r>
        <w:rPr>
          <w:sz w:val="21"/>
        </w:rPr>
        <w:t>表记录病例基本信息，例如病例编号、报告日期、年龄、性别、报告国家等；</w:t>
      </w:r>
      <w:r>
        <w:rPr>
          <w:sz w:val="21"/>
        </w:rPr>
        <w:t xml:space="preserve">DRUG </w:t>
      </w:r>
      <w:r>
        <w:rPr>
          <w:sz w:val="21"/>
        </w:rPr>
        <w:t>表记录病例中涉及的药物名称、活性成分和药物角色；</w:t>
      </w:r>
      <w:r>
        <w:rPr>
          <w:sz w:val="21"/>
        </w:rPr>
        <w:t xml:space="preserve">REAC </w:t>
      </w:r>
      <w:r>
        <w:rPr>
          <w:sz w:val="21"/>
        </w:rPr>
        <w:t>表记录不良事件首选语；</w:t>
      </w:r>
      <w:r>
        <w:rPr>
          <w:sz w:val="21"/>
        </w:rPr>
        <w:t xml:space="preserve">OUTC </w:t>
      </w:r>
      <w:r>
        <w:rPr>
          <w:sz w:val="21"/>
        </w:rPr>
        <w:t>表记录死亡、住院、危及生命等严重结局信息。</w:t>
      </w:r>
    </w:p>
    <w:p w14:paraId="765E7E6A" w14:textId="77777777" w:rsidR="000817FF" w:rsidRDefault="00FB291E">
      <w:pPr>
        <w:spacing w:after="120" w:line="360" w:lineRule="auto"/>
        <w:ind w:firstLine="420"/>
      </w:pPr>
      <w:r>
        <w:rPr>
          <w:sz w:val="21"/>
        </w:rPr>
        <w:t>本研究围绕老年人群中唑吡坦相关跌倒事件开展分析。数据处理流程以病例为基本单位，先对季度原始数据进行清洗，再构建季度病例级数据集，最后合并为</w:t>
      </w:r>
      <w:r>
        <w:rPr>
          <w:sz w:val="21"/>
        </w:rPr>
        <w:t xml:space="preserve"> 2004-2025 </w:t>
      </w:r>
      <w:r>
        <w:rPr>
          <w:sz w:val="21"/>
        </w:rPr>
        <w:t>年全周期病例级分析数据集。</w:t>
      </w:r>
    </w:p>
    <w:p w14:paraId="22248EF0" w14:textId="77777777" w:rsidR="000817FF" w:rsidRDefault="00FB291E">
      <w:pPr>
        <w:pStyle w:val="21"/>
        <w:spacing w:before="160" w:after="80"/>
      </w:pPr>
      <w:bookmarkStart w:id="19" w:name="_Toc230281318"/>
      <w:r>
        <w:rPr>
          <w:rFonts w:ascii="Times New Roman" w:eastAsia="宋体" w:hAnsi="Times New Roman"/>
        </w:rPr>
        <w:t xml:space="preserve">2.2 </w:t>
      </w:r>
      <w:r>
        <w:rPr>
          <w:rFonts w:ascii="Times New Roman" w:eastAsia="宋体" w:hAnsi="Times New Roman"/>
        </w:rPr>
        <w:t>研究对象</w:t>
      </w:r>
      <w:bookmarkEnd w:id="19"/>
    </w:p>
    <w:p w14:paraId="6F8C4C59" w14:textId="77777777" w:rsidR="000817FF" w:rsidRDefault="00FB291E">
      <w:pPr>
        <w:spacing w:after="120" w:line="360" w:lineRule="auto"/>
        <w:ind w:firstLine="420"/>
      </w:pPr>
      <w:r>
        <w:rPr>
          <w:sz w:val="21"/>
        </w:rPr>
        <w:t>本研究的目标人群为</w:t>
      </w:r>
      <w:r>
        <w:rPr>
          <w:sz w:val="21"/>
        </w:rPr>
        <w:t xml:space="preserve"> FAERS </w:t>
      </w:r>
      <w:r>
        <w:rPr>
          <w:sz w:val="21"/>
        </w:rPr>
        <w:t>数据库中年龄为</w:t>
      </w:r>
      <w:r>
        <w:rPr>
          <w:sz w:val="21"/>
        </w:rPr>
        <w:t xml:space="preserve"> 65 </w:t>
      </w:r>
      <w:r>
        <w:rPr>
          <w:sz w:val="21"/>
        </w:rPr>
        <w:t>岁及以上的老年病例。纳入标准为：第一，病例记录中可获得有效病例编号；第二，病例年龄满足老年人群定义；第三，病例经过</w:t>
      </w:r>
      <w:r>
        <w:rPr>
          <w:sz w:val="21"/>
        </w:rPr>
        <w:t xml:space="preserve"> DEMO </w:t>
      </w:r>
      <w:r>
        <w:rPr>
          <w:sz w:val="21"/>
        </w:rPr>
        <w:t>表去重后保留为有效病例；第四，病例能够与药物、不良事件或严重结局等相关表进行病例级关联。</w:t>
      </w:r>
    </w:p>
    <w:p w14:paraId="7459F741" w14:textId="77777777" w:rsidR="000817FF" w:rsidRDefault="00FB291E">
      <w:pPr>
        <w:spacing w:after="120" w:line="360" w:lineRule="auto"/>
        <w:ind w:firstLine="420"/>
      </w:pPr>
      <w:r>
        <w:rPr>
          <w:sz w:val="21"/>
        </w:rPr>
        <w:t>排除标准为：第一，病例编号缺失或无法标准化；第二，年龄信息不符合研究设定；第三，同一病例存在多个版本时，未被保留为最终分析版本；第四，关键字段严重缺失且无法参与病例级数据构建。</w:t>
      </w:r>
    </w:p>
    <w:p w14:paraId="3A6F5B72" w14:textId="77777777" w:rsidR="000817FF" w:rsidRDefault="00FB291E">
      <w:pPr>
        <w:spacing w:after="120" w:line="360" w:lineRule="auto"/>
        <w:ind w:firstLine="420"/>
      </w:pPr>
      <w:r>
        <w:rPr>
          <w:sz w:val="21"/>
        </w:rPr>
        <w:t>本研究选择老年人群作为主要研究对象，主要原因是老年人更容易受到镇静催眠药影响，同时本身也具有更高跌倒风险。对于唑吡坦这类作用于中枢神经系统的药物，老年患者的药代动力学和药效学特点可能与年轻人不同，且老年人更常见多重用药和潜在不适当用药，因此单独分析老年人群更符合临床药学意义</w:t>
      </w:r>
      <w:r>
        <w:rPr>
          <w:sz w:val="18"/>
          <w:vertAlign w:val="superscript"/>
        </w:rPr>
        <w:t>[1,35-42]</w:t>
      </w:r>
      <w:r>
        <w:rPr>
          <w:sz w:val="21"/>
        </w:rPr>
        <w:t>。</w:t>
      </w:r>
    </w:p>
    <w:p w14:paraId="5D13EE5E" w14:textId="77777777" w:rsidR="000817FF" w:rsidRDefault="00FB291E">
      <w:pPr>
        <w:pStyle w:val="21"/>
        <w:spacing w:before="160" w:after="80"/>
      </w:pPr>
      <w:bookmarkStart w:id="20" w:name="_Toc230281319"/>
      <w:r>
        <w:rPr>
          <w:rFonts w:ascii="Times New Roman" w:eastAsia="宋体" w:hAnsi="Times New Roman"/>
        </w:rPr>
        <w:t xml:space="preserve">2.3 </w:t>
      </w:r>
      <w:r>
        <w:rPr>
          <w:rFonts w:ascii="Times New Roman" w:eastAsia="宋体" w:hAnsi="Times New Roman"/>
        </w:rPr>
        <w:t>数据清洗与病例级数据集构建</w:t>
      </w:r>
      <w:bookmarkEnd w:id="20"/>
    </w:p>
    <w:p w14:paraId="60AC70B3" w14:textId="77777777" w:rsidR="000817FF" w:rsidRDefault="00FB291E">
      <w:pPr>
        <w:pStyle w:val="31"/>
        <w:spacing w:before="160" w:after="80"/>
      </w:pPr>
      <w:bookmarkStart w:id="21" w:name="_Toc230281320"/>
      <w:r>
        <w:rPr>
          <w:rFonts w:ascii="Times New Roman" w:eastAsia="宋体" w:hAnsi="Times New Roman"/>
        </w:rPr>
        <w:t xml:space="preserve">2.3.1 </w:t>
      </w:r>
      <w:r>
        <w:rPr>
          <w:rFonts w:ascii="Times New Roman" w:eastAsia="宋体" w:hAnsi="Times New Roman"/>
        </w:rPr>
        <w:t>季度数据处理</w:t>
      </w:r>
      <w:bookmarkEnd w:id="21"/>
    </w:p>
    <w:p w14:paraId="526C7A16" w14:textId="77777777" w:rsidR="000817FF" w:rsidRDefault="00FB291E">
      <w:pPr>
        <w:spacing w:after="120" w:line="360" w:lineRule="auto"/>
        <w:ind w:firstLine="420"/>
      </w:pPr>
      <w:r>
        <w:rPr>
          <w:sz w:val="21"/>
        </w:rPr>
        <w:t>本研究按照年份和季度逐批处理</w:t>
      </w:r>
      <w:r>
        <w:rPr>
          <w:sz w:val="21"/>
        </w:rPr>
        <w:t xml:space="preserve"> FAERS </w:t>
      </w:r>
      <w:r>
        <w:rPr>
          <w:sz w:val="21"/>
        </w:rPr>
        <w:t>原始数据。季度处理流程包括</w:t>
      </w:r>
      <w:r>
        <w:rPr>
          <w:sz w:val="21"/>
        </w:rPr>
        <w:t xml:space="preserve"> DEMO</w:t>
      </w:r>
      <w:r>
        <w:rPr>
          <w:sz w:val="21"/>
        </w:rPr>
        <w:t>、</w:t>
      </w:r>
      <w:r>
        <w:rPr>
          <w:sz w:val="21"/>
        </w:rPr>
        <w:t>DRUG</w:t>
      </w:r>
      <w:r>
        <w:rPr>
          <w:sz w:val="21"/>
        </w:rPr>
        <w:t>、</w:t>
      </w:r>
      <w:r>
        <w:rPr>
          <w:sz w:val="21"/>
        </w:rPr>
        <w:t xml:space="preserve">DRUG </w:t>
      </w:r>
      <w:r>
        <w:rPr>
          <w:sz w:val="21"/>
        </w:rPr>
        <w:t>衍生特征、</w:t>
      </w:r>
      <w:r>
        <w:rPr>
          <w:sz w:val="21"/>
        </w:rPr>
        <w:t xml:space="preserve">DRUG </w:t>
      </w:r>
      <w:r>
        <w:rPr>
          <w:sz w:val="21"/>
        </w:rPr>
        <w:t>暴露定义、</w:t>
      </w:r>
      <w:r>
        <w:rPr>
          <w:sz w:val="21"/>
        </w:rPr>
        <w:t>REAC</w:t>
      </w:r>
      <w:r>
        <w:rPr>
          <w:sz w:val="21"/>
        </w:rPr>
        <w:t>、</w:t>
      </w:r>
      <w:r>
        <w:rPr>
          <w:sz w:val="21"/>
        </w:rPr>
        <w:t>OUTC</w:t>
      </w:r>
      <w:r>
        <w:rPr>
          <w:sz w:val="21"/>
        </w:rPr>
        <w:t>、病例级主表和信号分析表等步骤。项目代</w:t>
      </w:r>
      <w:r>
        <w:rPr>
          <w:sz w:val="21"/>
        </w:rPr>
        <w:lastRenderedPageBreak/>
        <w:t>码中使用</w:t>
      </w:r>
      <w:r>
        <w:rPr>
          <w:sz w:val="21"/>
        </w:rPr>
        <w:t xml:space="preserve"> `faers_project/main.py` </w:t>
      </w:r>
      <w:r>
        <w:rPr>
          <w:sz w:val="21"/>
        </w:rPr>
        <w:t>作为季度处理入口，使用</w:t>
      </w:r>
      <w:r>
        <w:rPr>
          <w:sz w:val="21"/>
        </w:rPr>
        <w:t xml:space="preserve"> `faers_project/year_batch_runner.py` </w:t>
      </w:r>
      <w:r>
        <w:rPr>
          <w:sz w:val="21"/>
        </w:rPr>
        <w:t>进行跨季度和跨年度批量运行。</w:t>
      </w:r>
    </w:p>
    <w:p w14:paraId="26948FE3" w14:textId="77777777" w:rsidR="000817FF" w:rsidRDefault="00FB291E">
      <w:pPr>
        <w:spacing w:after="120" w:line="360" w:lineRule="auto"/>
        <w:ind w:firstLine="420"/>
      </w:pPr>
      <w:r>
        <w:rPr>
          <w:sz w:val="21"/>
        </w:rPr>
        <w:t>每个季度处理完成后，输出相应的</w:t>
      </w:r>
      <w:r>
        <w:rPr>
          <w:sz w:val="21"/>
        </w:rPr>
        <w:t xml:space="preserve"> Parquet </w:t>
      </w:r>
      <w:r>
        <w:rPr>
          <w:sz w:val="21"/>
        </w:rPr>
        <w:t>文件，包括去重后的</w:t>
      </w:r>
      <w:r>
        <w:rPr>
          <w:sz w:val="21"/>
        </w:rPr>
        <w:t xml:space="preserve"> DEMO </w:t>
      </w:r>
      <w:r>
        <w:rPr>
          <w:sz w:val="21"/>
        </w:rPr>
        <w:t>数据、病例级药物特征数据、病例级药物暴露数据、病例级跌倒结局数据、病例级严重结局数据以及病例级分析主表。</w:t>
      </w:r>
    </w:p>
    <w:p w14:paraId="2C60AE8A" w14:textId="77777777" w:rsidR="000817FF" w:rsidRDefault="00FB291E">
      <w:pPr>
        <w:pStyle w:val="31"/>
        <w:spacing w:before="160" w:after="80"/>
      </w:pPr>
      <w:bookmarkStart w:id="22" w:name="_Toc230281321"/>
      <w:r>
        <w:rPr>
          <w:rFonts w:ascii="Times New Roman" w:eastAsia="宋体" w:hAnsi="Times New Roman"/>
        </w:rPr>
        <w:t xml:space="preserve">2.3.2 DEMO </w:t>
      </w:r>
      <w:r>
        <w:rPr>
          <w:rFonts w:ascii="Times New Roman" w:eastAsia="宋体" w:hAnsi="Times New Roman"/>
        </w:rPr>
        <w:t>表处理</w:t>
      </w:r>
      <w:bookmarkEnd w:id="22"/>
    </w:p>
    <w:p w14:paraId="1414AB05" w14:textId="77777777" w:rsidR="000817FF" w:rsidRDefault="00FB291E">
      <w:pPr>
        <w:spacing w:after="120" w:line="360" w:lineRule="auto"/>
        <w:ind w:firstLine="420"/>
      </w:pPr>
      <w:r>
        <w:rPr>
          <w:sz w:val="21"/>
        </w:rPr>
        <w:t xml:space="preserve">DEMO </w:t>
      </w:r>
      <w:r>
        <w:rPr>
          <w:sz w:val="21"/>
        </w:rPr>
        <w:t>表用于提取病例基础信息。处理时首先读取对应季度的原始</w:t>
      </w:r>
      <w:r>
        <w:rPr>
          <w:sz w:val="21"/>
        </w:rPr>
        <w:t xml:space="preserve"> DEMO </w:t>
      </w:r>
      <w:r>
        <w:rPr>
          <w:sz w:val="21"/>
        </w:rPr>
        <w:t>文件，对字段名和字段内容进行标准化，并保留可用于病例级关联的关键字段。对于同一病例存在多个版本的情况，按照项目预设规则保留最终分析版本，从而避免同一病例重复进入分析。</w:t>
      </w:r>
    </w:p>
    <w:p w14:paraId="77F18BD8" w14:textId="77777777" w:rsidR="000817FF" w:rsidRDefault="00FB291E">
      <w:pPr>
        <w:spacing w:after="120" w:line="360" w:lineRule="auto"/>
        <w:ind w:firstLine="420"/>
      </w:pPr>
      <w:r>
        <w:rPr>
          <w:sz w:val="21"/>
        </w:rPr>
        <w:t xml:space="preserve">DEMO </w:t>
      </w:r>
      <w:r>
        <w:rPr>
          <w:sz w:val="21"/>
        </w:rPr>
        <w:t>表处理后生成季度级病例基础数据，作为后续</w:t>
      </w:r>
      <w:r>
        <w:rPr>
          <w:sz w:val="21"/>
        </w:rPr>
        <w:t xml:space="preserve"> DRUG</w:t>
      </w:r>
      <w:r>
        <w:rPr>
          <w:sz w:val="21"/>
        </w:rPr>
        <w:t>、</w:t>
      </w:r>
      <w:r>
        <w:rPr>
          <w:sz w:val="21"/>
        </w:rPr>
        <w:t>REAC</w:t>
      </w:r>
      <w:r>
        <w:rPr>
          <w:sz w:val="21"/>
        </w:rPr>
        <w:t>、</w:t>
      </w:r>
      <w:r>
        <w:rPr>
          <w:sz w:val="21"/>
        </w:rPr>
        <w:t xml:space="preserve">OUTC </w:t>
      </w:r>
      <w:r>
        <w:rPr>
          <w:sz w:val="21"/>
        </w:rPr>
        <w:t>等表连接的基础。后续各表均通过病例编号与</w:t>
      </w:r>
      <w:r>
        <w:rPr>
          <w:sz w:val="21"/>
        </w:rPr>
        <w:t xml:space="preserve"> DEMO </w:t>
      </w:r>
      <w:r>
        <w:rPr>
          <w:sz w:val="21"/>
        </w:rPr>
        <w:t>表保留病例进行关联，以保证研究对象口径一致。</w:t>
      </w:r>
    </w:p>
    <w:p w14:paraId="088EE40B" w14:textId="77777777" w:rsidR="000817FF" w:rsidRDefault="00FB291E">
      <w:pPr>
        <w:pStyle w:val="31"/>
        <w:spacing w:before="160" w:after="80"/>
      </w:pPr>
      <w:bookmarkStart w:id="23" w:name="_Toc230281322"/>
      <w:r>
        <w:rPr>
          <w:rFonts w:ascii="Times New Roman" w:eastAsia="宋体" w:hAnsi="Times New Roman"/>
        </w:rPr>
        <w:t xml:space="preserve">2.3.3 DRUG </w:t>
      </w:r>
      <w:r>
        <w:rPr>
          <w:rFonts w:ascii="Times New Roman" w:eastAsia="宋体" w:hAnsi="Times New Roman"/>
        </w:rPr>
        <w:t>表处理与药物名称标准化</w:t>
      </w:r>
      <w:bookmarkEnd w:id="23"/>
    </w:p>
    <w:p w14:paraId="6CCF3629" w14:textId="77777777" w:rsidR="000817FF" w:rsidRDefault="00FB291E">
      <w:pPr>
        <w:spacing w:after="120" w:line="360" w:lineRule="auto"/>
        <w:ind w:firstLine="420"/>
      </w:pPr>
      <w:r>
        <w:rPr>
          <w:sz w:val="21"/>
        </w:rPr>
        <w:t xml:space="preserve">DRUG </w:t>
      </w:r>
      <w:r>
        <w:rPr>
          <w:sz w:val="21"/>
        </w:rPr>
        <w:t>表用于识别唑吡坦、其他</w:t>
      </w:r>
      <w:r>
        <w:rPr>
          <w:sz w:val="21"/>
        </w:rPr>
        <w:t xml:space="preserve"> Z-drugs </w:t>
      </w:r>
      <w:r>
        <w:rPr>
          <w:sz w:val="21"/>
        </w:rPr>
        <w:t>以及可能影响跌倒风险的合并用药。药物名称识别同时使用</w:t>
      </w:r>
      <w:r>
        <w:rPr>
          <w:sz w:val="21"/>
        </w:rPr>
        <w:t xml:space="preserve"> `drugname` </w:t>
      </w:r>
      <w:r>
        <w:rPr>
          <w:sz w:val="21"/>
        </w:rPr>
        <w:t>和</w:t>
      </w:r>
      <w:r>
        <w:rPr>
          <w:sz w:val="21"/>
        </w:rPr>
        <w:t xml:space="preserve"> `prod_ai` </w:t>
      </w:r>
      <w:r>
        <w:rPr>
          <w:sz w:val="21"/>
        </w:rPr>
        <w:t>字段。处理时将药物名称转换为大写，去除首尾空格，并压缩多余空白字符，以减少同一药物因大小写或空格不同造成的识别差异。</w:t>
      </w:r>
    </w:p>
    <w:p w14:paraId="645DBDA0" w14:textId="77777777" w:rsidR="000817FF" w:rsidRDefault="00FB291E">
      <w:pPr>
        <w:spacing w:after="120" w:line="360" w:lineRule="auto"/>
        <w:ind w:firstLine="420"/>
      </w:pPr>
      <w:r>
        <w:rPr>
          <w:sz w:val="21"/>
        </w:rPr>
        <w:t>本研究将唑吡坦相关商品名和通用名纳入识别范围，包括</w:t>
      </w:r>
      <w:r>
        <w:rPr>
          <w:sz w:val="21"/>
        </w:rPr>
        <w:t xml:space="preserve"> ZOLPIDEM</w:t>
      </w:r>
      <w:r>
        <w:rPr>
          <w:sz w:val="21"/>
        </w:rPr>
        <w:t>、</w:t>
      </w:r>
      <w:r>
        <w:rPr>
          <w:sz w:val="21"/>
        </w:rPr>
        <w:t>AMBIEN</w:t>
      </w:r>
      <w:r>
        <w:rPr>
          <w:sz w:val="21"/>
        </w:rPr>
        <w:t>、</w:t>
      </w:r>
      <w:r>
        <w:rPr>
          <w:sz w:val="21"/>
        </w:rPr>
        <w:t>STILNOX</w:t>
      </w:r>
      <w:r>
        <w:rPr>
          <w:sz w:val="21"/>
        </w:rPr>
        <w:t>、</w:t>
      </w:r>
      <w:r>
        <w:rPr>
          <w:sz w:val="21"/>
        </w:rPr>
        <w:t>EDLUAR</w:t>
      </w:r>
      <w:r>
        <w:rPr>
          <w:sz w:val="21"/>
        </w:rPr>
        <w:t>、</w:t>
      </w:r>
      <w:r>
        <w:rPr>
          <w:sz w:val="21"/>
        </w:rPr>
        <w:t xml:space="preserve">INTERMEZZO </w:t>
      </w:r>
      <w:r>
        <w:rPr>
          <w:sz w:val="21"/>
        </w:rPr>
        <w:t>和</w:t>
      </w:r>
      <w:r>
        <w:rPr>
          <w:sz w:val="21"/>
        </w:rPr>
        <w:t xml:space="preserve"> ZOLPIMIST</w:t>
      </w:r>
      <w:r>
        <w:rPr>
          <w:sz w:val="21"/>
        </w:rPr>
        <w:t>。其他</w:t>
      </w:r>
      <w:r>
        <w:rPr>
          <w:sz w:val="21"/>
        </w:rPr>
        <w:t xml:space="preserve"> Z-drugs </w:t>
      </w:r>
      <w:r>
        <w:rPr>
          <w:sz w:val="21"/>
        </w:rPr>
        <w:t>包括</w:t>
      </w:r>
      <w:r>
        <w:rPr>
          <w:sz w:val="21"/>
        </w:rPr>
        <w:t xml:space="preserve"> zaleplon</w:t>
      </w:r>
      <w:r>
        <w:rPr>
          <w:sz w:val="21"/>
        </w:rPr>
        <w:t>、</w:t>
      </w:r>
      <w:r>
        <w:rPr>
          <w:sz w:val="21"/>
        </w:rPr>
        <w:t xml:space="preserve">zopiclone </w:t>
      </w:r>
      <w:r>
        <w:rPr>
          <w:sz w:val="21"/>
        </w:rPr>
        <w:t>和</w:t>
      </w:r>
      <w:r>
        <w:rPr>
          <w:sz w:val="21"/>
        </w:rPr>
        <w:t xml:space="preserve"> eszopiclone </w:t>
      </w:r>
      <w:r>
        <w:rPr>
          <w:sz w:val="21"/>
        </w:rPr>
        <w:t>相关通用名或商品名。合并用药方面，研究识别苯二氮卓类、抗抑郁药、抗精神病药、阿片类药物和抗癫痫药等中枢神经系统相关药物。上述药物类别与老年跌倒和骨折风险密切相关，也是</w:t>
      </w:r>
      <w:r>
        <w:rPr>
          <w:sz w:val="21"/>
        </w:rPr>
        <w:t xml:space="preserve"> Beers Criteria </w:t>
      </w:r>
      <w:r>
        <w:rPr>
          <w:sz w:val="21"/>
        </w:rPr>
        <w:t>和跌倒风险药物综述中反复强调的重点</w:t>
      </w:r>
      <w:r>
        <w:rPr>
          <w:sz w:val="18"/>
          <w:vertAlign w:val="superscript"/>
        </w:rPr>
        <w:t>[1,31-33,39,43]</w:t>
      </w:r>
      <w:r>
        <w:rPr>
          <w:sz w:val="21"/>
        </w:rPr>
        <w:t>。</w:t>
      </w:r>
    </w:p>
    <w:p w14:paraId="7B409157" w14:textId="77777777" w:rsidR="000817FF" w:rsidRDefault="00FB291E">
      <w:pPr>
        <w:spacing w:after="120" w:line="360" w:lineRule="auto"/>
        <w:ind w:firstLine="420"/>
      </w:pPr>
      <w:r>
        <w:rPr>
          <w:sz w:val="21"/>
        </w:rPr>
        <w:t>在病例层面，</w:t>
      </w:r>
      <w:r>
        <w:rPr>
          <w:sz w:val="21"/>
        </w:rPr>
        <w:t xml:space="preserve">DRUG </w:t>
      </w:r>
      <w:r>
        <w:rPr>
          <w:sz w:val="21"/>
        </w:rPr>
        <w:t>表被汇总为多个布尔变量，例如是否存在唑吡坦暴露、是否存在其他</w:t>
      </w:r>
      <w:r>
        <w:rPr>
          <w:sz w:val="21"/>
        </w:rPr>
        <w:t xml:space="preserve"> Z-drugs </w:t>
      </w:r>
      <w:r>
        <w:rPr>
          <w:sz w:val="21"/>
        </w:rPr>
        <w:t>暴露、是否合并苯二氮卓类药物、是否合并抗抑郁药等。同时计算病例中的药物记录数、去重药物数和多重用药变量。其中，多重用药主要定义为去重药物数大于或等于</w:t>
      </w:r>
      <w:r>
        <w:rPr>
          <w:sz w:val="21"/>
        </w:rPr>
        <w:t xml:space="preserve"> 5</w:t>
      </w:r>
      <w:r>
        <w:rPr>
          <w:sz w:val="21"/>
        </w:rPr>
        <w:t>。</w:t>
      </w:r>
    </w:p>
    <w:p w14:paraId="7714BE39" w14:textId="77777777" w:rsidR="000817FF" w:rsidRDefault="00FB291E">
      <w:pPr>
        <w:pStyle w:val="31"/>
        <w:spacing w:before="160" w:after="80"/>
      </w:pPr>
      <w:bookmarkStart w:id="24" w:name="_Toc230281323"/>
      <w:r>
        <w:rPr>
          <w:rFonts w:ascii="Times New Roman" w:eastAsia="宋体" w:hAnsi="Times New Roman"/>
        </w:rPr>
        <w:t xml:space="preserve">2.3.4 </w:t>
      </w:r>
      <w:r>
        <w:rPr>
          <w:rFonts w:ascii="Times New Roman" w:eastAsia="宋体" w:hAnsi="Times New Roman"/>
        </w:rPr>
        <w:t>药物暴露定义</w:t>
      </w:r>
      <w:bookmarkEnd w:id="24"/>
    </w:p>
    <w:p w14:paraId="71D28837" w14:textId="77777777" w:rsidR="000817FF" w:rsidRDefault="00FB291E">
      <w:pPr>
        <w:spacing w:after="120" w:line="360" w:lineRule="auto"/>
        <w:ind w:firstLine="420"/>
      </w:pPr>
      <w:r>
        <w:rPr>
          <w:sz w:val="21"/>
        </w:rPr>
        <w:t xml:space="preserve">FAERS </w:t>
      </w:r>
      <w:r>
        <w:rPr>
          <w:sz w:val="21"/>
        </w:rPr>
        <w:t>中</w:t>
      </w:r>
      <w:r>
        <w:rPr>
          <w:sz w:val="21"/>
        </w:rPr>
        <w:t xml:space="preserve"> DRUG </w:t>
      </w:r>
      <w:r>
        <w:rPr>
          <w:sz w:val="21"/>
        </w:rPr>
        <w:t>表包含药物角色字段。通常</w:t>
      </w:r>
      <w:r>
        <w:rPr>
          <w:sz w:val="21"/>
        </w:rPr>
        <w:t xml:space="preserve"> PS </w:t>
      </w:r>
      <w:r>
        <w:rPr>
          <w:sz w:val="21"/>
        </w:rPr>
        <w:t>表示</w:t>
      </w:r>
      <w:r>
        <w:rPr>
          <w:sz w:val="21"/>
        </w:rPr>
        <w:t xml:space="preserve"> primary suspect</w:t>
      </w:r>
      <w:r>
        <w:rPr>
          <w:sz w:val="21"/>
        </w:rPr>
        <w:t>，即主要可疑药物；</w:t>
      </w:r>
      <w:r>
        <w:rPr>
          <w:sz w:val="21"/>
        </w:rPr>
        <w:t xml:space="preserve">SS </w:t>
      </w:r>
      <w:r>
        <w:rPr>
          <w:sz w:val="21"/>
        </w:rPr>
        <w:t>表示</w:t>
      </w:r>
      <w:r>
        <w:rPr>
          <w:sz w:val="21"/>
        </w:rPr>
        <w:t xml:space="preserve"> secondary suspect</w:t>
      </w:r>
      <w:r>
        <w:rPr>
          <w:sz w:val="21"/>
        </w:rPr>
        <w:t>，即次要可疑药物。为了提高主分析敏感性，本研究将</w:t>
      </w:r>
      <w:r>
        <w:rPr>
          <w:sz w:val="21"/>
        </w:rPr>
        <w:t xml:space="preserve"> PS+SS </w:t>
      </w:r>
      <w:r>
        <w:rPr>
          <w:sz w:val="21"/>
        </w:rPr>
        <w:t>作为主分析暴露口径，即当唑吡坦在病例中被报告为主要可疑药物或次要可疑药物时，定义为唑吡坦</w:t>
      </w:r>
      <w:r>
        <w:rPr>
          <w:sz w:val="21"/>
        </w:rPr>
        <w:t xml:space="preserve"> suspect </w:t>
      </w:r>
      <w:r>
        <w:rPr>
          <w:sz w:val="21"/>
        </w:rPr>
        <w:t>暴露。</w:t>
      </w:r>
    </w:p>
    <w:p w14:paraId="34C09B65" w14:textId="77777777" w:rsidR="000817FF" w:rsidRDefault="00FB291E">
      <w:pPr>
        <w:spacing w:after="120" w:line="360" w:lineRule="auto"/>
        <w:ind w:firstLine="420"/>
      </w:pPr>
      <w:r>
        <w:rPr>
          <w:sz w:val="21"/>
        </w:rPr>
        <w:t>同时，本研究设置</w:t>
      </w:r>
      <w:r>
        <w:rPr>
          <w:sz w:val="21"/>
        </w:rPr>
        <w:t xml:space="preserve"> PS only </w:t>
      </w:r>
      <w:r>
        <w:rPr>
          <w:sz w:val="21"/>
        </w:rPr>
        <w:t>作为敏感性分析口径，即仅将唑吡坦被报告为</w:t>
      </w:r>
      <w:r>
        <w:rPr>
          <w:sz w:val="21"/>
        </w:rPr>
        <w:t xml:space="preserve"> primary suspect </w:t>
      </w:r>
      <w:r>
        <w:rPr>
          <w:sz w:val="21"/>
        </w:rPr>
        <w:t>的病例定义为暴露病例。这个设计的意义是观察结果是否依赖于暴露定义。如果</w:t>
      </w:r>
      <w:r>
        <w:rPr>
          <w:sz w:val="21"/>
        </w:rPr>
        <w:t xml:space="preserve"> PS+SS </w:t>
      </w:r>
      <w:r>
        <w:rPr>
          <w:sz w:val="21"/>
        </w:rPr>
        <w:t>和</w:t>
      </w:r>
      <w:r>
        <w:rPr>
          <w:sz w:val="21"/>
        </w:rPr>
        <w:t xml:space="preserve"> PS only </w:t>
      </w:r>
      <w:r>
        <w:rPr>
          <w:sz w:val="21"/>
        </w:rPr>
        <w:t>两种口径下结论方向一致，说明结果相对更稳。</w:t>
      </w:r>
    </w:p>
    <w:p w14:paraId="5C163D71" w14:textId="77777777" w:rsidR="000817FF" w:rsidRDefault="00FB291E">
      <w:pPr>
        <w:spacing w:after="120" w:line="360" w:lineRule="auto"/>
        <w:ind w:firstLine="420"/>
      </w:pPr>
      <w:r>
        <w:rPr>
          <w:sz w:val="21"/>
        </w:rPr>
        <w:lastRenderedPageBreak/>
        <w:t>在目标药物分组方面，本研究将病例划分为无目标</w:t>
      </w:r>
      <w:r>
        <w:rPr>
          <w:sz w:val="21"/>
        </w:rPr>
        <w:t xml:space="preserve"> Z-drug suspect</w:t>
      </w:r>
      <w:r>
        <w:rPr>
          <w:sz w:val="21"/>
        </w:rPr>
        <w:t>、</w:t>
      </w:r>
      <w:r>
        <w:rPr>
          <w:sz w:val="21"/>
        </w:rPr>
        <w:t>zolpidem only</w:t>
      </w:r>
      <w:r>
        <w:rPr>
          <w:sz w:val="21"/>
        </w:rPr>
        <w:t>、</w:t>
      </w:r>
      <w:r>
        <w:rPr>
          <w:sz w:val="21"/>
        </w:rPr>
        <w:t xml:space="preserve">other zdrug only </w:t>
      </w:r>
      <w:r>
        <w:rPr>
          <w:sz w:val="21"/>
        </w:rPr>
        <w:t>以及同时包含</w:t>
      </w:r>
      <w:r>
        <w:rPr>
          <w:sz w:val="21"/>
        </w:rPr>
        <w:t xml:space="preserve"> zolpidem </w:t>
      </w:r>
      <w:r>
        <w:rPr>
          <w:sz w:val="21"/>
        </w:rPr>
        <w:t>和其他</w:t>
      </w:r>
      <w:r>
        <w:rPr>
          <w:sz w:val="21"/>
        </w:rPr>
        <w:t xml:space="preserve"> Z-drug </w:t>
      </w:r>
      <w:r>
        <w:rPr>
          <w:sz w:val="21"/>
        </w:rPr>
        <w:t>的混合暴露组。主分析中，为了减少混合暴露解释困难，比较时排除同时包含</w:t>
      </w:r>
      <w:r>
        <w:rPr>
          <w:sz w:val="21"/>
        </w:rPr>
        <w:t xml:space="preserve"> zolpidem </w:t>
      </w:r>
      <w:r>
        <w:rPr>
          <w:sz w:val="21"/>
        </w:rPr>
        <w:t>和其他</w:t>
      </w:r>
      <w:r>
        <w:rPr>
          <w:sz w:val="21"/>
        </w:rPr>
        <w:t xml:space="preserve"> Z-drug </w:t>
      </w:r>
      <w:r>
        <w:rPr>
          <w:sz w:val="21"/>
        </w:rPr>
        <w:t>的病例。</w:t>
      </w:r>
    </w:p>
    <w:p w14:paraId="5C400A64" w14:textId="77777777" w:rsidR="000817FF" w:rsidRDefault="00FB291E">
      <w:pPr>
        <w:pStyle w:val="31"/>
        <w:spacing w:before="160" w:after="80"/>
      </w:pPr>
      <w:bookmarkStart w:id="25" w:name="_Toc230281324"/>
      <w:r>
        <w:rPr>
          <w:rFonts w:ascii="Times New Roman" w:eastAsia="宋体" w:hAnsi="Times New Roman"/>
        </w:rPr>
        <w:t xml:space="preserve">2.3.5 REAC </w:t>
      </w:r>
      <w:r>
        <w:rPr>
          <w:rFonts w:ascii="Times New Roman" w:eastAsia="宋体" w:hAnsi="Times New Roman"/>
        </w:rPr>
        <w:t>表处理与跌倒结局定义</w:t>
      </w:r>
      <w:bookmarkEnd w:id="25"/>
    </w:p>
    <w:p w14:paraId="1FDB7F36" w14:textId="77777777" w:rsidR="000817FF" w:rsidRDefault="00FB291E">
      <w:pPr>
        <w:spacing w:after="120" w:line="360" w:lineRule="auto"/>
        <w:ind w:firstLine="420"/>
      </w:pPr>
      <w:r>
        <w:rPr>
          <w:sz w:val="21"/>
        </w:rPr>
        <w:t xml:space="preserve">REAC </w:t>
      </w:r>
      <w:r>
        <w:rPr>
          <w:sz w:val="21"/>
        </w:rPr>
        <w:t>表用于识别不良事件结局。处理时首先将不良事件首选语统一转换为大写并去除多余空格。然后根据预设的首选语集合构建病例级跌倒结局变量。</w:t>
      </w:r>
    </w:p>
    <w:p w14:paraId="42AC0F23" w14:textId="77777777" w:rsidR="000817FF" w:rsidRDefault="00FB291E">
      <w:pPr>
        <w:spacing w:after="120" w:line="360" w:lineRule="auto"/>
        <w:ind w:firstLine="420"/>
      </w:pPr>
      <w:r>
        <w:t>本研究正式分析采用严格 PT 定义的跌倒结局，即 REAC 首选语命中 FALL 或 DROP ATTACKS 时，将病例定义为跌倒事件。这个口径在项目代码中对应 `is_fall`，用于主分析、PS only 敏感性分析、与其他 Z-drugs 的比较分析、多因素校正分析和机器学习目标变量。部分历史输出中保留的广义跌倒相关口径仅作为补充探索，用于观察低血压、步态异常、平衡障碍、眩晕、视觉障碍等与跌倒风险相关的临床表现是否呈现同向趋势[25,28-33]。</w:t>
      </w:r>
    </w:p>
    <w:p w14:paraId="5DCD875B" w14:textId="77777777" w:rsidR="000817FF" w:rsidRDefault="00FB291E">
      <w:pPr>
        <w:spacing w:after="120" w:line="360" w:lineRule="auto"/>
        <w:ind w:firstLine="420"/>
      </w:pPr>
      <w:r>
        <w:t>选择严格 PT 定义作为正式结局，是为了提高结局特异性，使结果解释更直接。广义跌倒相关变量覆盖面更宽，但特异性较低，因此只作为补充分析和结果稳健性观察，不作为本文正式主结局。</w:t>
      </w:r>
    </w:p>
    <w:p w14:paraId="30CE9F80" w14:textId="77777777" w:rsidR="000817FF" w:rsidRDefault="00FB291E">
      <w:pPr>
        <w:pStyle w:val="31"/>
        <w:spacing w:before="160" w:after="80"/>
      </w:pPr>
      <w:bookmarkStart w:id="26" w:name="_Toc230281325"/>
      <w:r>
        <w:rPr>
          <w:rFonts w:ascii="Times New Roman" w:eastAsia="宋体" w:hAnsi="Times New Roman"/>
        </w:rPr>
        <w:t xml:space="preserve">2.3.6 OUTC </w:t>
      </w:r>
      <w:r>
        <w:rPr>
          <w:rFonts w:ascii="Times New Roman" w:eastAsia="宋体" w:hAnsi="Times New Roman"/>
        </w:rPr>
        <w:t>表处理与严重结局定义</w:t>
      </w:r>
      <w:bookmarkEnd w:id="26"/>
    </w:p>
    <w:p w14:paraId="01C9CB7E" w14:textId="77777777" w:rsidR="000817FF" w:rsidRDefault="00FB291E">
      <w:pPr>
        <w:spacing w:after="120" w:line="360" w:lineRule="auto"/>
        <w:ind w:firstLine="420"/>
      </w:pPr>
      <w:r>
        <w:rPr>
          <w:sz w:val="21"/>
        </w:rPr>
        <w:t xml:space="preserve">OUTC </w:t>
      </w:r>
      <w:r>
        <w:rPr>
          <w:sz w:val="21"/>
        </w:rPr>
        <w:t>表用于识别严重结局。本研究从</w:t>
      </w:r>
      <w:r>
        <w:rPr>
          <w:sz w:val="21"/>
        </w:rPr>
        <w:t xml:space="preserve"> OUTC </w:t>
      </w:r>
      <w:r>
        <w:rPr>
          <w:sz w:val="21"/>
        </w:rPr>
        <w:t>表中构建死亡、危及生命、住院、需要干预、残疾、先天异常和其他严重结局等变量，并进一步生成总体严重结局变量。若病例存在任一严重结局标识，则定义为严重病例。</w:t>
      </w:r>
    </w:p>
    <w:p w14:paraId="35905A05" w14:textId="77777777" w:rsidR="000817FF" w:rsidRDefault="00FB291E">
      <w:pPr>
        <w:spacing w:after="120" w:line="360" w:lineRule="auto"/>
        <w:ind w:firstLine="420"/>
      </w:pPr>
      <w:r>
        <w:rPr>
          <w:sz w:val="21"/>
        </w:rPr>
        <w:t>严重结局变量一方面用于描述研究人群特征，另一方面也作为扩展校正模型中的协变量。需要说明的是，严重结局可能既反映病例本身严重程度，也可能与报告倾向有关，因此在解释时应保持谨慎。</w:t>
      </w:r>
    </w:p>
    <w:p w14:paraId="7DDA42F6" w14:textId="77777777" w:rsidR="000817FF" w:rsidRDefault="00FB291E">
      <w:pPr>
        <w:pStyle w:val="31"/>
        <w:spacing w:before="160" w:after="80"/>
      </w:pPr>
      <w:bookmarkStart w:id="27" w:name="_Toc230281326"/>
      <w:r>
        <w:rPr>
          <w:rFonts w:ascii="Times New Roman" w:eastAsia="宋体" w:hAnsi="Times New Roman"/>
        </w:rPr>
        <w:t xml:space="preserve">2.3.7 </w:t>
      </w:r>
      <w:r>
        <w:rPr>
          <w:rFonts w:ascii="Times New Roman" w:eastAsia="宋体" w:hAnsi="Times New Roman"/>
        </w:rPr>
        <w:t>病例级主分析表构建</w:t>
      </w:r>
      <w:bookmarkEnd w:id="27"/>
    </w:p>
    <w:p w14:paraId="3947E3B5" w14:textId="77777777" w:rsidR="000817FF" w:rsidRDefault="00FB291E">
      <w:pPr>
        <w:spacing w:after="120" w:line="360" w:lineRule="auto"/>
        <w:ind w:firstLine="420"/>
      </w:pPr>
      <w:r>
        <w:rPr>
          <w:sz w:val="21"/>
        </w:rPr>
        <w:t>病例级主分析表以</w:t>
      </w:r>
      <w:r>
        <w:rPr>
          <w:sz w:val="21"/>
        </w:rPr>
        <w:t xml:space="preserve"> DEMO </w:t>
      </w:r>
      <w:r>
        <w:rPr>
          <w:sz w:val="21"/>
        </w:rPr>
        <w:t>表保留病例为基础，通过病例编号连接</w:t>
      </w:r>
      <w:r>
        <w:rPr>
          <w:sz w:val="21"/>
        </w:rPr>
        <w:t xml:space="preserve"> REAC </w:t>
      </w:r>
      <w:r>
        <w:rPr>
          <w:sz w:val="21"/>
        </w:rPr>
        <w:t>衍生的跌倒结局、</w:t>
      </w:r>
      <w:r>
        <w:rPr>
          <w:sz w:val="21"/>
        </w:rPr>
        <w:t xml:space="preserve">DRUG </w:t>
      </w:r>
      <w:r>
        <w:rPr>
          <w:sz w:val="21"/>
        </w:rPr>
        <w:t>衍生的药物特征、</w:t>
      </w:r>
      <w:r>
        <w:rPr>
          <w:sz w:val="21"/>
        </w:rPr>
        <w:t xml:space="preserve">DRUG </w:t>
      </w:r>
      <w:r>
        <w:rPr>
          <w:sz w:val="21"/>
        </w:rPr>
        <w:t>暴露定义以及</w:t>
      </w:r>
      <w:r>
        <w:rPr>
          <w:sz w:val="21"/>
        </w:rPr>
        <w:t xml:space="preserve"> OUTC </w:t>
      </w:r>
      <w:r>
        <w:rPr>
          <w:sz w:val="21"/>
        </w:rPr>
        <w:t>衍生的严重结局变量。连接方式以左连接为主，目的是保留</w:t>
      </w:r>
      <w:r>
        <w:rPr>
          <w:sz w:val="21"/>
        </w:rPr>
        <w:t xml:space="preserve"> DEMO </w:t>
      </w:r>
      <w:r>
        <w:rPr>
          <w:sz w:val="21"/>
        </w:rPr>
        <w:t>表中的有效病例。</w:t>
      </w:r>
    </w:p>
    <w:p w14:paraId="15F778D7" w14:textId="77777777" w:rsidR="000817FF" w:rsidRDefault="00FB291E">
      <w:pPr>
        <w:spacing w:after="120" w:line="360" w:lineRule="auto"/>
        <w:ind w:firstLine="420"/>
      </w:pPr>
      <w:r>
        <w:rPr>
          <w:sz w:val="21"/>
        </w:rPr>
        <w:t>对于未在</w:t>
      </w:r>
      <w:r>
        <w:rPr>
          <w:sz w:val="21"/>
        </w:rPr>
        <w:t xml:space="preserve"> REAC </w:t>
      </w:r>
      <w:r>
        <w:rPr>
          <w:sz w:val="21"/>
        </w:rPr>
        <w:t>表中命中跌倒术语的病例，跌倒结局变量标记为</w:t>
      </w:r>
      <w:r>
        <w:rPr>
          <w:sz w:val="21"/>
        </w:rPr>
        <w:t xml:space="preserve"> False</w:t>
      </w:r>
      <w:r>
        <w:rPr>
          <w:sz w:val="21"/>
        </w:rPr>
        <w:t>。对于未在</w:t>
      </w:r>
      <w:r>
        <w:rPr>
          <w:sz w:val="21"/>
        </w:rPr>
        <w:t xml:space="preserve"> DRUG </w:t>
      </w:r>
      <w:r>
        <w:rPr>
          <w:sz w:val="21"/>
        </w:rPr>
        <w:t>表中出现相应药物的病例，药物暴露变量标记为</w:t>
      </w:r>
      <w:r>
        <w:rPr>
          <w:sz w:val="21"/>
        </w:rPr>
        <w:t xml:space="preserve"> False</w:t>
      </w:r>
      <w:r>
        <w:rPr>
          <w:sz w:val="21"/>
        </w:rPr>
        <w:t>。对于缺失的药物计数变量，按</w:t>
      </w:r>
      <w:r>
        <w:rPr>
          <w:sz w:val="21"/>
        </w:rPr>
        <w:t xml:space="preserve"> 0 </w:t>
      </w:r>
      <w:r>
        <w:rPr>
          <w:sz w:val="21"/>
        </w:rPr>
        <w:t>处理。通过这种方式，每个有效病例最终形成一条病例级记录。</w:t>
      </w:r>
    </w:p>
    <w:p w14:paraId="51E37AAA" w14:textId="77777777" w:rsidR="000817FF" w:rsidRDefault="00FB291E">
      <w:pPr>
        <w:pStyle w:val="21"/>
        <w:spacing w:before="160" w:after="80"/>
      </w:pPr>
      <w:bookmarkStart w:id="28" w:name="_Toc230281327"/>
      <w:r>
        <w:rPr>
          <w:rFonts w:ascii="Times New Roman" w:eastAsia="宋体" w:hAnsi="Times New Roman"/>
        </w:rPr>
        <w:lastRenderedPageBreak/>
        <w:t xml:space="preserve">2.4 </w:t>
      </w:r>
      <w:r>
        <w:rPr>
          <w:rFonts w:ascii="Times New Roman" w:eastAsia="宋体" w:hAnsi="Times New Roman"/>
        </w:rPr>
        <w:t>全周期数据集合并</w:t>
      </w:r>
      <w:bookmarkEnd w:id="28"/>
    </w:p>
    <w:p w14:paraId="1EE5AC31" w14:textId="77777777" w:rsidR="000817FF" w:rsidRDefault="00FB291E">
      <w:pPr>
        <w:spacing w:after="120" w:line="360" w:lineRule="auto"/>
        <w:ind w:firstLine="420"/>
      </w:pPr>
      <w:r>
        <w:rPr>
          <w:sz w:val="21"/>
        </w:rPr>
        <w:t>季度数据处理完成后，本研究进一步构建</w:t>
      </w:r>
      <w:r>
        <w:rPr>
          <w:sz w:val="21"/>
        </w:rPr>
        <w:t xml:space="preserve"> 2004-2025 </w:t>
      </w:r>
      <w:r>
        <w:rPr>
          <w:sz w:val="21"/>
        </w:rPr>
        <w:t>年全周期数据集。全周期合并时先建立跨年度病例索引，对同一病例进行跨季度和跨年度去重。项目代码中根据病例编号分组，并优先保留报告日期较晚、</w:t>
      </w:r>
      <w:r>
        <w:rPr>
          <w:sz w:val="21"/>
        </w:rPr>
        <w:t xml:space="preserve">primaryid </w:t>
      </w:r>
      <w:r>
        <w:rPr>
          <w:sz w:val="21"/>
        </w:rPr>
        <w:t>较大、年份和季度较晚的记录。</w:t>
      </w:r>
    </w:p>
    <w:p w14:paraId="6C0BA4DF" w14:textId="77777777" w:rsidR="000817FF" w:rsidRDefault="00FB291E">
      <w:pPr>
        <w:spacing w:after="120" w:line="360" w:lineRule="auto"/>
        <w:ind w:firstLine="420"/>
      </w:pPr>
      <w:r>
        <w:rPr>
          <w:sz w:val="21"/>
        </w:rPr>
        <w:t>全周期输出包括全局病例索引、信号分析数据集和药物特征数据集。全局病例索引用于保证同一病例在全周期分析中只保留一次。信号分析数据集用于不成比例分析和校正分析。药物特征数据集用于描述性分析和机器学习建模。</w:t>
      </w:r>
    </w:p>
    <w:p w14:paraId="15C0ED62" w14:textId="77777777" w:rsidR="000817FF" w:rsidRDefault="00FB291E">
      <w:pPr>
        <w:pStyle w:val="21"/>
        <w:spacing w:before="160" w:after="80"/>
      </w:pPr>
      <w:bookmarkStart w:id="29" w:name="_Toc230281328"/>
      <w:r>
        <w:rPr>
          <w:rFonts w:ascii="Times New Roman" w:eastAsia="宋体" w:hAnsi="Times New Roman"/>
        </w:rPr>
        <w:t xml:space="preserve">2.5 </w:t>
      </w:r>
      <w:r>
        <w:rPr>
          <w:rFonts w:ascii="Times New Roman" w:eastAsia="宋体" w:hAnsi="Times New Roman"/>
        </w:rPr>
        <w:t>暴露、结局和协变量定义</w:t>
      </w:r>
      <w:bookmarkEnd w:id="29"/>
    </w:p>
    <w:p w14:paraId="255F9182" w14:textId="77777777" w:rsidR="000817FF" w:rsidRDefault="00FB291E">
      <w:pPr>
        <w:pStyle w:val="31"/>
        <w:spacing w:before="160" w:after="80"/>
      </w:pPr>
      <w:bookmarkStart w:id="30" w:name="_Toc230281329"/>
      <w:r>
        <w:rPr>
          <w:rFonts w:ascii="Times New Roman" w:eastAsia="宋体" w:hAnsi="Times New Roman"/>
        </w:rPr>
        <w:t xml:space="preserve">2.5.1 </w:t>
      </w:r>
      <w:r>
        <w:rPr>
          <w:rFonts w:ascii="Times New Roman" w:eastAsia="宋体" w:hAnsi="Times New Roman"/>
        </w:rPr>
        <w:t>暴露变量</w:t>
      </w:r>
      <w:bookmarkEnd w:id="30"/>
    </w:p>
    <w:p w14:paraId="5E5DF7F3" w14:textId="77777777" w:rsidR="000817FF" w:rsidRDefault="00FB291E">
      <w:pPr>
        <w:spacing w:after="120" w:line="360" w:lineRule="auto"/>
        <w:ind w:firstLine="420"/>
      </w:pPr>
      <w:r>
        <w:rPr>
          <w:sz w:val="21"/>
        </w:rPr>
        <w:t>本研究主要暴露变量为唑吡坦</w:t>
      </w:r>
      <w:r>
        <w:rPr>
          <w:sz w:val="21"/>
        </w:rPr>
        <w:t xml:space="preserve"> suspect </w:t>
      </w:r>
      <w:r>
        <w:rPr>
          <w:sz w:val="21"/>
        </w:rPr>
        <w:t>暴露。主分析采用</w:t>
      </w:r>
      <w:r>
        <w:rPr>
          <w:sz w:val="21"/>
        </w:rPr>
        <w:t xml:space="preserve"> PS+SS </w:t>
      </w:r>
      <w:r>
        <w:rPr>
          <w:sz w:val="21"/>
        </w:rPr>
        <w:t>口径，即唑吡坦被报告为</w:t>
      </w:r>
      <w:r>
        <w:rPr>
          <w:sz w:val="21"/>
        </w:rPr>
        <w:t xml:space="preserve"> primary suspect </w:t>
      </w:r>
      <w:r>
        <w:rPr>
          <w:sz w:val="21"/>
        </w:rPr>
        <w:t>或</w:t>
      </w:r>
      <w:r>
        <w:rPr>
          <w:sz w:val="21"/>
        </w:rPr>
        <w:t xml:space="preserve"> secondary suspect </w:t>
      </w:r>
      <w:r>
        <w:rPr>
          <w:sz w:val="21"/>
        </w:rPr>
        <w:t>均视为暴露。敏感性分析采用</w:t>
      </w:r>
      <w:r>
        <w:rPr>
          <w:sz w:val="21"/>
        </w:rPr>
        <w:t xml:space="preserve"> PS only </w:t>
      </w:r>
      <w:r>
        <w:rPr>
          <w:sz w:val="21"/>
        </w:rPr>
        <w:t>口径，即仅</w:t>
      </w:r>
      <w:r>
        <w:rPr>
          <w:sz w:val="21"/>
        </w:rPr>
        <w:t xml:space="preserve"> primary suspect </w:t>
      </w:r>
      <w:r>
        <w:rPr>
          <w:sz w:val="21"/>
        </w:rPr>
        <w:t>视为暴露。</w:t>
      </w:r>
    </w:p>
    <w:p w14:paraId="55FE094E" w14:textId="77777777" w:rsidR="000817FF" w:rsidRDefault="00FB291E">
      <w:pPr>
        <w:spacing w:after="120" w:line="360" w:lineRule="auto"/>
        <w:ind w:firstLine="420"/>
      </w:pPr>
      <w:r>
        <w:rPr>
          <w:sz w:val="21"/>
        </w:rPr>
        <w:t>其他</w:t>
      </w:r>
      <w:r>
        <w:rPr>
          <w:sz w:val="21"/>
        </w:rPr>
        <w:t xml:space="preserve"> Z-drugs </w:t>
      </w:r>
      <w:r>
        <w:rPr>
          <w:sz w:val="21"/>
        </w:rPr>
        <w:t>作为比较和扩展分析对象，主要包括</w:t>
      </w:r>
      <w:r>
        <w:rPr>
          <w:sz w:val="21"/>
        </w:rPr>
        <w:t xml:space="preserve"> zaleplon</w:t>
      </w:r>
      <w:r>
        <w:rPr>
          <w:sz w:val="21"/>
        </w:rPr>
        <w:t>、</w:t>
      </w:r>
      <w:r>
        <w:rPr>
          <w:sz w:val="21"/>
        </w:rPr>
        <w:t xml:space="preserve">zopiclone </w:t>
      </w:r>
      <w:r>
        <w:rPr>
          <w:sz w:val="21"/>
        </w:rPr>
        <w:t>和</w:t>
      </w:r>
      <w:r>
        <w:rPr>
          <w:sz w:val="21"/>
        </w:rPr>
        <w:t xml:space="preserve"> eszopiclone</w:t>
      </w:r>
      <w:r>
        <w:rPr>
          <w:sz w:val="21"/>
        </w:rPr>
        <w:t>。研究同时构建</w:t>
      </w:r>
      <w:r>
        <w:rPr>
          <w:sz w:val="21"/>
        </w:rPr>
        <w:t xml:space="preserve"> zolpidem only</w:t>
      </w:r>
      <w:r>
        <w:rPr>
          <w:sz w:val="21"/>
        </w:rPr>
        <w:t>、</w:t>
      </w:r>
      <w:r>
        <w:rPr>
          <w:sz w:val="21"/>
        </w:rPr>
        <w:t xml:space="preserve">other zdrug only </w:t>
      </w:r>
      <w:r>
        <w:rPr>
          <w:sz w:val="21"/>
        </w:rPr>
        <w:t>和混合暴露组，用于比较唑吡坦与其他</w:t>
      </w:r>
      <w:r>
        <w:rPr>
          <w:sz w:val="21"/>
        </w:rPr>
        <w:t xml:space="preserve"> Z-drugs </w:t>
      </w:r>
      <w:r>
        <w:rPr>
          <w:sz w:val="21"/>
        </w:rPr>
        <w:t>相关跌倒信号的差异。</w:t>
      </w:r>
    </w:p>
    <w:p w14:paraId="0DB7E1FC" w14:textId="77777777" w:rsidR="000817FF" w:rsidRDefault="00FB291E">
      <w:pPr>
        <w:pStyle w:val="31"/>
        <w:spacing w:before="160" w:after="80"/>
      </w:pPr>
      <w:bookmarkStart w:id="31" w:name="_Toc230281330"/>
      <w:r>
        <w:rPr>
          <w:rFonts w:ascii="Times New Roman" w:eastAsia="宋体" w:hAnsi="Times New Roman"/>
        </w:rPr>
        <w:t xml:space="preserve">2.5.2 </w:t>
      </w:r>
      <w:r>
        <w:rPr>
          <w:rFonts w:ascii="Times New Roman" w:eastAsia="宋体" w:hAnsi="Times New Roman"/>
        </w:rPr>
        <w:t>结局变量</w:t>
      </w:r>
      <w:bookmarkEnd w:id="31"/>
    </w:p>
    <w:p w14:paraId="6265428F" w14:textId="77777777" w:rsidR="000817FF" w:rsidRDefault="00FB291E">
      <w:pPr>
        <w:spacing w:after="120" w:line="360" w:lineRule="auto"/>
        <w:ind w:firstLine="420"/>
      </w:pPr>
      <w:r>
        <w:t>主要结局为严格 PT 跌倒事件，对应 REAC 表中明确表示跌倒的首选语。次要结局为广义跌倒相关事件（补充），包括跌倒、步态异常、平衡障碍、眩晕、前庭障碍、视觉障碍、低血压和体位性低血压等相关术语。</w:t>
      </w:r>
    </w:p>
    <w:p w14:paraId="61B742C3" w14:textId="77777777" w:rsidR="000817FF" w:rsidRDefault="00FB291E">
      <w:pPr>
        <w:spacing w:after="120" w:line="360" w:lineRule="auto"/>
        <w:ind w:firstLine="420"/>
      </w:pPr>
      <w:r>
        <w:t>主分析选择严格 PT 跌倒事件，是为了保证结果解释清楚。广义结局用于补充分析，帮助观察唑吡坦相关报告是否也集中于跌倒相关临床表现。</w:t>
      </w:r>
    </w:p>
    <w:p w14:paraId="4E89125F" w14:textId="77777777" w:rsidR="000817FF" w:rsidRDefault="00FB291E">
      <w:pPr>
        <w:pStyle w:val="31"/>
        <w:spacing w:before="160" w:after="80"/>
      </w:pPr>
      <w:bookmarkStart w:id="32" w:name="_Toc230281331"/>
      <w:r>
        <w:rPr>
          <w:rFonts w:ascii="Times New Roman" w:eastAsia="宋体" w:hAnsi="Times New Roman"/>
        </w:rPr>
        <w:t xml:space="preserve">2.5.3 </w:t>
      </w:r>
      <w:r>
        <w:rPr>
          <w:rFonts w:ascii="Times New Roman" w:eastAsia="宋体" w:hAnsi="Times New Roman"/>
        </w:rPr>
        <w:t>协变量</w:t>
      </w:r>
      <w:bookmarkEnd w:id="32"/>
    </w:p>
    <w:p w14:paraId="7B92B70D" w14:textId="77777777" w:rsidR="000817FF" w:rsidRDefault="00FB291E">
      <w:pPr>
        <w:spacing w:after="120" w:line="360" w:lineRule="auto"/>
        <w:ind w:firstLine="420"/>
      </w:pPr>
      <w:r>
        <w:rPr>
          <w:sz w:val="21"/>
        </w:rPr>
        <w:t>本研究纳入的协变量包括年龄组、性别、报告年份、报告季度、多重用药、苯二氮卓类药物、抗抑郁药、抗精神病药、阿片类药物、抗癫痫药和严重结局等。年龄组主要划分为</w:t>
      </w:r>
      <w:r>
        <w:rPr>
          <w:sz w:val="21"/>
        </w:rPr>
        <w:t xml:space="preserve"> 65-74 </w:t>
      </w:r>
      <w:r>
        <w:rPr>
          <w:sz w:val="21"/>
        </w:rPr>
        <w:t>岁、</w:t>
      </w:r>
      <w:r>
        <w:rPr>
          <w:sz w:val="21"/>
        </w:rPr>
        <w:t xml:space="preserve">75-84 </w:t>
      </w:r>
      <w:r>
        <w:rPr>
          <w:sz w:val="21"/>
        </w:rPr>
        <w:t>岁和</w:t>
      </w:r>
      <w:r>
        <w:rPr>
          <w:sz w:val="21"/>
        </w:rPr>
        <w:t xml:space="preserve"> 85 </w:t>
      </w:r>
      <w:r>
        <w:rPr>
          <w:sz w:val="21"/>
        </w:rPr>
        <w:t>岁及以上。多重用药定义为病例中去重药物数大于或等于</w:t>
      </w:r>
      <w:r>
        <w:rPr>
          <w:sz w:val="21"/>
        </w:rPr>
        <w:t xml:space="preserve"> 5</w:t>
      </w:r>
      <w:r>
        <w:rPr>
          <w:sz w:val="21"/>
        </w:rPr>
        <w:t>。上述变量选择主要参考老年跌倒危险因素、药物相关跌倒、老年潜在不适当用药和中枢神经系统用药风险相关文献</w:t>
      </w:r>
      <w:r>
        <w:rPr>
          <w:sz w:val="18"/>
          <w:vertAlign w:val="superscript"/>
        </w:rPr>
        <w:t>[1,31-43]</w:t>
      </w:r>
      <w:r>
        <w:rPr>
          <w:sz w:val="21"/>
        </w:rPr>
        <w:t>。</w:t>
      </w:r>
    </w:p>
    <w:p w14:paraId="4685672E" w14:textId="77777777" w:rsidR="000817FF" w:rsidRDefault="00FB291E">
      <w:pPr>
        <w:spacing w:after="120" w:line="360" w:lineRule="auto"/>
        <w:ind w:firstLine="420"/>
      </w:pPr>
      <w:r>
        <w:rPr>
          <w:sz w:val="21"/>
        </w:rPr>
        <w:t>这些协变量的纳入主要基于两点考虑：第一，它们可能与老年跌倒风险有关；第二，它们在</w:t>
      </w:r>
      <w:r>
        <w:rPr>
          <w:sz w:val="21"/>
        </w:rPr>
        <w:t xml:space="preserve"> FAERS </w:t>
      </w:r>
      <w:r>
        <w:rPr>
          <w:sz w:val="21"/>
        </w:rPr>
        <w:t>数据中相对容易获得，适合用于病例级分析。</w:t>
      </w:r>
    </w:p>
    <w:p w14:paraId="06D43A7D" w14:textId="77777777" w:rsidR="000817FF" w:rsidRDefault="00FB291E">
      <w:pPr>
        <w:pStyle w:val="21"/>
        <w:spacing w:before="160" w:after="80"/>
      </w:pPr>
      <w:bookmarkStart w:id="33" w:name="_Toc230281332"/>
      <w:r>
        <w:rPr>
          <w:rFonts w:ascii="Times New Roman" w:eastAsia="宋体" w:hAnsi="Times New Roman"/>
        </w:rPr>
        <w:lastRenderedPageBreak/>
        <w:t xml:space="preserve">2.6 </w:t>
      </w:r>
      <w:r>
        <w:rPr>
          <w:rFonts w:ascii="Times New Roman" w:eastAsia="宋体" w:hAnsi="Times New Roman"/>
        </w:rPr>
        <w:t>描述性统计方法</w:t>
      </w:r>
      <w:bookmarkEnd w:id="33"/>
    </w:p>
    <w:p w14:paraId="16D47AAB" w14:textId="77777777" w:rsidR="000817FF" w:rsidRDefault="00FB291E">
      <w:pPr>
        <w:spacing w:after="120" w:line="360" w:lineRule="auto"/>
        <w:ind w:firstLine="420"/>
      </w:pPr>
      <w:r>
        <w:rPr>
          <w:sz w:val="21"/>
        </w:rPr>
        <w:t>描述性分析用于展示研究人群、药物暴露和跌倒结局的基本分布。连续变量根据分布情况使用均数、标准差、中位数和四分位数进行描述。分类变量使用频数和百分比进行描述。</w:t>
      </w:r>
    </w:p>
    <w:p w14:paraId="7072C0DE" w14:textId="77777777" w:rsidR="000817FF" w:rsidRDefault="00FB291E">
      <w:pPr>
        <w:spacing w:after="120" w:line="360" w:lineRule="auto"/>
        <w:ind w:firstLine="420"/>
      </w:pPr>
      <w:r>
        <w:t>本研究重点描述老年病例的年龄、性别、严重结局、多重用药、合并用药、唑吡坦暴露、其他 Z-drugs 暴露、严格 PT 跌倒和广义跌倒相关事件（补充）分布。同时，针对报告国家进行描述，以观察不同国家报告来源构成。</w:t>
      </w:r>
    </w:p>
    <w:p w14:paraId="7D5E012D" w14:textId="77777777" w:rsidR="000817FF" w:rsidRDefault="00FB291E">
      <w:pPr>
        <w:pStyle w:val="21"/>
        <w:spacing w:before="160" w:after="80"/>
      </w:pPr>
      <w:bookmarkStart w:id="34" w:name="_Toc230281333"/>
      <w:r>
        <w:rPr>
          <w:rFonts w:ascii="Times New Roman" w:eastAsia="宋体" w:hAnsi="Times New Roman"/>
        </w:rPr>
        <w:t xml:space="preserve">2.7 </w:t>
      </w:r>
      <w:r>
        <w:rPr>
          <w:rFonts w:ascii="Times New Roman" w:eastAsia="宋体" w:hAnsi="Times New Roman"/>
        </w:rPr>
        <w:t>不成比例分析方法</w:t>
      </w:r>
      <w:bookmarkEnd w:id="34"/>
    </w:p>
    <w:p w14:paraId="1A60175B" w14:textId="77777777" w:rsidR="000817FF" w:rsidRDefault="00FB291E">
      <w:pPr>
        <w:pStyle w:val="31"/>
        <w:spacing w:before="160" w:after="80"/>
      </w:pPr>
      <w:bookmarkStart w:id="35" w:name="_Toc230281334"/>
      <w:r>
        <w:rPr>
          <w:rFonts w:ascii="Times New Roman" w:eastAsia="宋体" w:hAnsi="Times New Roman"/>
        </w:rPr>
        <w:t xml:space="preserve">2.7.1 </w:t>
      </w:r>
      <w:r>
        <w:rPr>
          <w:rFonts w:ascii="Times New Roman" w:eastAsia="宋体" w:hAnsi="Times New Roman"/>
        </w:rPr>
        <w:t>四格表构建</w:t>
      </w:r>
      <w:bookmarkEnd w:id="35"/>
    </w:p>
    <w:p w14:paraId="736CC935" w14:textId="77777777" w:rsidR="000817FF" w:rsidRDefault="00FB291E">
      <w:pPr>
        <w:spacing w:after="120" w:line="360" w:lineRule="auto"/>
        <w:ind w:firstLine="420"/>
      </w:pPr>
      <w:r>
        <w:rPr>
          <w:sz w:val="21"/>
        </w:rPr>
        <w:t>本研究使用不成比例分析评估唑吡坦相关报告与跌倒事件之间是否存在不良事件信号。对于每一个暴露</w:t>
      </w:r>
      <w:r>
        <w:rPr>
          <w:sz w:val="21"/>
        </w:rPr>
        <w:t>-</w:t>
      </w:r>
      <w:r>
        <w:rPr>
          <w:sz w:val="21"/>
        </w:rPr>
        <w:t>结局组合，构建如下四格表：</w:t>
      </w:r>
    </w:p>
    <w:tbl>
      <w:tblPr>
        <w:tblStyle w:val="aff1"/>
        <w:tblW w:w="8788" w:type="dxa"/>
        <w:tblLayout w:type="fixed"/>
        <w:tblLook w:val="04A0" w:firstRow="1" w:lastRow="0" w:firstColumn="1" w:lastColumn="0" w:noHBand="0" w:noVBand="1"/>
      </w:tblPr>
      <w:tblGrid>
        <w:gridCol w:w="2929"/>
        <w:gridCol w:w="2929"/>
        <w:gridCol w:w="2930"/>
      </w:tblGrid>
      <w:tr w:rsidR="000817FF" w14:paraId="70360B14" w14:textId="77777777">
        <w:tc>
          <w:tcPr>
            <w:tcW w:w="2929" w:type="dxa"/>
            <w:shd w:val="clear" w:color="auto" w:fill="EDEDED"/>
            <w:tcMar>
              <w:top w:w="80" w:type="dxa"/>
              <w:left w:w="100" w:type="dxa"/>
              <w:bottom w:w="80" w:type="dxa"/>
              <w:right w:w="100" w:type="dxa"/>
            </w:tcMar>
            <w:vAlign w:val="center"/>
          </w:tcPr>
          <w:p w14:paraId="2F6FFD93" w14:textId="77777777" w:rsidR="000817FF" w:rsidRDefault="00FB291E">
            <w:pPr>
              <w:jc w:val="center"/>
            </w:pPr>
            <w:r>
              <w:rPr>
                <w:b/>
                <w:sz w:val="18"/>
              </w:rPr>
              <w:t>分类</w:t>
            </w:r>
          </w:p>
        </w:tc>
        <w:tc>
          <w:tcPr>
            <w:tcW w:w="2929" w:type="dxa"/>
            <w:shd w:val="clear" w:color="auto" w:fill="EDEDED"/>
            <w:tcMar>
              <w:top w:w="80" w:type="dxa"/>
              <w:left w:w="100" w:type="dxa"/>
              <w:bottom w:w="80" w:type="dxa"/>
              <w:right w:w="100" w:type="dxa"/>
            </w:tcMar>
            <w:vAlign w:val="center"/>
          </w:tcPr>
          <w:p w14:paraId="765FCC09" w14:textId="77777777" w:rsidR="000817FF" w:rsidRDefault="00FB291E">
            <w:pPr>
              <w:jc w:val="center"/>
            </w:pPr>
            <w:r>
              <w:rPr>
                <w:b/>
                <w:sz w:val="18"/>
              </w:rPr>
              <w:t>发生目标结局</w:t>
            </w:r>
          </w:p>
        </w:tc>
        <w:tc>
          <w:tcPr>
            <w:tcW w:w="2930" w:type="dxa"/>
            <w:shd w:val="clear" w:color="auto" w:fill="EDEDED"/>
            <w:tcMar>
              <w:top w:w="80" w:type="dxa"/>
              <w:left w:w="100" w:type="dxa"/>
              <w:bottom w:w="80" w:type="dxa"/>
              <w:right w:w="100" w:type="dxa"/>
            </w:tcMar>
            <w:vAlign w:val="center"/>
          </w:tcPr>
          <w:p w14:paraId="54237B17" w14:textId="77777777" w:rsidR="000817FF" w:rsidRDefault="00FB291E">
            <w:pPr>
              <w:jc w:val="center"/>
            </w:pPr>
            <w:r>
              <w:rPr>
                <w:b/>
                <w:sz w:val="18"/>
              </w:rPr>
              <w:t>未发生目标结局</w:t>
            </w:r>
          </w:p>
        </w:tc>
      </w:tr>
      <w:tr w:rsidR="000817FF" w14:paraId="7D76AE86" w14:textId="77777777">
        <w:tc>
          <w:tcPr>
            <w:tcW w:w="2929" w:type="dxa"/>
            <w:tcMar>
              <w:top w:w="80" w:type="dxa"/>
              <w:left w:w="100" w:type="dxa"/>
              <w:bottom w:w="80" w:type="dxa"/>
              <w:right w:w="100" w:type="dxa"/>
            </w:tcMar>
            <w:vAlign w:val="center"/>
          </w:tcPr>
          <w:p w14:paraId="6453E36B" w14:textId="77777777" w:rsidR="000817FF" w:rsidRDefault="00FB291E">
            <w:pPr>
              <w:jc w:val="center"/>
            </w:pPr>
            <w:r>
              <w:rPr>
                <w:sz w:val="18"/>
              </w:rPr>
              <w:t>目标药物暴露</w:t>
            </w:r>
          </w:p>
        </w:tc>
        <w:tc>
          <w:tcPr>
            <w:tcW w:w="2929" w:type="dxa"/>
            <w:tcMar>
              <w:top w:w="80" w:type="dxa"/>
              <w:left w:w="100" w:type="dxa"/>
              <w:bottom w:w="80" w:type="dxa"/>
              <w:right w:w="100" w:type="dxa"/>
            </w:tcMar>
            <w:vAlign w:val="center"/>
          </w:tcPr>
          <w:p w14:paraId="0148621B" w14:textId="77777777" w:rsidR="000817FF" w:rsidRDefault="00FB291E">
            <w:pPr>
              <w:jc w:val="center"/>
            </w:pPr>
            <w:r>
              <w:rPr>
                <w:sz w:val="18"/>
              </w:rPr>
              <w:t>a</w:t>
            </w:r>
          </w:p>
        </w:tc>
        <w:tc>
          <w:tcPr>
            <w:tcW w:w="2930" w:type="dxa"/>
            <w:tcMar>
              <w:top w:w="80" w:type="dxa"/>
              <w:left w:w="100" w:type="dxa"/>
              <w:bottom w:w="80" w:type="dxa"/>
              <w:right w:w="100" w:type="dxa"/>
            </w:tcMar>
            <w:vAlign w:val="center"/>
          </w:tcPr>
          <w:p w14:paraId="50E85E4E" w14:textId="77777777" w:rsidR="000817FF" w:rsidRDefault="00FB291E">
            <w:pPr>
              <w:jc w:val="center"/>
            </w:pPr>
            <w:r>
              <w:rPr>
                <w:sz w:val="18"/>
              </w:rPr>
              <w:t>b</w:t>
            </w:r>
          </w:p>
        </w:tc>
      </w:tr>
      <w:tr w:rsidR="000817FF" w14:paraId="784C153B" w14:textId="77777777">
        <w:tc>
          <w:tcPr>
            <w:tcW w:w="2929" w:type="dxa"/>
            <w:tcMar>
              <w:top w:w="80" w:type="dxa"/>
              <w:left w:w="100" w:type="dxa"/>
              <w:bottom w:w="80" w:type="dxa"/>
              <w:right w:w="100" w:type="dxa"/>
            </w:tcMar>
            <w:vAlign w:val="center"/>
          </w:tcPr>
          <w:p w14:paraId="4D124E54" w14:textId="77777777" w:rsidR="000817FF" w:rsidRDefault="00FB291E">
            <w:pPr>
              <w:jc w:val="center"/>
            </w:pPr>
            <w:r>
              <w:rPr>
                <w:sz w:val="18"/>
              </w:rPr>
              <w:t>非目标药物暴露</w:t>
            </w:r>
          </w:p>
        </w:tc>
        <w:tc>
          <w:tcPr>
            <w:tcW w:w="2929" w:type="dxa"/>
            <w:tcMar>
              <w:top w:w="80" w:type="dxa"/>
              <w:left w:w="100" w:type="dxa"/>
              <w:bottom w:w="80" w:type="dxa"/>
              <w:right w:w="100" w:type="dxa"/>
            </w:tcMar>
            <w:vAlign w:val="center"/>
          </w:tcPr>
          <w:p w14:paraId="5253CBE6" w14:textId="77777777" w:rsidR="000817FF" w:rsidRDefault="00FB291E">
            <w:pPr>
              <w:jc w:val="center"/>
            </w:pPr>
            <w:r>
              <w:rPr>
                <w:sz w:val="18"/>
              </w:rPr>
              <w:t>c</w:t>
            </w:r>
          </w:p>
        </w:tc>
        <w:tc>
          <w:tcPr>
            <w:tcW w:w="2930" w:type="dxa"/>
            <w:tcMar>
              <w:top w:w="80" w:type="dxa"/>
              <w:left w:w="100" w:type="dxa"/>
              <w:bottom w:w="80" w:type="dxa"/>
              <w:right w:w="100" w:type="dxa"/>
            </w:tcMar>
            <w:vAlign w:val="center"/>
          </w:tcPr>
          <w:p w14:paraId="73C21928" w14:textId="77777777" w:rsidR="000817FF" w:rsidRDefault="00FB291E">
            <w:pPr>
              <w:jc w:val="center"/>
            </w:pPr>
            <w:r>
              <w:rPr>
                <w:sz w:val="18"/>
              </w:rPr>
              <w:t>d</w:t>
            </w:r>
          </w:p>
        </w:tc>
      </w:tr>
    </w:tbl>
    <w:p w14:paraId="19D76276" w14:textId="77777777" w:rsidR="000817FF" w:rsidRDefault="000817FF"/>
    <w:p w14:paraId="76E8FD3D" w14:textId="77777777" w:rsidR="000817FF" w:rsidRDefault="00FB291E">
      <w:pPr>
        <w:spacing w:after="120" w:line="360" w:lineRule="auto"/>
        <w:ind w:firstLine="420"/>
      </w:pPr>
      <w:r>
        <w:rPr>
          <w:sz w:val="21"/>
        </w:rPr>
        <w:t>其中，</w:t>
      </w:r>
      <w:r>
        <w:rPr>
          <w:sz w:val="21"/>
        </w:rPr>
        <w:t xml:space="preserve">a </w:t>
      </w:r>
      <w:r>
        <w:rPr>
          <w:sz w:val="21"/>
        </w:rPr>
        <w:t>表示目标药物暴露且发生目标结局的病例数，</w:t>
      </w:r>
      <w:r>
        <w:rPr>
          <w:sz w:val="21"/>
        </w:rPr>
        <w:t xml:space="preserve">b </w:t>
      </w:r>
      <w:r>
        <w:rPr>
          <w:sz w:val="21"/>
        </w:rPr>
        <w:t>表示目标药物暴露但未发生目标结局的病例数，</w:t>
      </w:r>
      <w:r>
        <w:rPr>
          <w:sz w:val="21"/>
        </w:rPr>
        <w:t xml:space="preserve">c </w:t>
      </w:r>
      <w:r>
        <w:rPr>
          <w:sz w:val="21"/>
        </w:rPr>
        <w:t>表示非目标药物暴露但发生目标结局的病例数，</w:t>
      </w:r>
      <w:r>
        <w:rPr>
          <w:sz w:val="21"/>
        </w:rPr>
        <w:t xml:space="preserve">d </w:t>
      </w:r>
      <w:r>
        <w:rPr>
          <w:sz w:val="21"/>
        </w:rPr>
        <w:t>表示非目标药物暴露且未发生目标结局的病例数。</w:t>
      </w:r>
    </w:p>
    <w:p w14:paraId="63480C16" w14:textId="77777777" w:rsidR="000817FF" w:rsidRDefault="00FB291E">
      <w:pPr>
        <w:pStyle w:val="31"/>
        <w:spacing w:before="160" w:after="80"/>
      </w:pPr>
      <w:bookmarkStart w:id="36" w:name="_Toc230281335"/>
      <w:r>
        <w:rPr>
          <w:rFonts w:ascii="Times New Roman" w:eastAsia="宋体" w:hAnsi="Times New Roman"/>
        </w:rPr>
        <w:t>2.7.2 ROR</w:t>
      </w:r>
      <w:bookmarkEnd w:id="36"/>
    </w:p>
    <w:p w14:paraId="5E049CCE" w14:textId="77777777" w:rsidR="000817FF" w:rsidRDefault="00FB291E">
      <w:pPr>
        <w:spacing w:after="120" w:line="360" w:lineRule="auto"/>
        <w:ind w:firstLine="420"/>
      </w:pPr>
      <w:r>
        <w:rPr>
          <w:sz w:val="21"/>
        </w:rPr>
        <w:t>报告比值比（</w:t>
      </w:r>
      <w:r>
        <w:rPr>
          <w:sz w:val="21"/>
        </w:rPr>
        <w:t>reporting odds ratio</w:t>
      </w:r>
      <w:r>
        <w:rPr>
          <w:sz w:val="21"/>
        </w:rPr>
        <w:t>，</w:t>
      </w:r>
      <w:r>
        <w:rPr>
          <w:sz w:val="21"/>
        </w:rPr>
        <w:t>ROR</w:t>
      </w:r>
      <w:r>
        <w:rPr>
          <w:sz w:val="21"/>
        </w:rPr>
        <w:t>）用于比较目标药物报告中目标不良事件的报告优势与非目标药物报告中的对应优势。</w:t>
      </w:r>
      <w:r>
        <w:rPr>
          <w:sz w:val="21"/>
        </w:rPr>
        <w:t xml:space="preserve">ROR </w:t>
      </w:r>
      <w:r>
        <w:rPr>
          <w:sz w:val="21"/>
        </w:rPr>
        <w:t>是自发报告数据库中常用的频数法信号检测指标，适合用于药物</w:t>
      </w:r>
      <w:r>
        <w:rPr>
          <w:sz w:val="21"/>
        </w:rPr>
        <w:t>-</w:t>
      </w:r>
      <w:r>
        <w:rPr>
          <w:sz w:val="21"/>
        </w:rPr>
        <w:t>事件组合的不成比例报告分析</w:t>
      </w:r>
      <w:r>
        <w:rPr>
          <w:sz w:val="18"/>
          <w:vertAlign w:val="superscript"/>
        </w:rPr>
        <w:t>[55-56]</w:t>
      </w:r>
      <w:r>
        <w:rPr>
          <w:sz w:val="21"/>
        </w:rPr>
        <w:t>。计算公式为：</w:t>
      </w:r>
    </w:p>
    <w:p w14:paraId="72006B7E" w14:textId="77777777" w:rsidR="000817FF" w:rsidRDefault="00FB291E">
      <w:pPr>
        <w:spacing w:after="120" w:line="360" w:lineRule="auto"/>
        <w:ind w:firstLine="420"/>
      </w:pPr>
      <w:r>
        <w:rPr>
          <w:sz w:val="21"/>
        </w:rPr>
        <w:t>ROR = (a / b) / (c / d) = ad / bc</w:t>
      </w:r>
    </w:p>
    <w:p w14:paraId="1528A6C1" w14:textId="77777777" w:rsidR="000817FF" w:rsidRDefault="00FB291E">
      <w:pPr>
        <w:spacing w:after="120" w:line="360" w:lineRule="auto"/>
        <w:ind w:firstLine="420"/>
      </w:pPr>
      <w:r>
        <w:rPr>
          <w:sz w:val="21"/>
        </w:rPr>
        <w:t>当</w:t>
      </w:r>
      <w:r>
        <w:rPr>
          <w:sz w:val="21"/>
        </w:rPr>
        <w:t xml:space="preserve"> ROR </w:t>
      </w:r>
      <w:r>
        <w:rPr>
          <w:sz w:val="21"/>
        </w:rPr>
        <w:t>的</w:t>
      </w:r>
      <w:r>
        <w:rPr>
          <w:sz w:val="21"/>
        </w:rPr>
        <w:t xml:space="preserve"> 95% </w:t>
      </w:r>
      <w:r>
        <w:rPr>
          <w:sz w:val="21"/>
        </w:rPr>
        <w:t>置信区间下限大于</w:t>
      </w:r>
      <w:r>
        <w:rPr>
          <w:sz w:val="21"/>
        </w:rPr>
        <w:t xml:space="preserve"> 1 </w:t>
      </w:r>
      <w:r>
        <w:rPr>
          <w:sz w:val="21"/>
        </w:rPr>
        <w:t>时，认为存在阳性信号。若四格表中存在</w:t>
      </w:r>
      <w:r>
        <w:rPr>
          <w:sz w:val="21"/>
        </w:rPr>
        <w:t xml:space="preserve"> 0 </w:t>
      </w:r>
      <w:r>
        <w:rPr>
          <w:sz w:val="21"/>
        </w:rPr>
        <w:t>值，本研究采用连续性校正，以减少计算不稳定。</w:t>
      </w:r>
    </w:p>
    <w:p w14:paraId="5391F5D5" w14:textId="77777777" w:rsidR="000817FF" w:rsidRDefault="00FB291E">
      <w:pPr>
        <w:pStyle w:val="31"/>
        <w:spacing w:before="160" w:after="80"/>
      </w:pPr>
      <w:bookmarkStart w:id="37" w:name="_Toc230281336"/>
      <w:r>
        <w:rPr>
          <w:rFonts w:ascii="Times New Roman" w:eastAsia="宋体" w:hAnsi="Times New Roman"/>
        </w:rPr>
        <w:t>2.7.3 PRR</w:t>
      </w:r>
      <w:bookmarkEnd w:id="37"/>
    </w:p>
    <w:p w14:paraId="2190BD4E" w14:textId="77777777" w:rsidR="000817FF" w:rsidRDefault="00FB291E">
      <w:pPr>
        <w:spacing w:after="120" w:line="360" w:lineRule="auto"/>
        <w:ind w:firstLine="420"/>
      </w:pPr>
      <w:r>
        <w:rPr>
          <w:sz w:val="21"/>
        </w:rPr>
        <w:t>比例报告比（</w:t>
      </w:r>
      <w:r>
        <w:rPr>
          <w:sz w:val="21"/>
        </w:rPr>
        <w:t>proportional reporting ratio</w:t>
      </w:r>
      <w:r>
        <w:rPr>
          <w:sz w:val="21"/>
        </w:rPr>
        <w:t>，</w:t>
      </w:r>
      <w:r>
        <w:rPr>
          <w:sz w:val="21"/>
        </w:rPr>
        <w:t>PRR</w:t>
      </w:r>
      <w:r>
        <w:rPr>
          <w:sz w:val="21"/>
        </w:rPr>
        <w:t>）用于比较目标药物暴露病例中目标结局报告比例与非目标药物暴露病例中的对应比例。</w:t>
      </w:r>
      <w:r>
        <w:rPr>
          <w:sz w:val="21"/>
        </w:rPr>
        <w:t xml:space="preserve">PRR </w:t>
      </w:r>
      <w:r>
        <w:rPr>
          <w:sz w:val="21"/>
        </w:rPr>
        <w:t>是较早用于自发报告系统信号生成的经典方法之一</w:t>
      </w:r>
      <w:r>
        <w:rPr>
          <w:sz w:val="18"/>
          <w:vertAlign w:val="superscript"/>
        </w:rPr>
        <w:t>[54-55]</w:t>
      </w:r>
      <w:r>
        <w:rPr>
          <w:sz w:val="21"/>
        </w:rPr>
        <w:t>。计算公式为：</w:t>
      </w:r>
    </w:p>
    <w:p w14:paraId="48BB1368" w14:textId="77777777" w:rsidR="000817FF" w:rsidRDefault="00FB291E">
      <w:pPr>
        <w:spacing w:after="120" w:line="360" w:lineRule="auto"/>
        <w:ind w:firstLine="420"/>
      </w:pPr>
      <w:r>
        <w:rPr>
          <w:sz w:val="21"/>
        </w:rPr>
        <w:t>PRR = [a / (a + b)] / [c / (c + d)]</w:t>
      </w:r>
    </w:p>
    <w:p w14:paraId="4BE44DDA" w14:textId="77777777" w:rsidR="000817FF" w:rsidRDefault="00FB291E">
      <w:pPr>
        <w:spacing w:after="120" w:line="360" w:lineRule="auto"/>
        <w:ind w:firstLine="420"/>
      </w:pPr>
      <w:r>
        <w:rPr>
          <w:sz w:val="21"/>
        </w:rPr>
        <w:lastRenderedPageBreak/>
        <w:t>本研究使用</w:t>
      </w:r>
      <w:r>
        <w:rPr>
          <w:sz w:val="21"/>
        </w:rPr>
        <w:t xml:space="preserve"> MHRA </w:t>
      </w:r>
      <w:r>
        <w:rPr>
          <w:sz w:val="21"/>
        </w:rPr>
        <w:t>常用判定思路，当</w:t>
      </w:r>
      <w:r>
        <w:rPr>
          <w:sz w:val="21"/>
        </w:rPr>
        <w:t xml:space="preserve"> a </w:t>
      </w:r>
      <w:r>
        <w:rPr>
          <w:sz w:val="21"/>
        </w:rPr>
        <w:t>大于或等于</w:t>
      </w:r>
      <w:r>
        <w:rPr>
          <w:sz w:val="21"/>
        </w:rPr>
        <w:t xml:space="preserve"> 3</w:t>
      </w:r>
      <w:r>
        <w:rPr>
          <w:sz w:val="21"/>
        </w:rPr>
        <w:t>、</w:t>
      </w:r>
      <w:r>
        <w:rPr>
          <w:sz w:val="21"/>
        </w:rPr>
        <w:t xml:space="preserve">PRR </w:t>
      </w:r>
      <w:r>
        <w:rPr>
          <w:sz w:val="21"/>
        </w:rPr>
        <w:t>大于或等于</w:t>
      </w:r>
      <w:r>
        <w:rPr>
          <w:sz w:val="21"/>
        </w:rPr>
        <w:t xml:space="preserve"> 2 </w:t>
      </w:r>
      <w:r>
        <w:rPr>
          <w:sz w:val="21"/>
        </w:rPr>
        <w:t>且卡方值大于或等于</w:t>
      </w:r>
      <w:r>
        <w:rPr>
          <w:sz w:val="21"/>
        </w:rPr>
        <w:t xml:space="preserve"> 4 </w:t>
      </w:r>
      <w:r>
        <w:rPr>
          <w:sz w:val="21"/>
        </w:rPr>
        <w:t>时，认为满足</w:t>
      </w:r>
      <w:r>
        <w:rPr>
          <w:sz w:val="21"/>
        </w:rPr>
        <w:t xml:space="preserve"> PRR </w:t>
      </w:r>
      <w:r>
        <w:rPr>
          <w:sz w:val="21"/>
        </w:rPr>
        <w:t>类信号判定标准。</w:t>
      </w:r>
    </w:p>
    <w:p w14:paraId="108B9291" w14:textId="77777777" w:rsidR="000817FF" w:rsidRDefault="00FB291E">
      <w:pPr>
        <w:pStyle w:val="31"/>
        <w:spacing w:before="160" w:after="80"/>
      </w:pPr>
      <w:bookmarkStart w:id="38" w:name="_Toc230281337"/>
      <w:r>
        <w:rPr>
          <w:rFonts w:ascii="Times New Roman" w:eastAsia="宋体" w:hAnsi="Times New Roman"/>
        </w:rPr>
        <w:t>2.7.4 IC</w:t>
      </w:r>
      <w:bookmarkEnd w:id="38"/>
    </w:p>
    <w:p w14:paraId="55828D81" w14:textId="77777777" w:rsidR="000817FF" w:rsidRDefault="00FB291E">
      <w:pPr>
        <w:spacing w:after="120" w:line="360" w:lineRule="auto"/>
        <w:ind w:firstLine="420"/>
      </w:pPr>
      <w:r>
        <w:rPr>
          <w:sz w:val="21"/>
        </w:rPr>
        <w:t>信息成分（</w:t>
      </w:r>
      <w:r>
        <w:rPr>
          <w:sz w:val="21"/>
        </w:rPr>
        <w:t>information component</w:t>
      </w:r>
      <w:r>
        <w:rPr>
          <w:sz w:val="21"/>
        </w:rPr>
        <w:t>，</w:t>
      </w:r>
      <w:r>
        <w:rPr>
          <w:sz w:val="21"/>
        </w:rPr>
        <w:t>IC</w:t>
      </w:r>
      <w:r>
        <w:rPr>
          <w:sz w:val="21"/>
        </w:rPr>
        <w:t>）属于贝叶斯类信号检测指标，用于衡量目标药物与目标不良事件共同报告是否高于期望水平。</w:t>
      </w:r>
      <w:r>
        <w:rPr>
          <w:sz w:val="21"/>
        </w:rPr>
        <w:t xml:space="preserve">IC </w:t>
      </w:r>
      <w:r>
        <w:rPr>
          <w:sz w:val="21"/>
        </w:rPr>
        <w:t>相关方法常与</w:t>
      </w:r>
      <w:r>
        <w:rPr>
          <w:sz w:val="21"/>
        </w:rPr>
        <w:t xml:space="preserve"> BCPNN </w:t>
      </w:r>
      <w:r>
        <w:rPr>
          <w:sz w:val="21"/>
        </w:rPr>
        <w:t>思路联系在一起，适用于大规模自发报告数据中的信号筛查</w:t>
      </w:r>
      <w:r>
        <w:rPr>
          <w:sz w:val="18"/>
          <w:vertAlign w:val="superscript"/>
        </w:rPr>
        <w:t>[57-58]</w:t>
      </w:r>
      <w:r>
        <w:rPr>
          <w:sz w:val="21"/>
        </w:rPr>
        <w:t>。若</w:t>
      </w:r>
      <w:r>
        <w:rPr>
          <w:sz w:val="21"/>
        </w:rPr>
        <w:t xml:space="preserve"> IC </w:t>
      </w:r>
      <w:r>
        <w:rPr>
          <w:sz w:val="21"/>
        </w:rPr>
        <w:t>的</w:t>
      </w:r>
      <w:r>
        <w:rPr>
          <w:sz w:val="21"/>
        </w:rPr>
        <w:t xml:space="preserve"> 95% </w:t>
      </w:r>
      <w:r>
        <w:rPr>
          <w:sz w:val="21"/>
        </w:rPr>
        <w:t>可信区间下限</w:t>
      </w:r>
      <w:r>
        <w:rPr>
          <w:sz w:val="21"/>
        </w:rPr>
        <w:t xml:space="preserve"> IC025 </w:t>
      </w:r>
      <w:r>
        <w:rPr>
          <w:sz w:val="21"/>
        </w:rPr>
        <w:t>大于</w:t>
      </w:r>
      <w:r>
        <w:rPr>
          <w:sz w:val="21"/>
        </w:rPr>
        <w:t xml:space="preserve"> 0</w:t>
      </w:r>
      <w:r>
        <w:rPr>
          <w:sz w:val="21"/>
        </w:rPr>
        <w:t>，则认为存在阳性信号。</w:t>
      </w:r>
    </w:p>
    <w:p w14:paraId="0C7B7CFC" w14:textId="77777777" w:rsidR="000817FF" w:rsidRDefault="00FB291E">
      <w:pPr>
        <w:pStyle w:val="31"/>
        <w:spacing w:before="160" w:after="80"/>
      </w:pPr>
      <w:bookmarkStart w:id="39" w:name="_Toc230281338"/>
      <w:r>
        <w:rPr>
          <w:rFonts w:ascii="Times New Roman" w:eastAsia="宋体" w:hAnsi="Times New Roman"/>
        </w:rPr>
        <w:t>2.7.5 EBGM</w:t>
      </w:r>
      <w:bookmarkEnd w:id="39"/>
    </w:p>
    <w:p w14:paraId="78769155" w14:textId="77777777" w:rsidR="000817FF" w:rsidRDefault="00FB291E">
      <w:pPr>
        <w:spacing w:after="120" w:line="360" w:lineRule="auto"/>
        <w:ind w:firstLine="420"/>
      </w:pPr>
      <w:r>
        <w:rPr>
          <w:sz w:val="21"/>
        </w:rPr>
        <w:t>经验贝叶斯几何均数（</w:t>
      </w:r>
      <w:r>
        <w:rPr>
          <w:sz w:val="21"/>
        </w:rPr>
        <w:t>empirical Bayes geometric mean</w:t>
      </w:r>
      <w:r>
        <w:rPr>
          <w:sz w:val="21"/>
        </w:rPr>
        <w:t>，</w:t>
      </w:r>
      <w:r>
        <w:rPr>
          <w:sz w:val="21"/>
        </w:rPr>
        <w:t>EBGM</w:t>
      </w:r>
      <w:r>
        <w:rPr>
          <w:sz w:val="21"/>
        </w:rPr>
        <w:t>）同样用于评估实际报告数相对于期望报告数的偏离程度。</w:t>
      </w:r>
      <w:r>
        <w:rPr>
          <w:sz w:val="21"/>
        </w:rPr>
        <w:t xml:space="preserve">EBGM </w:t>
      </w:r>
      <w:r>
        <w:rPr>
          <w:sz w:val="21"/>
        </w:rPr>
        <w:t>与</w:t>
      </w:r>
      <w:r>
        <w:rPr>
          <w:sz w:val="21"/>
        </w:rPr>
        <w:t xml:space="preserve"> MGPS/</w:t>
      </w:r>
      <w:r>
        <w:rPr>
          <w:sz w:val="21"/>
        </w:rPr>
        <w:t>经验贝叶斯收缩思想有关，</w:t>
      </w:r>
      <w:r>
        <w:rPr>
          <w:sz w:val="21"/>
        </w:rPr>
        <w:t xml:space="preserve">FDA </w:t>
      </w:r>
      <w:r>
        <w:rPr>
          <w:sz w:val="21"/>
        </w:rPr>
        <w:t>数据挖掘白皮书也介绍了其在安全报告数据库中的应用</w:t>
      </w:r>
      <w:r>
        <w:rPr>
          <w:sz w:val="18"/>
          <w:vertAlign w:val="superscript"/>
        </w:rPr>
        <w:t>[46,59-60]</w:t>
      </w:r>
      <w:r>
        <w:rPr>
          <w:sz w:val="21"/>
        </w:rPr>
        <w:t>。若暴露且结局病例数大于或等于</w:t>
      </w:r>
      <w:r>
        <w:rPr>
          <w:sz w:val="21"/>
        </w:rPr>
        <w:t xml:space="preserve"> 3</w:t>
      </w:r>
      <w:r>
        <w:rPr>
          <w:sz w:val="21"/>
        </w:rPr>
        <w:t>，且</w:t>
      </w:r>
      <w:r>
        <w:rPr>
          <w:sz w:val="21"/>
        </w:rPr>
        <w:t xml:space="preserve"> EBGM </w:t>
      </w:r>
      <w:r>
        <w:rPr>
          <w:sz w:val="21"/>
        </w:rPr>
        <w:t>的下限</w:t>
      </w:r>
      <w:r>
        <w:rPr>
          <w:sz w:val="21"/>
        </w:rPr>
        <w:t xml:space="preserve"> EB05 </w:t>
      </w:r>
      <w:r>
        <w:rPr>
          <w:sz w:val="21"/>
        </w:rPr>
        <w:t>大于或等于</w:t>
      </w:r>
      <w:r>
        <w:rPr>
          <w:sz w:val="21"/>
        </w:rPr>
        <w:t xml:space="preserve"> 2</w:t>
      </w:r>
      <w:r>
        <w:rPr>
          <w:sz w:val="21"/>
        </w:rPr>
        <w:t>，则认为满足</w:t>
      </w:r>
      <w:r>
        <w:rPr>
          <w:sz w:val="21"/>
        </w:rPr>
        <w:t xml:space="preserve"> EBGM </w:t>
      </w:r>
      <w:r>
        <w:rPr>
          <w:sz w:val="21"/>
        </w:rPr>
        <w:t>类信号判定标准。</w:t>
      </w:r>
    </w:p>
    <w:p w14:paraId="77B25626" w14:textId="77777777" w:rsidR="000817FF" w:rsidRDefault="00FB291E">
      <w:pPr>
        <w:pStyle w:val="31"/>
        <w:spacing w:before="160" w:after="80"/>
      </w:pPr>
      <w:bookmarkStart w:id="40" w:name="_Toc230281339"/>
      <w:r>
        <w:rPr>
          <w:rFonts w:ascii="Times New Roman" w:eastAsia="宋体" w:hAnsi="Times New Roman"/>
        </w:rPr>
        <w:t xml:space="preserve">2.7.6 </w:t>
      </w:r>
      <w:r>
        <w:rPr>
          <w:rFonts w:ascii="Times New Roman" w:eastAsia="宋体" w:hAnsi="Times New Roman"/>
        </w:rPr>
        <w:t>信号综合判定</w:t>
      </w:r>
      <w:bookmarkEnd w:id="40"/>
    </w:p>
    <w:p w14:paraId="0F9FDBC8" w14:textId="77777777" w:rsidR="000817FF" w:rsidRDefault="00FB291E">
      <w:pPr>
        <w:spacing w:after="120" w:line="360" w:lineRule="auto"/>
        <w:ind w:firstLine="420"/>
      </w:pPr>
      <w:r>
        <w:rPr>
          <w:sz w:val="21"/>
        </w:rPr>
        <w:t>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。若任一方法提示阳性信号，则记录为检测到报告信号。对于探索性分层分析，本研究进一步设置稳定性条件，即暴露病例数不低于</w:t>
      </w:r>
      <w:r>
        <w:rPr>
          <w:sz w:val="21"/>
        </w:rPr>
        <w:t xml:space="preserve"> 50</w:t>
      </w:r>
      <w:r>
        <w:rPr>
          <w:sz w:val="21"/>
        </w:rPr>
        <w:t>，且暴露并发生目标结局的病例数不低于</w:t>
      </w:r>
      <w:r>
        <w:rPr>
          <w:sz w:val="21"/>
        </w:rPr>
        <w:t xml:space="preserve"> 5</w:t>
      </w:r>
      <w:r>
        <w:rPr>
          <w:sz w:val="21"/>
        </w:rPr>
        <w:t>，以减少小样本造成的不稳定结果。</w:t>
      </w:r>
    </w:p>
    <w:p w14:paraId="02BF3165" w14:textId="77777777" w:rsidR="000817FF" w:rsidRDefault="00FB291E">
      <w:pPr>
        <w:spacing w:after="120" w:line="360" w:lineRule="auto"/>
        <w:ind w:firstLine="420"/>
      </w:pPr>
      <w:r>
        <w:rPr>
          <w:sz w:val="21"/>
        </w:rPr>
        <w:t>需要强调的是，不成比例分析发现的是</w:t>
      </w:r>
      <w:r>
        <w:rPr>
          <w:sz w:val="21"/>
        </w:rPr>
        <w:t>“</w:t>
      </w:r>
      <w:r>
        <w:rPr>
          <w:sz w:val="21"/>
        </w:rPr>
        <w:t>报告信号</w:t>
      </w:r>
      <w:r>
        <w:rPr>
          <w:sz w:val="21"/>
        </w:rPr>
        <w:t>”</w:t>
      </w:r>
      <w:r>
        <w:rPr>
          <w:sz w:val="21"/>
        </w:rPr>
        <w:t>，不是因果关系。也就是说，结果可以提示唑吡坦相关报告中跌倒事件相对更多，但不能直接证明唑吡坦一定导致跌倒。</w:t>
      </w:r>
      <w:r>
        <w:rPr>
          <w:sz w:val="21"/>
        </w:rPr>
        <w:t xml:space="preserve">FDA </w:t>
      </w:r>
      <w:r>
        <w:rPr>
          <w:sz w:val="21"/>
        </w:rPr>
        <w:t>和方法学文献均强调，</w:t>
      </w:r>
      <w:r>
        <w:rPr>
          <w:sz w:val="21"/>
        </w:rPr>
        <w:t xml:space="preserve">FAERS </w:t>
      </w:r>
      <w:r>
        <w:rPr>
          <w:sz w:val="21"/>
        </w:rPr>
        <w:t>信号需要结合临床合理性、既往研究和其他真实世界数据进一步验证</w:t>
      </w:r>
      <w:r>
        <w:rPr>
          <w:sz w:val="18"/>
          <w:vertAlign w:val="superscript"/>
        </w:rPr>
        <w:t>[45-53]</w:t>
      </w:r>
      <w:r>
        <w:rPr>
          <w:sz w:val="21"/>
        </w:rPr>
        <w:t>。</w:t>
      </w:r>
    </w:p>
    <w:p>
      <w:pPr>
        <w:pStyle w:val="31"/>
        <w:spacing w:before="160" w:after="80"/>
        <w:jc w:val="left"/>
      </w:pPr>
      <w:r/>
      <w:r>
        <w:rPr>
          <w:rFonts w:ascii="Times New Roman" w:hAnsi="Times New Roman" w:eastAsia="黑体"/>
          <w:b/>
          <w:sz w:val="24"/>
        </w:rPr>
        <w:t>2.7.7 年度趋势与监管节点分层分析</w:t>
      </w:r>
    </w:p>
    <w:p>
      <w:pPr>
        <w:spacing w:line="360" w:lineRule="auto" w:before="0" w:after="120"/>
        <w:ind w:firstLine="420"/>
      </w:pPr>
      <w:r>
        <w:t>为进一步利用 2004-2025 年长时间跨度数据，本研究在主分析口径基础上补充年度趋势和监管节点前后分层分析。趋势分析复用全周期病例级分析数据集、唑吡坦 suspect 暴露定义、严格 PT 定义的跌倒结局，以及与主分析一致的四格表和信号指标计算函数。主分析趋势口径仍为 PS+SS 暴露，且排除同时包含唑吡坦和其他 Z-drugs suspect 暴露的混合病例。</w:t>
      </w:r>
    </w:p>
    <w:p>
      <w:pPr>
        <w:spacing w:line="360" w:lineRule="auto" w:before="0" w:after="120"/>
        <w:ind w:firstLine="420"/>
      </w:pPr>
      <w:r>
        <w:t>年度趋势分析逐年统计唑吡坦 suspect 报告数、唑吡坦 suspect 中严格 PT 跌倒报告数、跌倒报告比例和年度 ROR。为减少单一年份报告量波动带来的不稳定，本研究同时采用 3 年滚动窗口计算 ROR。监管节点分层分析以 2013 年 FDA 唑吡坦剂量安全沟通和 2019 年 Z-drugs 黑框警告作为主要时间节点，分别比较节点前后唑吡坦相关严格 PT 跌倒报告比例和 ROR。上述分析均属于描述性报告趋势分析，不能解释为监管措施造成风险变化的因果效应。</w:t>
      </w:r>
    </w:p>
    <w:p w14:paraId="7BD6A9D5" w14:textId="77777777" w:rsidR="000817FF" w:rsidRDefault="00FB291E">
      <w:pPr>
        <w:pStyle w:val="21"/>
        <w:spacing w:before="160" w:after="80"/>
      </w:pPr>
      <w:bookmarkStart w:id="41" w:name="_Toc230281340"/>
      <w:r>
        <w:rPr>
          <w:rFonts w:ascii="Times New Roman" w:eastAsia="宋体" w:hAnsi="Times New Roman"/>
        </w:rPr>
        <w:t xml:space="preserve">2.8 </w:t>
      </w:r>
      <w:r>
        <w:rPr>
          <w:rFonts w:ascii="Times New Roman" w:eastAsia="宋体" w:hAnsi="Times New Roman"/>
        </w:rPr>
        <w:t>多因素校正分析方法</w:t>
      </w:r>
      <w:bookmarkEnd w:id="41"/>
    </w:p>
    <w:p w14:paraId="753E4EC8" w14:textId="77777777" w:rsidR="000817FF" w:rsidRDefault="00FB291E">
      <w:pPr>
        <w:spacing w:after="120" w:line="360" w:lineRule="auto"/>
        <w:ind w:firstLine="420"/>
      </w:pPr>
      <w:r>
        <w:t>为了进一步控制部分可获得混杂因素，本研究采用多因素模型评估唑吡坦 suspect 暴露与跌倒事件之间的关系。基础校正模型纳入年龄组、性别、年份、季度、多重用药、去重药物数、苯二氮卓类药物、抗抑郁药、抗精神病药、阿片类药物和抗癫痫药等变量。</w:t>
      </w:r>
    </w:p>
    <w:p w14:paraId="72614FE8" w14:textId="77777777" w:rsidR="000817FF" w:rsidRDefault="00FB291E">
      <w:pPr>
        <w:spacing w:after="120" w:line="360" w:lineRule="auto"/>
        <w:ind w:firstLine="420"/>
      </w:pPr>
      <w:r>
        <w:t>扩展校正模型在基础模型基础上进一步纳入报告国家、报告类型、电子提交标识以及失眠、焦虑、抑郁、疼痛、癫痫、眩晕/眩晕症等适应证变量。这样设计的目的，是观察加入报告结构和适应证相关变量后，唑吡坦暴露项的方向和大小是否仍然稳定。</w:t>
      </w:r>
    </w:p>
    <w:p w14:paraId="1A435DDC" w14:textId="77777777" w:rsidR="000817FF" w:rsidRDefault="00FB291E">
      <w:pPr>
        <w:spacing w:after="120" w:line="360" w:lineRule="auto"/>
        <w:ind w:firstLine="420"/>
      </w:pPr>
      <w:r>
        <w:rPr>
          <w:sz w:val="21"/>
        </w:rPr>
        <w:t>模型结果主要报告暴露变量的回归系数、标准误、</w:t>
      </w:r>
      <w:r>
        <w:rPr>
          <w:sz w:val="21"/>
        </w:rPr>
        <w:t xml:space="preserve">P </w:t>
      </w:r>
      <w:r>
        <w:rPr>
          <w:sz w:val="21"/>
        </w:rPr>
        <w:t>值和相应效应量。解释时以方向、稳定性和与不成比例分析结果的一致性为重点，而不将其解释为严格因果效应。</w:t>
      </w:r>
    </w:p>
    <w:p w14:paraId="25748E06" w14:textId="77777777" w:rsidR="000817FF" w:rsidRDefault="00FB291E">
      <w:pPr>
        <w:pStyle w:val="21"/>
        <w:spacing w:before="160" w:after="80"/>
      </w:pPr>
      <w:bookmarkStart w:id="42" w:name="_Toc230281341"/>
      <w:r>
        <w:rPr>
          <w:rFonts w:ascii="Times New Roman" w:eastAsia="宋体" w:hAnsi="Times New Roman"/>
        </w:rPr>
        <w:lastRenderedPageBreak/>
        <w:t xml:space="preserve">2.9 </w:t>
      </w:r>
      <w:r>
        <w:rPr>
          <w:rFonts w:ascii="Times New Roman" w:eastAsia="宋体" w:hAnsi="Times New Roman"/>
        </w:rPr>
        <w:t>机器学习辅助分析方法</w:t>
      </w:r>
      <w:bookmarkEnd w:id="42"/>
    </w:p>
    <w:p w14:paraId="03795280" w14:textId="77777777" w:rsidR="000817FF" w:rsidRDefault="00FB291E">
      <w:pPr>
        <w:pStyle w:val="31"/>
        <w:spacing w:before="160" w:after="80"/>
      </w:pPr>
      <w:bookmarkStart w:id="43" w:name="_Toc230281342"/>
      <w:r>
        <w:rPr>
          <w:rFonts w:ascii="Times New Roman" w:eastAsia="宋体" w:hAnsi="Times New Roman"/>
        </w:rPr>
        <w:t xml:space="preserve">2.9.1 </w:t>
      </w:r>
      <w:r>
        <w:rPr>
          <w:rFonts w:ascii="Times New Roman" w:eastAsia="宋体" w:hAnsi="Times New Roman"/>
        </w:rPr>
        <w:t>建模目的</w:t>
      </w:r>
      <w:bookmarkEnd w:id="43"/>
    </w:p>
    <w:p w14:paraId="605EB591" w14:textId="77777777" w:rsidR="000817FF" w:rsidRDefault="00FB291E">
      <w:pPr>
        <w:spacing w:after="120" w:line="360" w:lineRule="auto"/>
        <w:ind w:firstLine="420"/>
      </w:pPr>
      <w:r>
        <w:rPr>
          <w:sz w:val="21"/>
        </w:rPr>
        <w:t>机器学习部分作为辅助分析，目的不是建立可以直接用于临床诊断的预测工具，而是探索</w:t>
      </w:r>
      <w:r>
        <w:rPr>
          <w:sz w:val="21"/>
        </w:rPr>
        <w:t xml:space="preserve"> FAERS </w:t>
      </w:r>
      <w:r>
        <w:rPr>
          <w:sz w:val="21"/>
        </w:rPr>
        <w:t>病例报告中哪些特征组合更容易对应跌倒事件。换句话说，机器学习在本文中用于辅助发现和风险排序，不作为因果推断工具。既往综述提示，机器学习已用于不良事件识别、个例筛查、信号检测和风险排序等药物警戒任务，但仍需注意数据质量、模型解释性和外部验证问题</w:t>
      </w:r>
      <w:r>
        <w:rPr>
          <w:sz w:val="18"/>
          <w:vertAlign w:val="superscript"/>
        </w:rPr>
        <w:t>[61-68]</w:t>
      </w:r>
      <w:r>
        <w:rPr>
          <w:sz w:val="21"/>
        </w:rPr>
        <w:t>。</w:t>
      </w:r>
    </w:p>
    <w:p w14:paraId="2C6856F1" w14:textId="77777777" w:rsidR="000817FF" w:rsidRDefault="00FB291E">
      <w:pPr>
        <w:pStyle w:val="31"/>
        <w:spacing w:before="160" w:after="80"/>
      </w:pPr>
      <w:bookmarkStart w:id="44" w:name="_Toc230281343"/>
      <w:r>
        <w:rPr>
          <w:rFonts w:ascii="Times New Roman" w:eastAsia="宋体" w:hAnsi="Times New Roman"/>
        </w:rPr>
        <w:t xml:space="preserve">2.9.2 </w:t>
      </w:r>
      <w:r>
        <w:rPr>
          <w:rFonts w:ascii="Times New Roman" w:eastAsia="宋体" w:hAnsi="Times New Roman"/>
        </w:rPr>
        <w:t>特征工程</w:t>
      </w:r>
      <w:bookmarkEnd w:id="44"/>
    </w:p>
    <w:p w14:paraId="39DC182B" w14:textId="77777777" w:rsidR="000817FF" w:rsidRDefault="00FB291E">
      <w:pPr>
        <w:spacing w:after="120" w:line="360" w:lineRule="auto"/>
        <w:ind w:firstLine="420"/>
      </w:pPr>
      <w:r>
        <w:t>机器学习特征来自 ML-v2 特征表，包括人口学特征、报告时间特征、药物暴露特征、用药负担特征、适应证特征、报告来源特征、治疗记录特征、MedDRA 系统器官分类相关特征，以及经泄漏筛查后的跌倒相关表型特征。具体变量包括年龄、年龄组、性别、季度、报告国家、药物数、去重药物数、Z-drug 暴露、唑吡坦 suspect 暴露、合并中枢神经系统药物、多重用药、失眠、焦虑、抑郁、疼痛、癫痫、眩晕、报告来源和部分非结局性表型变量等。</w:t>
      </w:r>
    </w:p>
    <w:p w14:paraId="4B980170" w14:textId="77777777" w:rsidR="000817FF" w:rsidRDefault="00FB291E">
      <w:pPr>
        <w:spacing w:after="120" w:line="360" w:lineRule="auto"/>
        <w:ind w:firstLine="420"/>
      </w:pPr>
      <w:r>
        <w:rPr>
          <w:sz w:val="21"/>
        </w:rPr>
        <w:t>分类变量采用独热编码处理，连续变量进行标准化处理，布尔变量按二分类变量进入模型。特征表由</w:t>
      </w:r>
      <w:r>
        <w:rPr>
          <w:sz w:val="21"/>
        </w:rPr>
        <w:t xml:space="preserve"> 2004-2025 </w:t>
      </w:r>
      <w:r>
        <w:rPr>
          <w:sz w:val="21"/>
        </w:rPr>
        <w:t>年全周期数据构建。</w:t>
      </w:r>
    </w:p>
    <w:p w14:paraId="217BFB08" w14:textId="77777777" w:rsidR="000817FF" w:rsidRDefault="00FB291E">
      <w:pPr>
        <w:pStyle w:val="31"/>
        <w:spacing w:before="160" w:after="80"/>
      </w:pPr>
      <w:bookmarkStart w:id="45" w:name="_Toc230281344"/>
      <w:r>
        <w:rPr>
          <w:rFonts w:ascii="Times New Roman" w:eastAsia="宋体" w:hAnsi="Times New Roman"/>
        </w:rPr>
        <w:t xml:space="preserve">2.9.3 </w:t>
      </w:r>
      <w:r>
        <w:rPr>
          <w:rFonts w:ascii="Times New Roman" w:eastAsia="宋体" w:hAnsi="Times New Roman"/>
        </w:rPr>
        <w:t>数据集划分</w:t>
      </w:r>
      <w:bookmarkEnd w:id="45"/>
    </w:p>
    <w:p w14:paraId="2C5A377A" w14:textId="77777777" w:rsidR="000817FF" w:rsidRDefault="00FB291E">
      <w:pPr>
        <w:spacing w:after="120" w:line="360" w:lineRule="auto"/>
        <w:ind w:firstLine="420"/>
      </w:pPr>
      <w:r>
        <w:rPr>
          <w:sz w:val="21"/>
        </w:rPr>
        <w:t>为了更接近真实时间外推场景，本研究按年份划分训练集、验证集和测试集。训练集使用</w:t>
      </w:r>
      <w:r>
        <w:rPr>
          <w:sz w:val="21"/>
        </w:rPr>
        <w:t xml:space="preserve"> 2023 </w:t>
      </w:r>
      <w:r>
        <w:rPr>
          <w:sz w:val="21"/>
        </w:rPr>
        <w:t>年及以前病例，验证集使用</w:t>
      </w:r>
      <w:r>
        <w:rPr>
          <w:sz w:val="21"/>
        </w:rPr>
        <w:t xml:space="preserve"> 2024 </w:t>
      </w:r>
      <w:r>
        <w:rPr>
          <w:sz w:val="21"/>
        </w:rPr>
        <w:t>年病例，测试集使用</w:t>
      </w:r>
      <w:r>
        <w:rPr>
          <w:sz w:val="21"/>
        </w:rPr>
        <w:t xml:space="preserve"> 2025 </w:t>
      </w:r>
      <w:r>
        <w:rPr>
          <w:sz w:val="21"/>
        </w:rPr>
        <w:t>年病例。验证集用于模型校准和阈值选择，测试集仅用于最终性能评价。</w:t>
      </w:r>
    </w:p>
    <w:p w14:paraId="1C0F076F" w14:textId="77777777" w:rsidR="000817FF" w:rsidRDefault="00FB291E">
      <w:pPr>
        <w:pStyle w:val="31"/>
        <w:spacing w:before="160" w:after="80"/>
      </w:pPr>
      <w:bookmarkStart w:id="46" w:name="_Toc230281345"/>
      <w:r>
        <w:rPr>
          <w:rFonts w:ascii="Times New Roman" w:eastAsia="宋体" w:hAnsi="Times New Roman"/>
        </w:rPr>
        <w:t xml:space="preserve">2.9.4 </w:t>
      </w:r>
      <w:r>
        <w:rPr>
          <w:rFonts w:ascii="Times New Roman" w:eastAsia="宋体" w:hAnsi="Times New Roman"/>
        </w:rPr>
        <w:t>模型类型</w:t>
      </w:r>
      <w:bookmarkEnd w:id="46"/>
    </w:p>
    <w:p w14:paraId="079CE513" w14:textId="77777777" w:rsidR="000817FF" w:rsidRDefault="00FB291E">
      <w:pPr>
        <w:spacing w:after="120" w:line="360" w:lineRule="auto"/>
        <w:ind w:firstLine="420"/>
      </w:pPr>
      <w:r>
        <w:rPr>
          <w:sz w:val="21"/>
        </w:rPr>
        <w:t>本研究构建三类机器学习模型：逻辑回归、随机森林和</w:t>
      </w:r>
      <w:r>
        <w:rPr>
          <w:sz w:val="21"/>
        </w:rPr>
        <w:t xml:space="preserve"> XGBoost</w:t>
      </w:r>
      <w:r>
        <w:rPr>
          <w:sz w:val="21"/>
        </w:rPr>
        <w:t>。逻辑回归作为可解释性较强的基线模型；随机森林用于捕捉非线性关系和变量交互；</w:t>
      </w:r>
      <w:r>
        <w:rPr>
          <w:sz w:val="21"/>
        </w:rPr>
        <w:t xml:space="preserve">XGBoost </w:t>
      </w:r>
      <w:r>
        <w:rPr>
          <w:sz w:val="21"/>
        </w:rPr>
        <w:t>用于进一步提高复杂特征组合下的分类性能。</w:t>
      </w:r>
    </w:p>
    <w:p w14:paraId="290CC2C6" w14:textId="77777777" w:rsidR="000817FF" w:rsidRDefault="00FB291E">
      <w:pPr>
        <w:spacing w:after="120" w:line="360" w:lineRule="auto"/>
        <w:ind w:firstLine="420"/>
      </w:pPr>
      <w:r>
        <w:rPr>
          <w:sz w:val="21"/>
        </w:rPr>
        <w:t>模型调参以</w:t>
      </w:r>
      <w:r>
        <w:rPr>
          <w:sz w:val="21"/>
        </w:rPr>
        <w:t xml:space="preserve"> average precision </w:t>
      </w:r>
      <w:r>
        <w:rPr>
          <w:sz w:val="21"/>
        </w:rPr>
        <w:t>作为主要优化指标。选择该指标的原因是跌倒事件在总体病例中比例较低，单纯准确率容易受到类别不平衡影响。</w:t>
      </w:r>
    </w:p>
    <w:p w14:paraId="6998FA99" w14:textId="77777777" w:rsidR="000817FF" w:rsidRDefault="00FB291E">
      <w:pPr>
        <w:pStyle w:val="31"/>
        <w:spacing w:before="160" w:after="80"/>
      </w:pPr>
      <w:bookmarkStart w:id="47" w:name="_Toc230281346"/>
      <w:r>
        <w:rPr>
          <w:rFonts w:ascii="Times New Roman" w:eastAsia="宋体" w:hAnsi="Times New Roman"/>
        </w:rPr>
        <w:t xml:space="preserve">2.9.5 </w:t>
      </w:r>
      <w:r>
        <w:rPr>
          <w:rFonts w:ascii="Times New Roman" w:eastAsia="宋体" w:hAnsi="Times New Roman"/>
        </w:rPr>
        <w:t>模型评价指标</w:t>
      </w:r>
      <w:bookmarkEnd w:id="47"/>
    </w:p>
    <w:p w14:paraId="2CD2A32A" w14:textId="77777777" w:rsidR="000817FF" w:rsidRDefault="00FB291E">
      <w:pPr>
        <w:spacing w:after="120" w:line="360" w:lineRule="auto"/>
        <w:ind w:firstLine="420"/>
      </w:pPr>
      <w:r>
        <w:rPr>
          <w:sz w:val="21"/>
        </w:rPr>
        <w:t>模型评价指标包括</w:t>
      </w:r>
      <w:r>
        <w:rPr>
          <w:sz w:val="21"/>
        </w:rPr>
        <w:t xml:space="preserve"> ROC-AUC</w:t>
      </w:r>
      <w:r>
        <w:rPr>
          <w:sz w:val="21"/>
        </w:rPr>
        <w:t>、</w:t>
      </w:r>
      <w:r>
        <w:rPr>
          <w:sz w:val="21"/>
        </w:rPr>
        <w:t>average precision</w:t>
      </w:r>
      <w:r>
        <w:rPr>
          <w:sz w:val="21"/>
        </w:rPr>
        <w:t>、</w:t>
      </w:r>
      <w:r>
        <w:rPr>
          <w:sz w:val="21"/>
        </w:rPr>
        <w:t>Brier score</w:t>
      </w:r>
      <w:r>
        <w:rPr>
          <w:sz w:val="21"/>
        </w:rPr>
        <w:t>、准确率、精确率、召回率、</w:t>
      </w:r>
      <w:r>
        <w:rPr>
          <w:sz w:val="21"/>
        </w:rPr>
        <w:t xml:space="preserve">F1 </w:t>
      </w:r>
      <w:r>
        <w:rPr>
          <w:sz w:val="21"/>
        </w:rPr>
        <w:t>值和特异度。同时，本研究报告</w:t>
      </w:r>
      <w:r>
        <w:rPr>
          <w:sz w:val="21"/>
        </w:rPr>
        <w:t xml:space="preserve"> top 5% </w:t>
      </w:r>
      <w:r>
        <w:rPr>
          <w:sz w:val="21"/>
        </w:rPr>
        <w:t>和</w:t>
      </w:r>
      <w:r>
        <w:rPr>
          <w:sz w:val="21"/>
        </w:rPr>
        <w:t xml:space="preserve"> top 10% </w:t>
      </w:r>
      <w:r>
        <w:rPr>
          <w:sz w:val="21"/>
        </w:rPr>
        <w:t>高风险病例中的阳性事件比例及</w:t>
      </w:r>
      <w:r>
        <w:rPr>
          <w:sz w:val="21"/>
        </w:rPr>
        <w:t xml:space="preserve"> lift </w:t>
      </w:r>
      <w:r>
        <w:rPr>
          <w:sz w:val="21"/>
        </w:rPr>
        <w:t>值，用于评价模型对高风险病例的排序能力。</w:t>
      </w:r>
    </w:p>
    <w:p w14:paraId="27CA4518" w14:textId="77777777" w:rsidR="000817FF" w:rsidRDefault="00FB291E">
      <w:pPr>
        <w:spacing w:after="120" w:line="360" w:lineRule="auto"/>
        <w:ind w:firstLine="420"/>
      </w:pPr>
      <w:r>
        <w:rPr>
          <w:sz w:val="21"/>
        </w:rPr>
        <w:t>本研究对模型输出概率进行校准，并基于验证集选择分类阈值。测试集结果作为模型最终泛化能力的主要依据。</w:t>
      </w:r>
    </w:p>
    <w:p w14:paraId="15C98476" w14:textId="77777777" w:rsidR="000817FF" w:rsidRDefault="00FB291E">
      <w:pPr>
        <w:pStyle w:val="21"/>
        <w:spacing w:before="160" w:after="80"/>
      </w:pPr>
      <w:bookmarkStart w:id="48" w:name="_Toc230281347"/>
      <w:r>
        <w:rPr>
          <w:rFonts w:ascii="Times New Roman" w:eastAsia="宋体" w:hAnsi="Times New Roman"/>
        </w:rPr>
        <w:lastRenderedPageBreak/>
        <w:t xml:space="preserve">2.10 </w:t>
      </w:r>
      <w:r>
        <w:rPr>
          <w:rFonts w:ascii="Times New Roman" w:eastAsia="宋体" w:hAnsi="Times New Roman"/>
        </w:rPr>
        <w:t>统计软件与实现</w:t>
      </w:r>
      <w:bookmarkEnd w:id="48"/>
    </w:p>
    <w:p w14:paraId="6EEB5511" w14:textId="77777777" w:rsidR="000817FF" w:rsidRDefault="00FB291E">
      <w:pPr>
        <w:spacing w:after="120" w:line="360" w:lineRule="auto"/>
        <w:ind w:firstLine="420"/>
      </w:pPr>
      <w:r>
        <w:rPr>
          <w:sz w:val="21"/>
        </w:rPr>
        <w:t>本研究主要使用</w:t>
      </w:r>
      <w:r>
        <w:rPr>
          <w:sz w:val="21"/>
        </w:rPr>
        <w:t xml:space="preserve"> Python </w:t>
      </w:r>
      <w:r>
        <w:rPr>
          <w:sz w:val="21"/>
        </w:rPr>
        <w:t>进行数据处理和统计分析。数据清洗和表格处理主要使用</w:t>
      </w:r>
      <w:r>
        <w:rPr>
          <w:sz w:val="21"/>
        </w:rPr>
        <w:t xml:space="preserve"> pandas</w:t>
      </w:r>
      <w:r>
        <w:rPr>
          <w:sz w:val="21"/>
        </w:rPr>
        <w:t>；全周期大规模数据合并使用</w:t>
      </w:r>
      <w:r>
        <w:rPr>
          <w:sz w:val="21"/>
        </w:rPr>
        <w:t xml:space="preserve"> DuckDB</w:t>
      </w:r>
      <w:r>
        <w:rPr>
          <w:sz w:val="21"/>
        </w:rPr>
        <w:t>；机器学习建模使用</w:t>
      </w:r>
      <w:r>
        <w:rPr>
          <w:sz w:val="21"/>
        </w:rPr>
        <w:t xml:space="preserve"> scikit-learn </w:t>
      </w:r>
      <w:r>
        <w:rPr>
          <w:sz w:val="21"/>
        </w:rPr>
        <w:t>和</w:t>
      </w:r>
      <w:r>
        <w:rPr>
          <w:sz w:val="21"/>
        </w:rPr>
        <w:t xml:space="preserve"> XGBoost</w:t>
      </w:r>
      <w:r>
        <w:rPr>
          <w:sz w:val="21"/>
        </w:rPr>
        <w:t>；数据文件主要保存为</w:t>
      </w:r>
      <w:r>
        <w:rPr>
          <w:sz w:val="21"/>
        </w:rPr>
        <w:t xml:space="preserve"> Parquet </w:t>
      </w:r>
      <w:r>
        <w:rPr>
          <w:sz w:val="21"/>
        </w:rPr>
        <w:t>和</w:t>
      </w:r>
      <w:r>
        <w:rPr>
          <w:sz w:val="21"/>
        </w:rPr>
        <w:t xml:space="preserve"> CSV </w:t>
      </w:r>
      <w:r>
        <w:rPr>
          <w:sz w:val="21"/>
        </w:rPr>
        <w:t>格式。</w:t>
      </w:r>
    </w:p>
    <w:p w14:paraId="552B61D7" w14:textId="77777777" w:rsidR="000817FF" w:rsidRDefault="00FB291E">
      <w:pPr>
        <w:spacing w:after="120" w:line="360" w:lineRule="auto"/>
        <w:ind w:firstLine="420"/>
      </w:pPr>
      <w:r>
        <w:t>项目主要代码结构包括：`faers_project` 用于季度原始数据清洗和病例级数据集构建；`full_period_analysis` 用于构建 2004-2025 年全周期数据集；`analysis_project_v2` 用于信号挖掘、校正分析、敏感性分析和结果表生成；`ml_project` 用于 ML-v2 特征构建、核心/增强特征集比较和模型训练。</w:t>
      </w:r>
    </w:p>
    <w:p w14:paraId="7C5547E6" w14:textId="77777777" w:rsidR="000817FF" w:rsidRDefault="00FB291E">
      <w:pPr>
        <w:pStyle w:val="21"/>
        <w:spacing w:before="160" w:after="80"/>
      </w:pPr>
      <w:bookmarkStart w:id="49" w:name="_Toc230281348"/>
      <w:r>
        <w:rPr>
          <w:rFonts w:ascii="Times New Roman" w:eastAsia="宋体" w:hAnsi="Times New Roman"/>
        </w:rPr>
        <w:t xml:space="preserve">2.11 </w:t>
      </w:r>
      <w:r>
        <w:rPr>
          <w:rFonts w:ascii="Times New Roman" w:eastAsia="宋体" w:hAnsi="Times New Roman"/>
        </w:rPr>
        <w:t>质量控制</w:t>
      </w:r>
      <w:bookmarkEnd w:id="49"/>
    </w:p>
    <w:p w14:paraId="6EB437BD" w14:textId="77777777" w:rsidR="000817FF" w:rsidRDefault="00FB291E">
      <w:pPr>
        <w:spacing w:after="120" w:line="360" w:lineRule="auto"/>
        <w:ind w:firstLine="420"/>
      </w:pPr>
      <w:r>
        <w:rPr>
          <w:sz w:val="21"/>
        </w:rPr>
        <w:t>本研究在多个环节进行质量控制。第一，在读取原始数据时检查必要字段是否存在。第二，在病例级数据构建时统一病例编号格式，并排除病例编号缺失记录。第三，在季度数据合并为全周期数据时进行跨季度去重，避免重复病例影响结果。第四，在信号检测和探索性分析中设置最小病例数要求，减少小样本造成的假阳性。第五，机器学习部分采用按年份划分的独立测试集，避免验证集信息泄漏到最终评价中。</w:t>
      </w:r>
    </w:p>
    <w:p w14:paraId="12CB512A" w14:textId="77777777" w:rsidR="000817FF" w:rsidRDefault="00FB291E">
      <w:pPr>
        <w:spacing w:after="120" w:line="360" w:lineRule="auto"/>
        <w:ind w:firstLine="420"/>
      </w:pPr>
      <w:r>
        <w:rPr>
          <w:sz w:val="21"/>
        </w:rPr>
        <w:t>此外，所有主要输出均保存为可复查的中间文件和结果文件，包括全局病例索引、信号数据集、药物特征数据集、信号分析表、校正模型结果、机器学习模型指标和特征重要性结果。这样可以保证研究过程具有较好的可追溯性和可复现性。</w:t>
      </w:r>
    </w:p>
    <w:p w14:paraId="1CF56358" w14:textId="77777777" w:rsidR="000817FF" w:rsidRDefault="00FB291E">
      <w:r>
        <w:br w:type="page"/>
      </w:r>
    </w:p>
    <w:p w14:paraId="0CF0EB75" w14:textId="77777777" w:rsidR="000817FF" w:rsidRDefault="00FB291E">
      <w:pPr>
        <w:pStyle w:val="1"/>
        <w:spacing w:before="240" w:after="160"/>
        <w:jc w:val="center"/>
      </w:pPr>
      <w:bookmarkStart w:id="50" w:name="_Toc230281349"/>
      <w:r>
        <w:rPr>
          <w:rFonts w:ascii="Times New Roman" w:eastAsia="宋体" w:hAnsi="Times New Roman"/>
        </w:rPr>
        <w:lastRenderedPageBreak/>
        <w:t>第三章</w:t>
      </w:r>
      <w:r>
        <w:rPr>
          <w:rFonts w:ascii="Times New Roman" w:eastAsia="宋体" w:hAnsi="Times New Roman"/>
        </w:rPr>
        <w:t xml:space="preserve"> </w:t>
      </w:r>
      <w:r>
        <w:rPr>
          <w:rFonts w:ascii="Times New Roman" w:eastAsia="宋体" w:hAnsi="Times New Roman"/>
        </w:rPr>
        <w:t>数据集构建与描述性分析结果</w:t>
      </w:r>
      <w:bookmarkEnd w:id="50"/>
    </w:p>
    <w:p w14:paraId="11859BBB" w14:textId="77777777" w:rsidR="000817FF" w:rsidRDefault="00FB291E">
      <w:pPr>
        <w:pStyle w:val="21"/>
        <w:spacing w:before="160" w:after="80"/>
      </w:pPr>
      <w:bookmarkStart w:id="51" w:name="_Toc230281350"/>
      <w:r>
        <w:rPr>
          <w:rFonts w:ascii="Times New Roman" w:eastAsia="宋体" w:hAnsi="Times New Roman"/>
        </w:rPr>
        <w:t xml:space="preserve">3.1 </w:t>
      </w:r>
      <w:r>
        <w:rPr>
          <w:rFonts w:ascii="Times New Roman" w:eastAsia="宋体" w:hAnsi="Times New Roman"/>
        </w:rPr>
        <w:t>数据处理总体情况</w:t>
      </w:r>
      <w:bookmarkEnd w:id="51"/>
    </w:p>
    <w:p w14:paraId="4DB41F90" w14:textId="77777777" w:rsidR="000817FF" w:rsidRDefault="00FB291E">
      <w:pPr>
        <w:spacing w:after="120" w:line="360" w:lineRule="auto"/>
        <w:ind w:firstLine="420"/>
      </w:pPr>
      <w:r>
        <w:rPr>
          <w:sz w:val="21"/>
        </w:rPr>
        <w:t>本研究对</w:t>
      </w:r>
      <w:r>
        <w:rPr>
          <w:sz w:val="21"/>
        </w:rPr>
        <w:t xml:space="preserve"> 2004 </w:t>
      </w:r>
      <w:r>
        <w:rPr>
          <w:sz w:val="21"/>
        </w:rPr>
        <w:t>年至</w:t>
      </w:r>
      <w:r>
        <w:rPr>
          <w:sz w:val="21"/>
        </w:rPr>
        <w:t xml:space="preserve"> 2025 </w:t>
      </w:r>
      <w:r>
        <w:rPr>
          <w:sz w:val="21"/>
        </w:rPr>
        <w:t>年</w:t>
      </w:r>
      <w:r>
        <w:rPr>
          <w:sz w:val="21"/>
        </w:rPr>
        <w:t xml:space="preserve"> FAERS </w:t>
      </w:r>
      <w:r>
        <w:rPr>
          <w:sz w:val="21"/>
        </w:rPr>
        <w:t>季度数据进行整理和分析。原始季度数据经过</w:t>
      </w:r>
      <w:r>
        <w:rPr>
          <w:sz w:val="21"/>
        </w:rPr>
        <w:t xml:space="preserve"> DEMO</w:t>
      </w:r>
      <w:r>
        <w:rPr>
          <w:sz w:val="21"/>
        </w:rPr>
        <w:t>、</w:t>
      </w:r>
      <w:r>
        <w:rPr>
          <w:sz w:val="21"/>
        </w:rPr>
        <w:t>DRUG</w:t>
      </w:r>
      <w:r>
        <w:rPr>
          <w:sz w:val="21"/>
        </w:rPr>
        <w:t>、</w:t>
      </w:r>
      <w:r>
        <w:rPr>
          <w:sz w:val="21"/>
        </w:rPr>
        <w:t xml:space="preserve">REAC </w:t>
      </w:r>
      <w:r>
        <w:rPr>
          <w:sz w:val="21"/>
        </w:rPr>
        <w:t>和</w:t>
      </w:r>
      <w:r>
        <w:rPr>
          <w:sz w:val="21"/>
        </w:rPr>
        <w:t xml:space="preserve"> OUTC </w:t>
      </w:r>
      <w:r>
        <w:rPr>
          <w:sz w:val="21"/>
        </w:rPr>
        <w:t>等表清洗后，首先形成季度病例级数据集，再进一步合并为</w:t>
      </w:r>
      <w:r>
        <w:rPr>
          <w:sz w:val="21"/>
        </w:rPr>
        <w:t xml:space="preserve"> 2004-2025 </w:t>
      </w:r>
      <w:r>
        <w:rPr>
          <w:sz w:val="21"/>
        </w:rPr>
        <w:t>年全周期分析数据集。全周期数据合并时以病例编号为基础进行跨季度和跨年度去重，避免同一病例因多次提交或版本更新而重复进入分析。</w:t>
      </w:r>
    </w:p>
    <w:p w14:paraId="122BADDC" w14:textId="77777777" w:rsidR="000817FF" w:rsidRDefault="00FB291E">
      <w:pPr>
        <w:spacing w:after="120" w:line="360" w:lineRule="auto"/>
        <w:ind w:firstLine="420"/>
      </w:pPr>
      <w:r>
        <w:rPr>
          <w:sz w:val="21"/>
        </w:rPr>
        <w:t>全周期数据构建结果显示，</w:t>
      </w:r>
      <w:r>
        <w:rPr>
          <w:sz w:val="21"/>
        </w:rPr>
        <w:t xml:space="preserve">2004-2025 </w:t>
      </w:r>
      <w:r>
        <w:rPr>
          <w:sz w:val="21"/>
        </w:rPr>
        <w:t>年病例基础数据共包含</w:t>
      </w:r>
      <w:r>
        <w:rPr>
          <w:sz w:val="21"/>
        </w:rPr>
        <w:t xml:space="preserve"> 4,869,695 </w:t>
      </w:r>
      <w:r>
        <w:rPr>
          <w:sz w:val="21"/>
        </w:rPr>
        <w:t>条记录。经病例级去重后，最终形成</w:t>
      </w:r>
      <w:r>
        <w:rPr>
          <w:sz w:val="21"/>
        </w:rPr>
        <w:t xml:space="preserve"> 4,155,023 </w:t>
      </w:r>
      <w:r>
        <w:rPr>
          <w:sz w:val="21"/>
        </w:rPr>
        <w:t>例全周期病例。信号分析数据集和药物特征数据集均包含</w:t>
      </w:r>
      <w:r>
        <w:rPr>
          <w:sz w:val="21"/>
        </w:rPr>
        <w:t xml:space="preserve"> 4,155,023 </w:t>
      </w:r>
      <w:r>
        <w:rPr>
          <w:sz w:val="21"/>
        </w:rPr>
        <w:t>例，与全局病例索引保持一致，说明全周期数据集在病例数量层面具有一致性。</w:t>
      </w:r>
    </w:p>
    <w:p w14:paraId="30B97C88" w14:textId="77777777" w:rsidR="000817FF" w:rsidRDefault="00FB291E">
      <w:pPr>
        <w:spacing w:after="120" w:line="360" w:lineRule="auto"/>
        <w:ind w:firstLine="420"/>
      </w:pPr>
      <w:r>
        <w:rPr>
          <w:sz w:val="21"/>
        </w:rPr>
        <w:t>表</w:t>
      </w:r>
      <w:r>
        <w:rPr>
          <w:sz w:val="21"/>
        </w:rPr>
        <w:t xml:space="preserve"> 3-1 </w:t>
      </w:r>
      <w:r>
        <w:rPr>
          <w:sz w:val="21"/>
        </w:rPr>
        <w:t>显示全周期数据集构建过程中的主要质控结果。</w:t>
      </w:r>
    </w:p>
    <w:p w14:paraId="56EB3C4E" w14:textId="77777777" w:rsidR="000817FF" w:rsidRDefault="00FB291E">
      <w:pPr>
        <w:spacing w:after="120" w:line="360" w:lineRule="auto"/>
        <w:ind w:firstLine="420"/>
      </w:pPr>
      <w:r>
        <w:rPr>
          <w:sz w:val="21"/>
        </w:rPr>
        <w:t>表</w:t>
      </w:r>
      <w:r>
        <w:rPr>
          <w:sz w:val="21"/>
        </w:rPr>
        <w:t xml:space="preserve"> 3-1 2004-2025 </w:t>
      </w:r>
      <w:r>
        <w:rPr>
          <w:sz w:val="21"/>
        </w:rPr>
        <w:t>年全周期数据集构建结果</w:t>
      </w:r>
    </w:p>
    <w:tbl>
      <w:tblPr>
        <w:tblStyle w:val="aff1"/>
        <w:tblW w:w="8788" w:type="dxa"/>
        <w:tblLayout w:type="fixed"/>
        <w:tblLook w:val="04A0" w:firstRow="1" w:lastRow="0" w:firstColumn="1" w:lastColumn="0" w:noHBand="0" w:noVBand="1"/>
      </w:tblPr>
      <w:tblGrid>
        <w:gridCol w:w="4394"/>
        <w:gridCol w:w="4394"/>
      </w:tblGrid>
      <w:tr w:rsidR="000817FF" w14:paraId="23D61A3B" w14:textId="77777777">
        <w:tc>
          <w:tcPr>
            <w:tcW w:w="4394" w:type="dxa"/>
            <w:shd w:val="clear" w:color="auto" w:fill="EDEDED"/>
            <w:tcMar>
              <w:top w:w="80" w:type="dxa"/>
              <w:left w:w="100" w:type="dxa"/>
              <w:bottom w:w="80" w:type="dxa"/>
              <w:right w:w="100" w:type="dxa"/>
            </w:tcMar>
            <w:vAlign w:val="center"/>
          </w:tcPr>
          <w:p w14:paraId="19756071" w14:textId="77777777" w:rsidR="000817FF" w:rsidRDefault="00FB291E">
            <w:pPr>
              <w:jc w:val="center"/>
            </w:pPr>
            <w:r>
              <w:rPr>
                <w:b/>
                <w:sz w:val="18"/>
              </w:rPr>
              <w:t>数据集</w:t>
            </w:r>
          </w:p>
        </w:tc>
        <w:tc>
          <w:tcPr>
            <w:tcW w:w="4394" w:type="dxa"/>
            <w:shd w:val="clear" w:color="auto" w:fill="EDEDED"/>
            <w:tcMar>
              <w:top w:w="80" w:type="dxa"/>
              <w:left w:w="100" w:type="dxa"/>
              <w:bottom w:w="80" w:type="dxa"/>
              <w:right w:w="100" w:type="dxa"/>
            </w:tcMar>
            <w:vAlign w:val="center"/>
          </w:tcPr>
          <w:p w14:paraId="47019C4D" w14:textId="77777777" w:rsidR="000817FF" w:rsidRDefault="00FB291E">
            <w:pPr>
              <w:jc w:val="center"/>
            </w:pPr>
            <w:r>
              <w:rPr>
                <w:b/>
                <w:sz w:val="18"/>
              </w:rPr>
              <w:t>病例数</w:t>
            </w:r>
          </w:p>
        </w:tc>
      </w:tr>
      <w:tr w:rsidR="000817FF" w14:paraId="589596D9" w14:textId="77777777">
        <w:tc>
          <w:tcPr>
            <w:tcW w:w="4394" w:type="dxa"/>
            <w:tcMar>
              <w:top w:w="80" w:type="dxa"/>
              <w:left w:w="100" w:type="dxa"/>
              <w:bottom w:w="80" w:type="dxa"/>
              <w:right w:w="100" w:type="dxa"/>
            </w:tcMar>
            <w:vAlign w:val="center"/>
          </w:tcPr>
          <w:p w14:paraId="67B8FE42" w14:textId="77777777" w:rsidR="000817FF" w:rsidRDefault="00FB291E">
            <w:pPr>
              <w:jc w:val="center"/>
            </w:pPr>
            <w:r>
              <w:rPr>
                <w:sz w:val="18"/>
              </w:rPr>
              <w:t>病例基础数据合并后记录数</w:t>
            </w:r>
          </w:p>
        </w:tc>
        <w:tc>
          <w:tcPr>
            <w:tcW w:w="4394" w:type="dxa"/>
            <w:tcMar>
              <w:top w:w="80" w:type="dxa"/>
              <w:left w:w="100" w:type="dxa"/>
              <w:bottom w:w="80" w:type="dxa"/>
              <w:right w:w="100" w:type="dxa"/>
            </w:tcMar>
            <w:vAlign w:val="center"/>
          </w:tcPr>
          <w:p w14:paraId="3EFF05FD" w14:textId="77777777" w:rsidR="000817FF" w:rsidRDefault="00FB291E">
            <w:pPr>
              <w:jc w:val="center"/>
            </w:pPr>
            <w:r>
              <w:rPr>
                <w:sz w:val="18"/>
              </w:rPr>
              <w:t>4,869,695</w:t>
            </w:r>
          </w:p>
        </w:tc>
      </w:tr>
      <w:tr w:rsidR="000817FF" w14:paraId="63E7E91A" w14:textId="77777777">
        <w:tc>
          <w:tcPr>
            <w:tcW w:w="4394" w:type="dxa"/>
            <w:tcMar>
              <w:top w:w="80" w:type="dxa"/>
              <w:left w:w="100" w:type="dxa"/>
              <w:bottom w:w="80" w:type="dxa"/>
              <w:right w:w="100" w:type="dxa"/>
            </w:tcMar>
            <w:vAlign w:val="center"/>
          </w:tcPr>
          <w:p w14:paraId="7DC8D7CC" w14:textId="77777777" w:rsidR="000817FF" w:rsidRDefault="00FB291E">
            <w:pPr>
              <w:jc w:val="center"/>
            </w:pPr>
            <w:r>
              <w:rPr>
                <w:sz w:val="18"/>
              </w:rPr>
              <w:t>病例基础数据过滤后记录数</w:t>
            </w:r>
          </w:p>
        </w:tc>
        <w:tc>
          <w:tcPr>
            <w:tcW w:w="4394" w:type="dxa"/>
            <w:tcMar>
              <w:top w:w="80" w:type="dxa"/>
              <w:left w:w="100" w:type="dxa"/>
              <w:bottom w:w="80" w:type="dxa"/>
              <w:right w:w="100" w:type="dxa"/>
            </w:tcMar>
            <w:vAlign w:val="center"/>
          </w:tcPr>
          <w:p w14:paraId="1D0BAC91" w14:textId="77777777" w:rsidR="000817FF" w:rsidRDefault="00FB291E">
            <w:pPr>
              <w:jc w:val="center"/>
            </w:pPr>
            <w:r>
              <w:rPr>
                <w:sz w:val="18"/>
              </w:rPr>
              <w:t>4,869,695</w:t>
            </w:r>
          </w:p>
        </w:tc>
      </w:tr>
      <w:tr w:rsidR="000817FF" w14:paraId="1C9BE387" w14:textId="77777777">
        <w:tc>
          <w:tcPr>
            <w:tcW w:w="4394" w:type="dxa"/>
            <w:tcMar>
              <w:top w:w="80" w:type="dxa"/>
              <w:left w:w="100" w:type="dxa"/>
              <w:bottom w:w="80" w:type="dxa"/>
              <w:right w:w="100" w:type="dxa"/>
            </w:tcMar>
            <w:vAlign w:val="center"/>
          </w:tcPr>
          <w:p w14:paraId="52E66DA6" w14:textId="77777777" w:rsidR="000817FF" w:rsidRDefault="00FB291E">
            <w:pPr>
              <w:jc w:val="center"/>
            </w:pPr>
            <w:r>
              <w:rPr>
                <w:sz w:val="18"/>
              </w:rPr>
              <w:t>全局病例索引</w:t>
            </w:r>
          </w:p>
        </w:tc>
        <w:tc>
          <w:tcPr>
            <w:tcW w:w="4394" w:type="dxa"/>
            <w:tcMar>
              <w:top w:w="80" w:type="dxa"/>
              <w:left w:w="100" w:type="dxa"/>
              <w:bottom w:w="80" w:type="dxa"/>
              <w:right w:w="100" w:type="dxa"/>
            </w:tcMar>
            <w:vAlign w:val="center"/>
          </w:tcPr>
          <w:p w14:paraId="6D096606" w14:textId="77777777" w:rsidR="000817FF" w:rsidRDefault="00FB291E">
            <w:pPr>
              <w:jc w:val="center"/>
            </w:pPr>
            <w:r>
              <w:rPr>
                <w:sz w:val="18"/>
              </w:rPr>
              <w:t>4,155,023</w:t>
            </w:r>
          </w:p>
        </w:tc>
      </w:tr>
      <w:tr w:rsidR="000817FF" w14:paraId="3765E7AD" w14:textId="77777777">
        <w:tc>
          <w:tcPr>
            <w:tcW w:w="4394" w:type="dxa"/>
            <w:tcMar>
              <w:top w:w="80" w:type="dxa"/>
              <w:left w:w="100" w:type="dxa"/>
              <w:bottom w:w="80" w:type="dxa"/>
              <w:right w:w="100" w:type="dxa"/>
            </w:tcMar>
            <w:vAlign w:val="center"/>
          </w:tcPr>
          <w:p w14:paraId="23746286" w14:textId="77777777" w:rsidR="000817FF" w:rsidRDefault="00FB291E">
            <w:pPr>
              <w:jc w:val="center"/>
            </w:pPr>
            <w:r>
              <w:rPr>
                <w:sz w:val="18"/>
              </w:rPr>
              <w:t>信号分析数据集</w:t>
            </w:r>
          </w:p>
        </w:tc>
        <w:tc>
          <w:tcPr>
            <w:tcW w:w="4394" w:type="dxa"/>
            <w:tcMar>
              <w:top w:w="80" w:type="dxa"/>
              <w:left w:w="100" w:type="dxa"/>
              <w:bottom w:w="80" w:type="dxa"/>
              <w:right w:w="100" w:type="dxa"/>
            </w:tcMar>
            <w:vAlign w:val="center"/>
          </w:tcPr>
          <w:p w14:paraId="42F47629" w14:textId="77777777" w:rsidR="000817FF" w:rsidRDefault="00FB291E">
            <w:pPr>
              <w:jc w:val="center"/>
            </w:pPr>
            <w:r>
              <w:rPr>
                <w:sz w:val="18"/>
              </w:rPr>
              <w:t>4,155,023</w:t>
            </w:r>
          </w:p>
        </w:tc>
      </w:tr>
      <w:tr w:rsidR="000817FF" w14:paraId="201728E1" w14:textId="77777777">
        <w:tc>
          <w:tcPr>
            <w:tcW w:w="4394" w:type="dxa"/>
            <w:tcMar>
              <w:top w:w="80" w:type="dxa"/>
              <w:left w:w="100" w:type="dxa"/>
              <w:bottom w:w="80" w:type="dxa"/>
              <w:right w:w="100" w:type="dxa"/>
            </w:tcMar>
            <w:vAlign w:val="center"/>
          </w:tcPr>
          <w:p w14:paraId="5B759716" w14:textId="77777777" w:rsidR="000817FF" w:rsidRDefault="00FB291E">
            <w:pPr>
              <w:jc w:val="center"/>
            </w:pPr>
            <w:r>
              <w:rPr>
                <w:sz w:val="18"/>
              </w:rPr>
              <w:t>药物特征数据集</w:t>
            </w:r>
          </w:p>
        </w:tc>
        <w:tc>
          <w:tcPr>
            <w:tcW w:w="4394" w:type="dxa"/>
            <w:tcMar>
              <w:top w:w="80" w:type="dxa"/>
              <w:left w:w="100" w:type="dxa"/>
              <w:bottom w:w="80" w:type="dxa"/>
              <w:right w:w="100" w:type="dxa"/>
            </w:tcMar>
            <w:vAlign w:val="center"/>
          </w:tcPr>
          <w:p w14:paraId="49320C85" w14:textId="77777777" w:rsidR="000817FF" w:rsidRDefault="00FB291E">
            <w:pPr>
              <w:jc w:val="center"/>
            </w:pPr>
            <w:r>
              <w:rPr>
                <w:sz w:val="18"/>
              </w:rPr>
              <w:t>4,155,023</w:t>
            </w:r>
          </w:p>
        </w:tc>
      </w:tr>
    </w:tbl>
    <w:p w14:paraId="3387FC0F" w14:textId="77777777" w:rsidR="000817FF" w:rsidRDefault="000817FF"/>
    <w:p w14:paraId="02DD8765" w14:textId="77777777" w:rsidR="000817FF" w:rsidRDefault="00FB291E">
      <w:pPr>
        <w:spacing w:after="120" w:line="360" w:lineRule="auto"/>
        <w:ind w:firstLine="420"/>
      </w:pPr>
      <w:r>
        <w:rPr>
          <w:sz w:val="21"/>
        </w:rPr>
        <w:t>从数据处理流程看，原始数据经清洗和去重后，约保留</w:t>
      </w:r>
      <w:r>
        <w:rPr>
          <w:sz w:val="21"/>
        </w:rPr>
        <w:t xml:space="preserve"> 415 </w:t>
      </w:r>
      <w:r>
        <w:rPr>
          <w:sz w:val="21"/>
        </w:rPr>
        <w:t>万例唯一病例用于后续分析。由于</w:t>
      </w:r>
      <w:r>
        <w:rPr>
          <w:sz w:val="21"/>
        </w:rPr>
        <w:t xml:space="preserve"> FAERS </w:t>
      </w:r>
      <w:r>
        <w:rPr>
          <w:sz w:val="21"/>
        </w:rPr>
        <w:t>为自发报告数据库，同一病例可能存在补充报告或版本更新，因此病例级去重是保证结果不被重复病例放大的关键步骤。</w:t>
      </w:r>
    </w:p>
    <w:p w14:paraId="079FED29" w14:textId="77777777" w:rsidR="000817FF" w:rsidRDefault="00FB291E">
      <w:pPr>
        <w:pStyle w:val="21"/>
        <w:spacing w:before="160" w:after="80"/>
      </w:pPr>
      <w:bookmarkStart w:id="52" w:name="_Toc230281351"/>
      <w:r>
        <w:rPr>
          <w:rFonts w:ascii="Times New Roman" w:eastAsia="宋体" w:hAnsi="Times New Roman"/>
        </w:rPr>
        <w:t xml:space="preserve">3.2 </w:t>
      </w:r>
      <w:r>
        <w:rPr>
          <w:rFonts w:ascii="Times New Roman" w:eastAsia="宋体" w:hAnsi="Times New Roman"/>
        </w:rPr>
        <w:t>全周期主要变量总体分布</w:t>
      </w:r>
      <w:bookmarkEnd w:id="52"/>
    </w:p>
    <w:p w14:paraId="1D59EB9B" w14:textId="77777777" w:rsidR="000817FF" w:rsidRDefault="00FB291E">
      <w:pPr>
        <w:spacing w:after="120" w:line="360" w:lineRule="auto"/>
        <w:ind w:firstLine="420"/>
      </w:pPr>
      <w:r>
        <w:t>在 2004-2025 年全周期病例中，严格 PT 跌倒事件共 132,266 例，广义跌倒相关事件（补充）共 298,906 例。严格 PT 跌倒主要用于后续主分析，广义跌倒相关事件（补充）用于补充分析和敏感性分析。</w:t>
      </w:r>
    </w:p>
    <w:p w14:paraId="1DB05C23" w14:textId="77777777" w:rsidR="000817FF" w:rsidRDefault="00FB291E">
      <w:pPr>
        <w:spacing w:after="120" w:line="360" w:lineRule="auto"/>
        <w:ind w:firstLine="420"/>
      </w:pPr>
      <w:r>
        <w:rPr>
          <w:sz w:val="21"/>
        </w:rPr>
        <w:t>药物暴露方面，唑吡坦任意暴露病例为</w:t>
      </w:r>
      <w:r>
        <w:rPr>
          <w:sz w:val="21"/>
        </w:rPr>
        <w:t xml:space="preserve"> 38,709 </w:t>
      </w:r>
      <w:r>
        <w:rPr>
          <w:sz w:val="21"/>
        </w:rPr>
        <w:t>例；唑吡坦</w:t>
      </w:r>
      <w:r>
        <w:rPr>
          <w:sz w:val="21"/>
        </w:rPr>
        <w:t xml:space="preserve"> suspect </w:t>
      </w:r>
      <w:r>
        <w:rPr>
          <w:sz w:val="21"/>
        </w:rPr>
        <w:t>暴露病例为</w:t>
      </w:r>
      <w:r>
        <w:rPr>
          <w:sz w:val="21"/>
        </w:rPr>
        <w:t xml:space="preserve"> 8,011 </w:t>
      </w:r>
      <w:r>
        <w:rPr>
          <w:sz w:val="21"/>
        </w:rPr>
        <w:t>例；其中以</w:t>
      </w:r>
      <w:r>
        <w:rPr>
          <w:sz w:val="21"/>
        </w:rPr>
        <w:t xml:space="preserve"> primary suspect </w:t>
      </w:r>
      <w:r>
        <w:rPr>
          <w:sz w:val="21"/>
        </w:rPr>
        <w:t>口径定义的唑吡坦暴露病例为</w:t>
      </w:r>
      <w:r>
        <w:rPr>
          <w:sz w:val="21"/>
        </w:rPr>
        <w:t xml:space="preserve"> 4,314 </w:t>
      </w:r>
      <w:r>
        <w:rPr>
          <w:sz w:val="21"/>
        </w:rPr>
        <w:t>例。其他</w:t>
      </w:r>
      <w:r>
        <w:rPr>
          <w:sz w:val="21"/>
        </w:rPr>
        <w:t xml:space="preserve"> Z-drugs suspect </w:t>
      </w:r>
      <w:r>
        <w:rPr>
          <w:sz w:val="21"/>
        </w:rPr>
        <w:t>暴露病例为</w:t>
      </w:r>
      <w:r>
        <w:rPr>
          <w:sz w:val="21"/>
        </w:rPr>
        <w:t xml:space="preserve"> 7,012 </w:t>
      </w:r>
      <w:r>
        <w:rPr>
          <w:sz w:val="21"/>
        </w:rPr>
        <w:t>例；其中</w:t>
      </w:r>
      <w:r>
        <w:rPr>
          <w:sz w:val="21"/>
        </w:rPr>
        <w:t xml:space="preserve"> primary suspect </w:t>
      </w:r>
      <w:r>
        <w:rPr>
          <w:sz w:val="21"/>
        </w:rPr>
        <w:t>口径下为</w:t>
      </w:r>
      <w:r>
        <w:rPr>
          <w:sz w:val="21"/>
        </w:rPr>
        <w:t xml:space="preserve"> 2,925 </w:t>
      </w:r>
      <w:r>
        <w:rPr>
          <w:sz w:val="21"/>
        </w:rPr>
        <w:t>例。</w:t>
      </w:r>
    </w:p>
    <w:p w14:paraId="11CB7635" w14:textId="77777777" w:rsidR="000817FF" w:rsidRDefault="00FB291E">
      <w:pPr>
        <w:spacing w:after="120" w:line="360" w:lineRule="auto"/>
        <w:ind w:firstLine="420"/>
      </w:pPr>
      <w:r>
        <w:rPr>
          <w:sz w:val="21"/>
        </w:rPr>
        <w:t>表</w:t>
      </w:r>
      <w:r>
        <w:rPr>
          <w:sz w:val="21"/>
        </w:rPr>
        <w:t xml:space="preserve"> 3-2 </w:t>
      </w:r>
      <w:r>
        <w:rPr>
          <w:sz w:val="21"/>
        </w:rPr>
        <w:t>显示</w:t>
      </w:r>
      <w:r>
        <w:rPr>
          <w:sz w:val="21"/>
        </w:rPr>
        <w:t xml:space="preserve"> 2004-2025 </w:t>
      </w:r>
      <w:r>
        <w:rPr>
          <w:sz w:val="21"/>
        </w:rPr>
        <w:t>年全周期核心变量分布。</w:t>
      </w:r>
    </w:p>
    <w:p w14:paraId="45829606" w14:textId="77777777" w:rsidR="000817FF" w:rsidRDefault="00FB291E">
      <w:pPr>
        <w:spacing w:after="120" w:line="360" w:lineRule="auto"/>
        <w:ind w:firstLine="420"/>
      </w:pPr>
      <w:r>
        <w:rPr>
          <w:sz w:val="21"/>
        </w:rPr>
        <w:t>表</w:t>
      </w:r>
      <w:r>
        <w:rPr>
          <w:sz w:val="21"/>
        </w:rPr>
        <w:t xml:space="preserve"> 3-2 2004-2025 </w:t>
      </w:r>
      <w:r>
        <w:rPr>
          <w:sz w:val="21"/>
        </w:rPr>
        <w:t>年全周期核心变量分布</w:t>
      </w:r>
    </w:p>
    <w:tbl>
      <w:tblPr>
        <w:tblStyle w:val="aff1"/>
        <w:tblW w:w="8788" w:type="dxa"/>
        <w:tblLayout w:type="fixed"/>
        <w:tblLook w:val="04A0" w:firstRow="1" w:lastRow="0" w:firstColumn="1" w:lastColumn="0" w:noHBand="0" w:noVBand="1"/>
      </w:tblPr>
      <w:tblGrid>
        <w:gridCol w:w="4394"/>
        <w:gridCol w:w="4394"/>
      </w:tblGrid>
      <w:tr w:rsidR="000817FF" w14:paraId="3D3E1D88" w14:textId="77777777">
        <w:tc>
          <w:tcPr>
            <w:tcW w:w="4394" w:type="dxa"/>
            <w:shd w:val="clear" w:color="auto" w:fill="EDEDED"/>
            <w:tcMar>
              <w:top w:w="80" w:type="dxa"/>
              <w:left w:w="100" w:type="dxa"/>
              <w:bottom w:w="80" w:type="dxa"/>
              <w:right w:w="100" w:type="dxa"/>
            </w:tcMar>
            <w:vAlign w:val="center"/>
          </w:tcPr>
          <w:p w14:paraId="3DC2404E"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029C381" w14:textId="77777777" w:rsidR="000817FF" w:rsidRDefault="00FB291E">
            <w:pPr>
              <w:jc w:val="center"/>
            </w:pPr>
            <w:r>
              <w:rPr>
                <w:b/>
                <w:sz w:val="18"/>
              </w:rPr>
              <w:t>病例数</w:t>
            </w:r>
          </w:p>
        </w:tc>
      </w:tr>
      <w:tr w:rsidR="000817FF" w14:paraId="38FF9899" w14:textId="77777777">
        <w:tc>
          <w:tcPr>
            <w:tcW w:w="4394" w:type="dxa"/>
            <w:tcMar>
              <w:top w:w="80" w:type="dxa"/>
              <w:left w:w="100" w:type="dxa"/>
              <w:bottom w:w="80" w:type="dxa"/>
              <w:right w:w="100" w:type="dxa"/>
            </w:tcMar>
            <w:vAlign w:val="center"/>
          </w:tcPr>
          <w:p w14:paraId="12FFB2F1" w14:textId="77777777" w:rsidR="000817FF" w:rsidRDefault="00FB291E">
            <w:pPr>
              <w:jc w:val="center"/>
            </w:pPr>
            <w:r>
              <w:rPr>
                <w:sz w:val="18"/>
              </w:rPr>
              <w:lastRenderedPageBreak/>
              <w:t>全周期去重病例数</w:t>
            </w:r>
          </w:p>
        </w:tc>
        <w:tc>
          <w:tcPr>
            <w:tcW w:w="4394" w:type="dxa"/>
            <w:tcMar>
              <w:top w:w="80" w:type="dxa"/>
              <w:left w:w="100" w:type="dxa"/>
              <w:bottom w:w="80" w:type="dxa"/>
              <w:right w:w="100" w:type="dxa"/>
            </w:tcMar>
            <w:vAlign w:val="center"/>
          </w:tcPr>
          <w:p w14:paraId="7680746E" w14:textId="77777777" w:rsidR="000817FF" w:rsidRDefault="00FB291E">
            <w:pPr>
              <w:jc w:val="center"/>
            </w:pPr>
            <w:r>
              <w:rPr>
                <w:sz w:val="18"/>
              </w:rPr>
              <w:t>4,155,023</w:t>
            </w:r>
          </w:p>
        </w:tc>
      </w:tr>
      <w:tr w:rsidR="000817FF" w14:paraId="325B5BB9" w14:textId="77777777">
        <w:tc>
          <w:tcPr>
            <w:tcW w:w="4394" w:type="dxa"/>
            <w:tcMar>
              <w:top w:w="80" w:type="dxa"/>
              <w:left w:w="100" w:type="dxa"/>
              <w:bottom w:w="80" w:type="dxa"/>
              <w:right w:w="100" w:type="dxa"/>
            </w:tcMar>
            <w:vAlign w:val="center"/>
          </w:tcPr>
          <w:p w14:paraId="408DEA24" w14:textId="77777777" w:rsidR="000817FF" w:rsidRDefault="00FB291E">
            <w:pPr>
              <w:jc w:val="center"/>
            </w:pPr>
            <w:r>
              <w:t>严格 PT 跌倒事件</w:t>
            </w:r>
          </w:p>
        </w:tc>
        <w:tc>
          <w:tcPr>
            <w:tcW w:w="4394" w:type="dxa"/>
            <w:tcMar>
              <w:top w:w="80" w:type="dxa"/>
              <w:left w:w="100" w:type="dxa"/>
              <w:bottom w:w="80" w:type="dxa"/>
              <w:right w:w="100" w:type="dxa"/>
            </w:tcMar>
            <w:vAlign w:val="center"/>
          </w:tcPr>
          <w:p w14:paraId="1F5C48A3" w14:textId="77777777" w:rsidR="000817FF" w:rsidRDefault="00FB291E">
            <w:pPr>
              <w:jc w:val="center"/>
            </w:pPr>
            <w:r>
              <w:rPr>
                <w:sz w:val="18"/>
              </w:rPr>
              <w:t>132,266</w:t>
            </w:r>
          </w:p>
        </w:tc>
      </w:tr>
      <w:tr w:rsidR="000817FF" w14:paraId="1E5A82A3" w14:textId="77777777">
        <w:tc>
          <w:tcPr>
            <w:tcW w:w="4394" w:type="dxa"/>
            <w:tcMar>
              <w:top w:w="80" w:type="dxa"/>
              <w:left w:w="100" w:type="dxa"/>
              <w:bottom w:w="80" w:type="dxa"/>
              <w:right w:w="100" w:type="dxa"/>
            </w:tcMar>
            <w:vAlign w:val="center"/>
          </w:tcPr>
          <w:p w14:paraId="75DA9F1F" w14:textId="77777777" w:rsidR="000817FF" w:rsidRDefault="00FB291E">
            <w:pPr>
              <w:jc w:val="center"/>
            </w:pPr>
            <w:r>
              <w:t>广义跌倒相关事件（补充）</w:t>
            </w:r>
          </w:p>
        </w:tc>
        <w:tc>
          <w:tcPr>
            <w:tcW w:w="4394" w:type="dxa"/>
            <w:tcMar>
              <w:top w:w="80" w:type="dxa"/>
              <w:left w:w="100" w:type="dxa"/>
              <w:bottom w:w="80" w:type="dxa"/>
              <w:right w:w="100" w:type="dxa"/>
            </w:tcMar>
            <w:vAlign w:val="center"/>
          </w:tcPr>
          <w:p w14:paraId="5F175D13" w14:textId="77777777" w:rsidR="000817FF" w:rsidRDefault="00FB291E">
            <w:pPr>
              <w:jc w:val="center"/>
            </w:pPr>
            <w:r>
              <w:rPr>
                <w:sz w:val="18"/>
              </w:rPr>
              <w:t>298,906</w:t>
            </w:r>
          </w:p>
        </w:tc>
      </w:tr>
      <w:tr w:rsidR="000817FF" w14:paraId="33A4E8F7" w14:textId="77777777">
        <w:tc>
          <w:tcPr>
            <w:tcW w:w="4394" w:type="dxa"/>
            <w:tcMar>
              <w:top w:w="80" w:type="dxa"/>
              <w:left w:w="100" w:type="dxa"/>
              <w:bottom w:w="80" w:type="dxa"/>
              <w:right w:w="100" w:type="dxa"/>
            </w:tcMar>
            <w:vAlign w:val="center"/>
          </w:tcPr>
          <w:p w14:paraId="11526DCD" w14:textId="77777777" w:rsidR="000817FF" w:rsidRDefault="00FB291E">
            <w:pPr>
              <w:jc w:val="center"/>
            </w:pPr>
            <w:r>
              <w:rPr>
                <w:sz w:val="18"/>
              </w:rPr>
              <w:t>唑吡坦任意暴露</w:t>
            </w:r>
          </w:p>
        </w:tc>
        <w:tc>
          <w:tcPr>
            <w:tcW w:w="4394" w:type="dxa"/>
            <w:tcMar>
              <w:top w:w="80" w:type="dxa"/>
              <w:left w:w="100" w:type="dxa"/>
              <w:bottom w:w="80" w:type="dxa"/>
              <w:right w:w="100" w:type="dxa"/>
            </w:tcMar>
            <w:vAlign w:val="center"/>
          </w:tcPr>
          <w:p w14:paraId="224B08FF" w14:textId="77777777" w:rsidR="000817FF" w:rsidRDefault="00FB291E">
            <w:pPr>
              <w:jc w:val="center"/>
            </w:pPr>
            <w:r>
              <w:rPr>
                <w:sz w:val="18"/>
              </w:rPr>
              <w:t>38,709</w:t>
            </w:r>
          </w:p>
        </w:tc>
      </w:tr>
      <w:tr w:rsidR="000817FF" w14:paraId="145E8C03" w14:textId="77777777">
        <w:tc>
          <w:tcPr>
            <w:tcW w:w="4394" w:type="dxa"/>
            <w:tcMar>
              <w:top w:w="80" w:type="dxa"/>
              <w:left w:w="100" w:type="dxa"/>
              <w:bottom w:w="80" w:type="dxa"/>
              <w:right w:w="100" w:type="dxa"/>
            </w:tcMar>
            <w:vAlign w:val="center"/>
          </w:tcPr>
          <w:p w14:paraId="588A2CC3"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47E4174C" w14:textId="77777777" w:rsidR="000817FF" w:rsidRDefault="00FB291E">
            <w:pPr>
              <w:jc w:val="center"/>
            </w:pPr>
            <w:r>
              <w:rPr>
                <w:sz w:val="18"/>
              </w:rPr>
              <w:t>8,011</w:t>
            </w:r>
          </w:p>
        </w:tc>
      </w:tr>
      <w:tr w:rsidR="000817FF" w14:paraId="0A6D0C31" w14:textId="77777777">
        <w:tc>
          <w:tcPr>
            <w:tcW w:w="4394" w:type="dxa"/>
            <w:tcMar>
              <w:top w:w="80" w:type="dxa"/>
              <w:left w:w="100" w:type="dxa"/>
              <w:bottom w:w="80" w:type="dxa"/>
              <w:right w:w="100" w:type="dxa"/>
            </w:tcMar>
            <w:vAlign w:val="center"/>
          </w:tcPr>
          <w:p w14:paraId="0A2E1AEC"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5CB7C52" w14:textId="77777777" w:rsidR="000817FF" w:rsidRDefault="00FB291E">
            <w:pPr>
              <w:jc w:val="center"/>
            </w:pPr>
            <w:r>
              <w:rPr>
                <w:sz w:val="18"/>
              </w:rPr>
              <w:t>4,314</w:t>
            </w:r>
          </w:p>
        </w:tc>
      </w:tr>
      <w:tr w:rsidR="000817FF" w14:paraId="0D37C1D7" w14:textId="77777777">
        <w:tc>
          <w:tcPr>
            <w:tcW w:w="4394" w:type="dxa"/>
            <w:tcMar>
              <w:top w:w="80" w:type="dxa"/>
              <w:left w:w="100" w:type="dxa"/>
              <w:bottom w:w="80" w:type="dxa"/>
              <w:right w:w="100" w:type="dxa"/>
            </w:tcMar>
            <w:vAlign w:val="center"/>
          </w:tcPr>
          <w:p w14:paraId="14796256"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4394" w:type="dxa"/>
            <w:tcMar>
              <w:top w:w="80" w:type="dxa"/>
              <w:left w:w="100" w:type="dxa"/>
              <w:bottom w:w="80" w:type="dxa"/>
              <w:right w:w="100" w:type="dxa"/>
            </w:tcMar>
            <w:vAlign w:val="center"/>
          </w:tcPr>
          <w:p w14:paraId="0FBE2901" w14:textId="77777777" w:rsidR="000817FF" w:rsidRDefault="00FB291E">
            <w:pPr>
              <w:jc w:val="center"/>
            </w:pPr>
            <w:r>
              <w:rPr>
                <w:sz w:val="18"/>
              </w:rPr>
              <w:t>7,012</w:t>
            </w:r>
          </w:p>
        </w:tc>
      </w:tr>
      <w:tr w:rsidR="000817FF" w14:paraId="087D75EA" w14:textId="77777777">
        <w:tc>
          <w:tcPr>
            <w:tcW w:w="4394" w:type="dxa"/>
            <w:tcMar>
              <w:top w:w="80" w:type="dxa"/>
              <w:left w:w="100" w:type="dxa"/>
              <w:bottom w:w="80" w:type="dxa"/>
              <w:right w:w="100" w:type="dxa"/>
            </w:tcMar>
            <w:vAlign w:val="center"/>
          </w:tcPr>
          <w:p w14:paraId="2F140A9B"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4394" w:type="dxa"/>
            <w:tcMar>
              <w:top w:w="80" w:type="dxa"/>
              <w:left w:w="100" w:type="dxa"/>
              <w:bottom w:w="80" w:type="dxa"/>
              <w:right w:w="100" w:type="dxa"/>
            </w:tcMar>
            <w:vAlign w:val="center"/>
          </w:tcPr>
          <w:p w14:paraId="2EE7AA4F" w14:textId="77777777" w:rsidR="000817FF" w:rsidRDefault="00FB291E">
            <w:pPr>
              <w:jc w:val="center"/>
            </w:pPr>
            <w:r>
              <w:rPr>
                <w:sz w:val="18"/>
              </w:rPr>
              <w:t>2,925</w:t>
            </w:r>
          </w:p>
        </w:tc>
      </w:tr>
    </w:tbl>
    <w:p w14:paraId="502143FC" w14:textId="77777777" w:rsidR="000817FF" w:rsidRDefault="000817FF"/>
    <w:p w14:paraId="2739FA4F" w14:textId="77777777" w:rsidR="000817FF" w:rsidRDefault="00FB291E">
      <w:pPr>
        <w:spacing w:after="120" w:line="360" w:lineRule="auto"/>
        <w:ind w:firstLine="420"/>
      </w:pPr>
      <w:r>
        <w:rPr>
          <w:sz w:val="21"/>
        </w:rPr>
        <w:t>在目标药物分组中，</w:t>
      </w:r>
      <w:r>
        <w:rPr>
          <w:sz w:val="21"/>
        </w:rPr>
        <w:t xml:space="preserve">PS+SS </w:t>
      </w:r>
      <w:r>
        <w:rPr>
          <w:sz w:val="21"/>
        </w:rPr>
        <w:t>口径下</w:t>
      </w:r>
      <w:r>
        <w:rPr>
          <w:sz w:val="21"/>
        </w:rPr>
        <w:t xml:space="preserve"> zolpidem only </w:t>
      </w:r>
      <w:r>
        <w:rPr>
          <w:sz w:val="21"/>
        </w:rPr>
        <w:t>病例为</w:t>
      </w:r>
      <w:r>
        <w:rPr>
          <w:sz w:val="21"/>
        </w:rPr>
        <w:t xml:space="preserve"> 7,798 </w:t>
      </w:r>
      <w:r>
        <w:rPr>
          <w:sz w:val="21"/>
        </w:rPr>
        <w:t>例，</w:t>
      </w:r>
      <w:r>
        <w:rPr>
          <w:sz w:val="21"/>
        </w:rPr>
        <w:t xml:space="preserve">other zdrug only </w:t>
      </w:r>
      <w:r>
        <w:rPr>
          <w:sz w:val="21"/>
        </w:rPr>
        <w:t>病例为</w:t>
      </w:r>
      <w:r>
        <w:rPr>
          <w:sz w:val="21"/>
        </w:rPr>
        <w:t xml:space="preserve"> 6,799 </w:t>
      </w:r>
      <w:r>
        <w:rPr>
          <w:sz w:val="21"/>
        </w:rPr>
        <w:t>例，同时包含</w:t>
      </w:r>
      <w:r>
        <w:rPr>
          <w:sz w:val="21"/>
        </w:rPr>
        <w:t xml:space="preserve"> zolpidem </w:t>
      </w:r>
      <w:r>
        <w:rPr>
          <w:sz w:val="21"/>
        </w:rPr>
        <w:t>和其他</w:t>
      </w:r>
      <w:r>
        <w:rPr>
          <w:sz w:val="21"/>
        </w:rPr>
        <w:t xml:space="preserve"> Z-drug </w:t>
      </w:r>
      <w:r>
        <w:rPr>
          <w:sz w:val="21"/>
        </w:rPr>
        <w:t>的混合暴露病例为</w:t>
      </w:r>
      <w:r>
        <w:rPr>
          <w:sz w:val="21"/>
        </w:rPr>
        <w:t xml:space="preserve"> 213 </w:t>
      </w:r>
      <w:r>
        <w:rPr>
          <w:sz w:val="21"/>
        </w:rPr>
        <w:t>例。主分析排除混合暴露病例后，将</w:t>
      </w:r>
      <w:r>
        <w:rPr>
          <w:sz w:val="21"/>
        </w:rPr>
        <w:t xml:space="preserve"> zolpidem only </w:t>
      </w:r>
      <w:r>
        <w:rPr>
          <w:sz w:val="21"/>
        </w:rPr>
        <w:t>作为目标暴露组，并将其他非目标可疑药物报告作为参照。</w:t>
      </w:r>
    </w:p>
    <w:p w14:paraId="7644616B"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病例为</w:t>
      </w:r>
      <w:r>
        <w:rPr>
          <w:sz w:val="21"/>
        </w:rPr>
        <w:t xml:space="preserve"> 4,314 </w:t>
      </w:r>
      <w:r>
        <w:rPr>
          <w:sz w:val="21"/>
        </w:rPr>
        <w:t>例，</w:t>
      </w:r>
      <w:r>
        <w:rPr>
          <w:sz w:val="21"/>
        </w:rPr>
        <w:t xml:space="preserve">other zdrug only </w:t>
      </w:r>
      <w:r>
        <w:rPr>
          <w:sz w:val="21"/>
        </w:rPr>
        <w:t>病例为</w:t>
      </w:r>
      <w:r>
        <w:rPr>
          <w:sz w:val="21"/>
        </w:rPr>
        <w:t xml:space="preserve"> 2,925 </w:t>
      </w:r>
      <w:r>
        <w:rPr>
          <w:sz w:val="21"/>
        </w:rPr>
        <w:t>例，未观察到同时包含</w:t>
      </w:r>
      <w:r>
        <w:rPr>
          <w:sz w:val="21"/>
        </w:rPr>
        <w:t xml:space="preserve"> zolpidem </w:t>
      </w:r>
      <w:r>
        <w:rPr>
          <w:sz w:val="21"/>
        </w:rPr>
        <w:t>和其他</w:t>
      </w:r>
      <w:r>
        <w:rPr>
          <w:sz w:val="21"/>
        </w:rPr>
        <w:t xml:space="preserve"> Z-drug </w:t>
      </w:r>
      <w:r>
        <w:rPr>
          <w:sz w:val="21"/>
        </w:rPr>
        <w:t>的混合暴露病例。该口径主要用于敏感性分析。</w:t>
      </w:r>
    </w:p>
    <w:p w14:paraId="385A32F8" w14:textId="77777777" w:rsidR="000817FF" w:rsidRDefault="00FB291E">
      <w:pPr>
        <w:pStyle w:val="21"/>
        <w:spacing w:before="160" w:after="80"/>
      </w:pPr>
      <w:bookmarkStart w:id="53" w:name="_Toc230281352"/>
      <w:r>
        <w:rPr>
          <w:rFonts w:ascii="Times New Roman" w:eastAsia="宋体" w:hAnsi="Times New Roman"/>
        </w:rPr>
        <w:t xml:space="preserve">3.3 </w:t>
      </w:r>
      <w:r>
        <w:rPr>
          <w:rFonts w:ascii="Times New Roman" w:eastAsia="宋体" w:hAnsi="Times New Roman"/>
        </w:rPr>
        <w:t>主分析人群与暴露</w:t>
      </w:r>
      <w:r>
        <w:rPr>
          <w:rFonts w:ascii="Times New Roman" w:eastAsia="宋体" w:hAnsi="Times New Roman"/>
        </w:rPr>
        <w:t>-</w:t>
      </w:r>
      <w:r>
        <w:rPr>
          <w:rFonts w:ascii="Times New Roman" w:eastAsia="宋体" w:hAnsi="Times New Roman"/>
        </w:rPr>
        <w:t>结局粗分布</w:t>
      </w:r>
      <w:bookmarkEnd w:id="53"/>
    </w:p>
    <w:p w14:paraId="7762198D" w14:textId="77777777" w:rsidR="000817FF" w:rsidRDefault="00FB291E">
      <w:pPr>
        <w:spacing w:after="120" w:line="360" w:lineRule="auto"/>
        <w:ind w:firstLine="420"/>
      </w:pPr>
      <w:r>
        <w:t>在主分析中，本研究比较唑吡坦 suspect 暴露病例与其他可疑药物病例中的严格 PT 跌倒事件报告比例。排除混合 Z-drug 暴露病例后，主分析数据集中唑吡坦 suspect 暴露组共有 7,798 例，其中发生严格 PT 跌倒事件 1,043 例，未发生严格 PT 跌倒事件 6,755 例。参照组中发生严格 PT 跌倒事件 131,211 例，未发生严格 PT 跌倒事件 4,015,664 例。</w:t>
      </w:r>
    </w:p>
    <w:p w14:paraId="097B1EAD" w14:textId="77777777" w:rsidR="000817FF" w:rsidRDefault="00FB291E">
      <w:pPr>
        <w:spacing w:after="120" w:line="360" w:lineRule="auto"/>
        <w:ind w:firstLine="420"/>
      </w:pPr>
      <w:r>
        <w:t>从粗报告比例看，唑吡坦 suspect 暴露组严格 PT 跌倒事件报告比例为 13.38%，高于参照组。广义跌倒相关事件（补充）分析中，唑吡坦 suspect 暴露组共有 1,448 例发生广义跌倒相关事件（补充），报告比例为 18.57%。</w:t>
      </w:r>
    </w:p>
    <w:p w14:paraId="53548E6A" w14:textId="77777777" w:rsidR="000817FF" w:rsidRDefault="00FB291E">
      <w:pPr>
        <w:spacing w:after="120" w:line="360" w:lineRule="auto"/>
        <w:ind w:firstLine="420"/>
      </w:pPr>
      <w:r>
        <w:rPr>
          <w:sz w:val="21"/>
        </w:rPr>
        <w:t>表</w:t>
      </w:r>
      <w:r>
        <w:rPr>
          <w:sz w:val="21"/>
        </w:rPr>
        <w:t xml:space="preserve"> 3-3 </w:t>
      </w:r>
      <w:r>
        <w:rPr>
          <w:sz w:val="21"/>
        </w:rPr>
        <w:t>显示主分析和敏感性分析中的暴露</w:t>
      </w:r>
      <w:r>
        <w:rPr>
          <w:sz w:val="21"/>
        </w:rPr>
        <w:t>-</w:t>
      </w:r>
      <w:r>
        <w:rPr>
          <w:sz w:val="21"/>
        </w:rPr>
        <w:t>结局粗分布。</w:t>
      </w:r>
    </w:p>
    <w:p w14:paraId="6DE861DB" w14:textId="77777777" w:rsidR="000817FF" w:rsidRDefault="00FB291E">
      <w:pPr>
        <w:spacing w:after="120" w:line="360" w:lineRule="auto"/>
        <w:ind w:firstLine="420"/>
      </w:pPr>
      <w:r>
        <w:rPr>
          <w:sz w:val="21"/>
        </w:rPr>
        <w:t>表</w:t>
      </w:r>
      <w:r>
        <w:rPr>
          <w:sz w:val="21"/>
        </w:rPr>
        <w:t xml:space="preserve"> 3-3 </w:t>
      </w:r>
      <w:r>
        <w:rPr>
          <w:sz w:val="21"/>
        </w:rPr>
        <w:t>唑吡坦暴露与跌倒结局的粗分布</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77013B6F" w14:textId="77777777">
        <w:tc>
          <w:tcPr>
            <w:tcW w:w="1464" w:type="dxa"/>
            <w:shd w:val="clear" w:color="auto" w:fill="EDEDED"/>
            <w:tcMar>
              <w:top w:w="80" w:type="dxa"/>
              <w:left w:w="100" w:type="dxa"/>
              <w:bottom w:w="80" w:type="dxa"/>
              <w:right w:w="100" w:type="dxa"/>
            </w:tcMar>
            <w:vAlign w:val="center"/>
          </w:tcPr>
          <w:p w14:paraId="06FEF73D" w14:textId="77777777" w:rsidR="000817FF" w:rsidRDefault="00FB291E">
            <w:pPr>
              <w:jc w:val="center"/>
            </w:pPr>
            <w:r>
              <w:rPr>
                <w:b/>
                <w:sz w:val="18"/>
              </w:rPr>
              <w:t>分析</w:t>
            </w:r>
          </w:p>
        </w:tc>
        <w:tc>
          <w:tcPr>
            <w:tcW w:w="1464" w:type="dxa"/>
            <w:shd w:val="clear" w:color="auto" w:fill="EDEDED"/>
            <w:tcMar>
              <w:top w:w="80" w:type="dxa"/>
              <w:left w:w="100" w:type="dxa"/>
              <w:bottom w:w="80" w:type="dxa"/>
              <w:right w:w="100" w:type="dxa"/>
            </w:tcMar>
            <w:vAlign w:val="center"/>
          </w:tcPr>
          <w:p w14:paraId="7E5F8931"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21F192F" w14:textId="77777777" w:rsidR="000817FF" w:rsidRDefault="00FB291E">
            <w:pPr>
              <w:jc w:val="center"/>
            </w:pPr>
            <w:r>
              <w:rPr>
                <w:b/>
                <w:sz w:val="18"/>
              </w:rPr>
              <w:t>暴露且发生结局</w:t>
            </w:r>
          </w:p>
        </w:tc>
        <w:tc>
          <w:tcPr>
            <w:tcW w:w="1464" w:type="dxa"/>
            <w:shd w:val="clear" w:color="auto" w:fill="EDEDED"/>
            <w:tcMar>
              <w:top w:w="80" w:type="dxa"/>
              <w:left w:w="100" w:type="dxa"/>
              <w:bottom w:w="80" w:type="dxa"/>
              <w:right w:w="100" w:type="dxa"/>
            </w:tcMar>
            <w:vAlign w:val="center"/>
          </w:tcPr>
          <w:p w14:paraId="6E15E7A1" w14:textId="77777777" w:rsidR="000817FF" w:rsidRDefault="00FB291E">
            <w:pPr>
              <w:jc w:val="center"/>
            </w:pPr>
            <w:r>
              <w:rPr>
                <w:b/>
                <w:sz w:val="18"/>
              </w:rPr>
              <w:t>暴露但未发生结局</w:t>
            </w:r>
          </w:p>
        </w:tc>
        <w:tc>
          <w:tcPr>
            <w:tcW w:w="1464" w:type="dxa"/>
            <w:shd w:val="clear" w:color="auto" w:fill="EDEDED"/>
            <w:tcMar>
              <w:top w:w="80" w:type="dxa"/>
              <w:left w:w="100" w:type="dxa"/>
              <w:bottom w:w="80" w:type="dxa"/>
              <w:right w:w="100" w:type="dxa"/>
            </w:tcMar>
            <w:vAlign w:val="center"/>
          </w:tcPr>
          <w:p w14:paraId="5963F73C" w14:textId="77777777" w:rsidR="000817FF" w:rsidRDefault="00FB291E">
            <w:pPr>
              <w:jc w:val="center"/>
            </w:pPr>
            <w:r>
              <w:rPr>
                <w:b/>
                <w:sz w:val="18"/>
              </w:rPr>
              <w:t>暴露组病例数</w:t>
            </w:r>
          </w:p>
        </w:tc>
        <w:tc>
          <w:tcPr>
            <w:tcW w:w="1468" w:type="dxa"/>
            <w:shd w:val="clear" w:color="auto" w:fill="EDEDED"/>
            <w:tcMar>
              <w:top w:w="80" w:type="dxa"/>
              <w:left w:w="100" w:type="dxa"/>
              <w:bottom w:w="80" w:type="dxa"/>
              <w:right w:w="100" w:type="dxa"/>
            </w:tcMar>
            <w:vAlign w:val="center"/>
          </w:tcPr>
          <w:p w14:paraId="6B109A6D" w14:textId="77777777" w:rsidR="000817FF" w:rsidRDefault="00FB291E">
            <w:pPr>
              <w:jc w:val="center"/>
            </w:pPr>
            <w:r>
              <w:rPr>
                <w:b/>
                <w:sz w:val="18"/>
              </w:rPr>
              <w:t>暴露组报告比例</w:t>
            </w:r>
          </w:p>
        </w:tc>
      </w:tr>
      <w:tr w:rsidR="000817FF" w14:paraId="1B28A321" w14:textId="77777777">
        <w:tc>
          <w:tcPr>
            <w:tcW w:w="1464" w:type="dxa"/>
            <w:tcMar>
              <w:top w:w="80" w:type="dxa"/>
              <w:left w:w="100" w:type="dxa"/>
              <w:bottom w:w="80" w:type="dxa"/>
              <w:right w:w="100" w:type="dxa"/>
            </w:tcMar>
            <w:vAlign w:val="center"/>
          </w:tcPr>
          <w:p w14:paraId="05520AA3" w14:textId="77777777" w:rsidR="000817FF" w:rsidRDefault="00FB291E">
            <w:pPr>
              <w:jc w:val="center"/>
            </w:pPr>
            <w:r>
              <w:rPr>
                <w:sz w:val="18"/>
              </w:rPr>
              <w:t xml:space="preserve">PS+SS </w:t>
            </w:r>
            <w:r>
              <w:rPr>
                <w:sz w:val="18"/>
              </w:rPr>
              <w:t>主分析</w:t>
            </w:r>
          </w:p>
        </w:tc>
        <w:tc>
          <w:tcPr>
            <w:tcW w:w="1464" w:type="dxa"/>
            <w:tcMar>
              <w:top w:w="80" w:type="dxa"/>
              <w:left w:w="100" w:type="dxa"/>
              <w:bottom w:w="80" w:type="dxa"/>
              <w:right w:w="100" w:type="dxa"/>
            </w:tcMar>
            <w:vAlign w:val="center"/>
          </w:tcPr>
          <w:p w14:paraId="376EC5B0"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2FA2CCCD" w14:textId="77777777" w:rsidR="000817FF" w:rsidRDefault="00FB291E">
            <w:pPr>
              <w:jc w:val="center"/>
            </w:pPr>
            <w:r>
              <w:rPr>
                <w:sz w:val="18"/>
              </w:rPr>
              <w:t>1,043</w:t>
            </w:r>
          </w:p>
        </w:tc>
        <w:tc>
          <w:tcPr>
            <w:tcW w:w="1464" w:type="dxa"/>
            <w:tcMar>
              <w:top w:w="80" w:type="dxa"/>
              <w:left w:w="100" w:type="dxa"/>
              <w:bottom w:w="80" w:type="dxa"/>
              <w:right w:w="100" w:type="dxa"/>
            </w:tcMar>
            <w:vAlign w:val="center"/>
          </w:tcPr>
          <w:p w14:paraId="1397A27A" w14:textId="77777777" w:rsidR="000817FF" w:rsidRDefault="00FB291E">
            <w:pPr>
              <w:jc w:val="center"/>
            </w:pPr>
            <w:r>
              <w:rPr>
                <w:sz w:val="18"/>
              </w:rPr>
              <w:t>6,755</w:t>
            </w:r>
          </w:p>
        </w:tc>
        <w:tc>
          <w:tcPr>
            <w:tcW w:w="1464" w:type="dxa"/>
            <w:tcMar>
              <w:top w:w="80" w:type="dxa"/>
              <w:left w:w="100" w:type="dxa"/>
              <w:bottom w:w="80" w:type="dxa"/>
              <w:right w:w="100" w:type="dxa"/>
            </w:tcMar>
            <w:vAlign w:val="center"/>
          </w:tcPr>
          <w:p w14:paraId="3B40D92B"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41D81EF6" w14:textId="77777777" w:rsidR="000817FF" w:rsidRDefault="00FB291E">
            <w:pPr>
              <w:jc w:val="center"/>
            </w:pPr>
            <w:r>
              <w:rPr>
                <w:sz w:val="18"/>
              </w:rPr>
              <w:t>13.38%</w:t>
            </w:r>
          </w:p>
        </w:tc>
      </w:tr>
      <w:tr w:rsidR="000817FF" w14:paraId="57EB5422" w14:textId="77777777">
        <w:tc>
          <w:tcPr>
            <w:tcW w:w="1464" w:type="dxa"/>
            <w:tcMar>
              <w:top w:w="80" w:type="dxa"/>
              <w:left w:w="100" w:type="dxa"/>
              <w:bottom w:w="80" w:type="dxa"/>
              <w:right w:w="100" w:type="dxa"/>
            </w:tcMar>
            <w:vAlign w:val="center"/>
          </w:tcPr>
          <w:p w14:paraId="0106E1B7" w14:textId="77777777" w:rsidR="000817FF" w:rsidRDefault="00FB291E">
            <w:pPr>
              <w:jc w:val="center"/>
            </w:pPr>
            <w:r>
              <w:rPr>
                <w:sz w:val="18"/>
              </w:rPr>
              <w:t xml:space="preserve">PS+SS </w:t>
            </w:r>
            <w:r>
              <w:rPr>
                <w:sz w:val="18"/>
              </w:rPr>
              <w:t>补充分析</w:t>
            </w:r>
          </w:p>
        </w:tc>
        <w:tc>
          <w:tcPr>
            <w:tcW w:w="1464" w:type="dxa"/>
            <w:tcMar>
              <w:top w:w="80" w:type="dxa"/>
              <w:left w:w="100" w:type="dxa"/>
              <w:bottom w:w="80" w:type="dxa"/>
              <w:right w:w="100" w:type="dxa"/>
            </w:tcMar>
            <w:vAlign w:val="center"/>
          </w:tcPr>
          <w:p w14:paraId="000DC9DB"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C0575A8" w14:textId="77777777" w:rsidR="000817FF" w:rsidRDefault="00FB291E">
            <w:pPr>
              <w:jc w:val="center"/>
            </w:pPr>
            <w:r>
              <w:rPr>
                <w:sz w:val="18"/>
              </w:rPr>
              <w:t>1,448</w:t>
            </w:r>
          </w:p>
        </w:tc>
        <w:tc>
          <w:tcPr>
            <w:tcW w:w="1464" w:type="dxa"/>
            <w:tcMar>
              <w:top w:w="80" w:type="dxa"/>
              <w:left w:w="100" w:type="dxa"/>
              <w:bottom w:w="80" w:type="dxa"/>
              <w:right w:w="100" w:type="dxa"/>
            </w:tcMar>
            <w:vAlign w:val="center"/>
          </w:tcPr>
          <w:p w14:paraId="687F7B9D" w14:textId="77777777" w:rsidR="000817FF" w:rsidRDefault="00FB291E">
            <w:pPr>
              <w:jc w:val="center"/>
            </w:pPr>
            <w:r>
              <w:rPr>
                <w:sz w:val="18"/>
              </w:rPr>
              <w:t>6,350</w:t>
            </w:r>
          </w:p>
        </w:tc>
        <w:tc>
          <w:tcPr>
            <w:tcW w:w="1464" w:type="dxa"/>
            <w:tcMar>
              <w:top w:w="80" w:type="dxa"/>
              <w:left w:w="100" w:type="dxa"/>
              <w:bottom w:w="80" w:type="dxa"/>
              <w:right w:w="100" w:type="dxa"/>
            </w:tcMar>
            <w:vAlign w:val="center"/>
          </w:tcPr>
          <w:p w14:paraId="7DB637FF" w14:textId="77777777" w:rsidR="000817FF" w:rsidRDefault="00FB291E">
            <w:pPr>
              <w:jc w:val="center"/>
            </w:pPr>
            <w:r>
              <w:rPr>
                <w:sz w:val="18"/>
              </w:rPr>
              <w:t>7,798</w:t>
            </w:r>
          </w:p>
        </w:tc>
        <w:tc>
          <w:tcPr>
            <w:tcW w:w="1468" w:type="dxa"/>
            <w:tcMar>
              <w:top w:w="80" w:type="dxa"/>
              <w:left w:w="100" w:type="dxa"/>
              <w:bottom w:w="80" w:type="dxa"/>
              <w:right w:w="100" w:type="dxa"/>
            </w:tcMar>
            <w:vAlign w:val="center"/>
          </w:tcPr>
          <w:p w14:paraId="528F20D4" w14:textId="77777777" w:rsidR="000817FF" w:rsidRDefault="00FB291E">
            <w:pPr>
              <w:jc w:val="center"/>
            </w:pPr>
            <w:r>
              <w:rPr>
                <w:sz w:val="18"/>
              </w:rPr>
              <w:t>18.57%</w:t>
            </w:r>
          </w:p>
        </w:tc>
      </w:tr>
      <w:tr w:rsidR="000817FF" w14:paraId="752697E6" w14:textId="77777777">
        <w:tc>
          <w:tcPr>
            <w:tcW w:w="1464" w:type="dxa"/>
            <w:tcMar>
              <w:top w:w="80" w:type="dxa"/>
              <w:left w:w="100" w:type="dxa"/>
              <w:bottom w:w="80" w:type="dxa"/>
              <w:right w:w="100" w:type="dxa"/>
            </w:tcMar>
            <w:vAlign w:val="center"/>
          </w:tcPr>
          <w:p w14:paraId="7A078480"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0D730EC6"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120A878B" w14:textId="77777777" w:rsidR="000817FF" w:rsidRDefault="00FB291E">
            <w:pPr>
              <w:jc w:val="center"/>
            </w:pPr>
            <w:r>
              <w:rPr>
                <w:sz w:val="18"/>
              </w:rPr>
              <w:t>465</w:t>
            </w:r>
          </w:p>
        </w:tc>
        <w:tc>
          <w:tcPr>
            <w:tcW w:w="1464" w:type="dxa"/>
            <w:tcMar>
              <w:top w:w="80" w:type="dxa"/>
              <w:left w:w="100" w:type="dxa"/>
              <w:bottom w:w="80" w:type="dxa"/>
              <w:right w:w="100" w:type="dxa"/>
            </w:tcMar>
            <w:vAlign w:val="center"/>
          </w:tcPr>
          <w:p w14:paraId="38FE8928" w14:textId="77777777" w:rsidR="000817FF" w:rsidRDefault="00FB291E">
            <w:pPr>
              <w:jc w:val="center"/>
            </w:pPr>
            <w:r>
              <w:rPr>
                <w:sz w:val="18"/>
              </w:rPr>
              <w:t>3,849</w:t>
            </w:r>
          </w:p>
        </w:tc>
        <w:tc>
          <w:tcPr>
            <w:tcW w:w="1464" w:type="dxa"/>
            <w:tcMar>
              <w:top w:w="80" w:type="dxa"/>
              <w:left w:w="100" w:type="dxa"/>
              <w:bottom w:w="80" w:type="dxa"/>
              <w:right w:w="100" w:type="dxa"/>
            </w:tcMar>
            <w:vAlign w:val="center"/>
          </w:tcPr>
          <w:p w14:paraId="17E09D13"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1EF697B4" w14:textId="77777777" w:rsidR="000817FF" w:rsidRDefault="00FB291E">
            <w:pPr>
              <w:jc w:val="center"/>
            </w:pPr>
            <w:r>
              <w:rPr>
                <w:sz w:val="18"/>
              </w:rPr>
              <w:t>10.78%</w:t>
            </w:r>
          </w:p>
        </w:tc>
      </w:tr>
      <w:tr w:rsidR="000817FF" w14:paraId="1621622A" w14:textId="77777777">
        <w:tc>
          <w:tcPr>
            <w:tcW w:w="1464" w:type="dxa"/>
            <w:tcMar>
              <w:top w:w="80" w:type="dxa"/>
              <w:left w:w="100" w:type="dxa"/>
              <w:bottom w:w="80" w:type="dxa"/>
              <w:right w:w="100" w:type="dxa"/>
            </w:tcMar>
            <w:vAlign w:val="center"/>
          </w:tcPr>
          <w:p w14:paraId="649E45A5" w14:textId="77777777" w:rsidR="000817FF" w:rsidRDefault="00FB291E">
            <w:pPr>
              <w:jc w:val="center"/>
            </w:pPr>
            <w:r>
              <w:rPr>
                <w:sz w:val="18"/>
              </w:rPr>
              <w:t xml:space="preserve">PS only </w:t>
            </w:r>
            <w:r>
              <w:rPr>
                <w:sz w:val="18"/>
              </w:rPr>
              <w:t>敏感性分析</w:t>
            </w:r>
          </w:p>
        </w:tc>
        <w:tc>
          <w:tcPr>
            <w:tcW w:w="1464" w:type="dxa"/>
            <w:tcMar>
              <w:top w:w="80" w:type="dxa"/>
              <w:left w:w="100" w:type="dxa"/>
              <w:bottom w:w="80" w:type="dxa"/>
              <w:right w:w="100" w:type="dxa"/>
            </w:tcMar>
            <w:vAlign w:val="center"/>
          </w:tcPr>
          <w:p w14:paraId="26E2A4C8"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5FD85E54" w14:textId="77777777" w:rsidR="000817FF" w:rsidRDefault="00FB291E">
            <w:pPr>
              <w:jc w:val="center"/>
            </w:pPr>
            <w:r>
              <w:rPr>
                <w:sz w:val="18"/>
              </w:rPr>
              <w:t>661</w:t>
            </w:r>
          </w:p>
        </w:tc>
        <w:tc>
          <w:tcPr>
            <w:tcW w:w="1464" w:type="dxa"/>
            <w:tcMar>
              <w:top w:w="80" w:type="dxa"/>
              <w:left w:w="100" w:type="dxa"/>
              <w:bottom w:w="80" w:type="dxa"/>
              <w:right w:w="100" w:type="dxa"/>
            </w:tcMar>
            <w:vAlign w:val="center"/>
          </w:tcPr>
          <w:p w14:paraId="0AA795E9" w14:textId="77777777" w:rsidR="000817FF" w:rsidRDefault="00FB291E">
            <w:pPr>
              <w:jc w:val="center"/>
            </w:pPr>
            <w:r>
              <w:rPr>
                <w:sz w:val="18"/>
              </w:rPr>
              <w:t>3,653</w:t>
            </w:r>
          </w:p>
        </w:tc>
        <w:tc>
          <w:tcPr>
            <w:tcW w:w="1464" w:type="dxa"/>
            <w:tcMar>
              <w:top w:w="80" w:type="dxa"/>
              <w:left w:w="100" w:type="dxa"/>
              <w:bottom w:w="80" w:type="dxa"/>
              <w:right w:w="100" w:type="dxa"/>
            </w:tcMar>
            <w:vAlign w:val="center"/>
          </w:tcPr>
          <w:p w14:paraId="5A2EB381" w14:textId="77777777" w:rsidR="000817FF" w:rsidRDefault="00FB291E">
            <w:pPr>
              <w:jc w:val="center"/>
            </w:pPr>
            <w:r>
              <w:rPr>
                <w:sz w:val="18"/>
              </w:rPr>
              <w:t>4,314</w:t>
            </w:r>
          </w:p>
        </w:tc>
        <w:tc>
          <w:tcPr>
            <w:tcW w:w="1468" w:type="dxa"/>
            <w:tcMar>
              <w:top w:w="80" w:type="dxa"/>
              <w:left w:w="100" w:type="dxa"/>
              <w:bottom w:w="80" w:type="dxa"/>
              <w:right w:w="100" w:type="dxa"/>
            </w:tcMar>
            <w:vAlign w:val="center"/>
          </w:tcPr>
          <w:p w14:paraId="4CA94DFB" w14:textId="77777777" w:rsidR="000817FF" w:rsidRDefault="00FB291E">
            <w:pPr>
              <w:jc w:val="center"/>
            </w:pPr>
            <w:r>
              <w:rPr>
                <w:sz w:val="18"/>
              </w:rPr>
              <w:t>15.32%</w:t>
            </w:r>
          </w:p>
        </w:tc>
      </w:tr>
    </w:tbl>
    <w:p w14:paraId="19BF9FC8" w14:textId="77777777" w:rsidR="000817FF" w:rsidRDefault="000817FF"/>
    <w:p w14:paraId="676169CF" w14:textId="77777777" w:rsidR="000817FF" w:rsidRDefault="00FB291E">
      <w:pPr>
        <w:spacing w:after="120" w:line="360" w:lineRule="auto"/>
        <w:ind w:firstLine="420"/>
      </w:pPr>
      <w:r>
        <w:rPr>
          <w:sz w:val="21"/>
        </w:rPr>
        <w:t>可以看到，无论采用</w:t>
      </w:r>
      <w:r>
        <w:rPr>
          <w:sz w:val="21"/>
        </w:rPr>
        <w:t xml:space="preserve"> PS+SS </w:t>
      </w:r>
      <w:r>
        <w:rPr>
          <w:sz w:val="21"/>
        </w:rPr>
        <w:t>口径还是</w:t>
      </w:r>
      <w:r>
        <w:rPr>
          <w:sz w:val="21"/>
        </w:rPr>
        <w:t xml:space="preserve"> PS only </w:t>
      </w:r>
      <w:r>
        <w:rPr>
          <w:sz w:val="21"/>
        </w:rPr>
        <w:t>口径，唑吡坦暴露组中跌倒相关事件均占有一定比例。</w:t>
      </w:r>
      <w:r>
        <w:rPr>
          <w:sz w:val="21"/>
        </w:rPr>
        <w:t xml:space="preserve">PS+SS </w:t>
      </w:r>
      <w:r>
        <w:rPr>
          <w:sz w:val="21"/>
        </w:rPr>
        <w:t>口径的暴露病例数更多，适合作为主分析；</w:t>
      </w:r>
      <w:r>
        <w:rPr>
          <w:sz w:val="21"/>
        </w:rPr>
        <w:t xml:space="preserve">PS only </w:t>
      </w:r>
      <w:r>
        <w:rPr>
          <w:sz w:val="21"/>
        </w:rPr>
        <w:t>口径更严格，适合用于检验结果方向是否稳定。</w:t>
      </w:r>
    </w:p>
    <w:p w14:paraId="1F252635" w14:textId="77777777" w:rsidR="000817FF" w:rsidRDefault="00FB291E">
      <w:pPr>
        <w:spacing w:after="120" w:line="360" w:lineRule="auto"/>
        <w:ind w:firstLine="420"/>
      </w:pPr>
      <w:r>
        <w:rPr>
          <w:sz w:val="21"/>
        </w:rPr>
        <w:t>需要说明的是，表</w:t>
      </w:r>
      <w:r>
        <w:rPr>
          <w:sz w:val="21"/>
        </w:rPr>
        <w:t xml:space="preserve"> 3-3 </w:t>
      </w:r>
      <w:r>
        <w:rPr>
          <w:sz w:val="21"/>
        </w:rPr>
        <w:t>反映的是</w:t>
      </w:r>
      <w:r>
        <w:rPr>
          <w:sz w:val="21"/>
        </w:rPr>
        <w:t xml:space="preserve"> FAERS </w:t>
      </w:r>
      <w:r>
        <w:rPr>
          <w:sz w:val="21"/>
        </w:rPr>
        <w:t>报告中的粗分布，不能理解为真实临床发生率。</w:t>
      </w:r>
      <w:r>
        <w:rPr>
          <w:sz w:val="21"/>
        </w:rPr>
        <w:t xml:space="preserve">FAERS </w:t>
      </w:r>
      <w:r>
        <w:rPr>
          <w:sz w:val="21"/>
        </w:rPr>
        <w:t>缺少全部用药人群作为分母，因此不能计算唑吡坦使用者中跌倒事件的真实发生概率。</w:t>
      </w:r>
    </w:p>
    <w:p w14:paraId="6F378A54" w14:textId="77777777" w:rsidR="000817FF" w:rsidRDefault="00FB291E">
      <w:pPr>
        <w:pStyle w:val="21"/>
        <w:spacing w:before="160" w:after="80"/>
      </w:pPr>
      <w:bookmarkStart w:id="54" w:name="_Toc230281353"/>
      <w:r>
        <w:rPr>
          <w:rFonts w:ascii="Times New Roman" w:eastAsia="宋体" w:hAnsi="Times New Roman"/>
        </w:rPr>
        <w:t xml:space="preserve">3.4 2025 </w:t>
      </w:r>
      <w:r>
        <w:rPr>
          <w:rFonts w:ascii="Times New Roman" w:eastAsia="宋体" w:hAnsi="Times New Roman"/>
        </w:rPr>
        <w:t>年病例描述性分析</w:t>
      </w:r>
      <w:bookmarkEnd w:id="54"/>
    </w:p>
    <w:p w14:paraId="40C2B8DE" w14:textId="77777777" w:rsidR="000817FF" w:rsidRDefault="00FB291E">
      <w:pPr>
        <w:spacing w:after="120" w:line="360" w:lineRule="auto"/>
        <w:ind w:firstLine="420"/>
      </w:pPr>
      <w:r>
        <w:rPr>
          <w:sz w:val="21"/>
        </w:rPr>
        <w:t>为了展示最新年度病例特征，本研究对</w:t>
      </w:r>
      <w:r>
        <w:rPr>
          <w:sz w:val="21"/>
        </w:rPr>
        <w:t xml:space="preserve"> 2025 </w:t>
      </w:r>
      <w:r>
        <w:rPr>
          <w:sz w:val="21"/>
        </w:rPr>
        <w:t>年病例级数据集进行了描述性分析。</w:t>
      </w:r>
      <w:r>
        <w:rPr>
          <w:sz w:val="21"/>
        </w:rPr>
        <w:t xml:space="preserve">2025 </w:t>
      </w:r>
      <w:r>
        <w:rPr>
          <w:sz w:val="21"/>
        </w:rPr>
        <w:t>年病例级数据集共包含</w:t>
      </w:r>
      <w:r>
        <w:rPr>
          <w:sz w:val="21"/>
        </w:rPr>
        <w:t xml:space="preserve"> 359,303 </w:t>
      </w:r>
      <w:r>
        <w:rPr>
          <w:sz w:val="21"/>
        </w:rPr>
        <w:t>条病例记录，唯一</w:t>
      </w:r>
      <w:r>
        <w:rPr>
          <w:sz w:val="21"/>
        </w:rPr>
        <w:t xml:space="preserve"> caseid </w:t>
      </w:r>
      <w:r>
        <w:rPr>
          <w:sz w:val="21"/>
        </w:rPr>
        <w:t>数为</w:t>
      </w:r>
      <w:r>
        <w:rPr>
          <w:sz w:val="21"/>
        </w:rPr>
        <w:t xml:space="preserve"> 329,593</w:t>
      </w:r>
      <w:r>
        <w:rPr>
          <w:sz w:val="21"/>
        </w:rPr>
        <w:t>，唯一</w:t>
      </w:r>
      <w:r>
        <w:rPr>
          <w:sz w:val="21"/>
        </w:rPr>
        <w:t xml:space="preserve"> primaryid </w:t>
      </w:r>
      <w:r>
        <w:rPr>
          <w:sz w:val="21"/>
        </w:rPr>
        <w:t>数为</w:t>
      </w:r>
      <w:r>
        <w:rPr>
          <w:sz w:val="21"/>
        </w:rPr>
        <w:t xml:space="preserve"> 359,249</w:t>
      </w:r>
      <w:r>
        <w:rPr>
          <w:sz w:val="21"/>
        </w:rPr>
        <w:t>，覆盖</w:t>
      </w:r>
      <w:r>
        <w:rPr>
          <w:sz w:val="21"/>
        </w:rPr>
        <w:t xml:space="preserve"> 2025 </w:t>
      </w:r>
      <w:r>
        <w:rPr>
          <w:sz w:val="21"/>
        </w:rPr>
        <w:t>年</w:t>
      </w:r>
      <w:r>
        <w:rPr>
          <w:sz w:val="21"/>
        </w:rPr>
        <w:t xml:space="preserve"> Q1 </w:t>
      </w:r>
      <w:r>
        <w:rPr>
          <w:sz w:val="21"/>
        </w:rPr>
        <w:t>至</w:t>
      </w:r>
      <w:r>
        <w:rPr>
          <w:sz w:val="21"/>
        </w:rPr>
        <w:t xml:space="preserve"> Q4</w:t>
      </w:r>
      <w:r>
        <w:rPr>
          <w:sz w:val="21"/>
        </w:rPr>
        <w:t>。该年度数据中，最早</w:t>
      </w:r>
      <w:r>
        <w:rPr>
          <w:sz w:val="21"/>
        </w:rPr>
        <w:t xml:space="preserve"> FDA </w:t>
      </w:r>
      <w:r>
        <w:rPr>
          <w:sz w:val="21"/>
        </w:rPr>
        <w:t>接收日期为</w:t>
      </w:r>
      <w:r>
        <w:rPr>
          <w:sz w:val="21"/>
        </w:rPr>
        <w:t xml:space="preserve"> 2025 </w:t>
      </w:r>
      <w:r>
        <w:rPr>
          <w:sz w:val="21"/>
        </w:rPr>
        <w:t>年</w:t>
      </w:r>
      <w:r>
        <w:rPr>
          <w:sz w:val="21"/>
        </w:rPr>
        <w:t xml:space="preserve"> 1 </w:t>
      </w:r>
      <w:r>
        <w:rPr>
          <w:sz w:val="21"/>
        </w:rPr>
        <w:t>月</w:t>
      </w:r>
      <w:r>
        <w:rPr>
          <w:sz w:val="21"/>
        </w:rPr>
        <w:t xml:space="preserve"> 1 </w:t>
      </w:r>
      <w:r>
        <w:rPr>
          <w:sz w:val="21"/>
        </w:rPr>
        <w:t>日，最晚</w:t>
      </w:r>
      <w:r>
        <w:rPr>
          <w:sz w:val="21"/>
        </w:rPr>
        <w:t xml:space="preserve"> FDA </w:t>
      </w:r>
      <w:r>
        <w:rPr>
          <w:sz w:val="21"/>
        </w:rPr>
        <w:t>接收日期为</w:t>
      </w:r>
      <w:r>
        <w:rPr>
          <w:sz w:val="21"/>
        </w:rPr>
        <w:t xml:space="preserve"> 2025 </w:t>
      </w:r>
      <w:r>
        <w:rPr>
          <w:sz w:val="21"/>
        </w:rPr>
        <w:t>年</w:t>
      </w:r>
      <w:r>
        <w:rPr>
          <w:sz w:val="21"/>
        </w:rPr>
        <w:t xml:space="preserve"> 12 </w:t>
      </w:r>
      <w:r>
        <w:rPr>
          <w:sz w:val="21"/>
        </w:rPr>
        <w:t>月</w:t>
      </w:r>
      <w:r>
        <w:rPr>
          <w:sz w:val="21"/>
        </w:rPr>
        <w:t xml:space="preserve"> 31 </w:t>
      </w:r>
      <w:r>
        <w:rPr>
          <w:sz w:val="21"/>
        </w:rPr>
        <w:t>日。</w:t>
      </w:r>
    </w:p>
    <w:p w14:paraId="093AFC56" w14:textId="77777777" w:rsidR="000817FF" w:rsidRDefault="00FB291E">
      <w:pPr>
        <w:spacing w:after="120" w:line="360" w:lineRule="auto"/>
        <w:ind w:firstLine="420"/>
      </w:pPr>
      <w:r>
        <w:rPr>
          <w:sz w:val="21"/>
        </w:rPr>
        <w:t xml:space="preserve">2025 </w:t>
      </w:r>
      <w:r>
        <w:rPr>
          <w:sz w:val="21"/>
        </w:rPr>
        <w:t>年病例中，年龄</w:t>
      </w:r>
      <w:r>
        <w:rPr>
          <w:sz w:val="21"/>
        </w:rPr>
        <w:t xml:space="preserve"> 65-74 </w:t>
      </w:r>
      <w:r>
        <w:rPr>
          <w:sz w:val="21"/>
        </w:rPr>
        <w:t>岁者</w:t>
      </w:r>
      <w:r>
        <w:rPr>
          <w:sz w:val="21"/>
        </w:rPr>
        <w:t xml:space="preserve"> 192,299 </w:t>
      </w:r>
      <w:r>
        <w:rPr>
          <w:sz w:val="21"/>
        </w:rPr>
        <w:t>例，占</w:t>
      </w:r>
      <w:r>
        <w:rPr>
          <w:sz w:val="21"/>
        </w:rPr>
        <w:t xml:space="preserve"> 53.52%</w:t>
      </w:r>
      <w:r>
        <w:rPr>
          <w:sz w:val="21"/>
        </w:rPr>
        <w:t>；</w:t>
      </w:r>
      <w:r>
        <w:rPr>
          <w:sz w:val="21"/>
        </w:rPr>
        <w:t xml:space="preserve">75-84 </w:t>
      </w:r>
      <w:r>
        <w:rPr>
          <w:sz w:val="21"/>
        </w:rPr>
        <w:t>岁者</w:t>
      </w:r>
      <w:r>
        <w:rPr>
          <w:sz w:val="21"/>
        </w:rPr>
        <w:t xml:space="preserve"> 131,985 </w:t>
      </w:r>
      <w:r>
        <w:rPr>
          <w:sz w:val="21"/>
        </w:rPr>
        <w:t>例，占</w:t>
      </w:r>
      <w:r>
        <w:rPr>
          <w:sz w:val="21"/>
        </w:rPr>
        <w:t xml:space="preserve"> 36.73%</w:t>
      </w:r>
      <w:r>
        <w:rPr>
          <w:sz w:val="21"/>
        </w:rPr>
        <w:t>；</w:t>
      </w:r>
      <w:r>
        <w:rPr>
          <w:sz w:val="21"/>
        </w:rPr>
        <w:t xml:space="preserve">85 </w:t>
      </w:r>
      <w:r>
        <w:rPr>
          <w:sz w:val="21"/>
        </w:rPr>
        <w:t>岁及以上者</w:t>
      </w:r>
      <w:r>
        <w:rPr>
          <w:sz w:val="21"/>
        </w:rPr>
        <w:t xml:space="preserve"> 35,019 </w:t>
      </w:r>
      <w:r>
        <w:rPr>
          <w:sz w:val="21"/>
        </w:rPr>
        <w:t>例，占</w:t>
      </w:r>
      <w:r>
        <w:rPr>
          <w:sz w:val="21"/>
        </w:rPr>
        <w:t xml:space="preserve"> 9.75%</w:t>
      </w:r>
      <w:r>
        <w:rPr>
          <w:sz w:val="21"/>
        </w:rPr>
        <w:t>。性别分布方面，女性</w:t>
      </w:r>
      <w:r>
        <w:rPr>
          <w:sz w:val="21"/>
        </w:rPr>
        <w:t xml:space="preserve"> 199,169 </w:t>
      </w:r>
      <w:r>
        <w:rPr>
          <w:sz w:val="21"/>
        </w:rPr>
        <w:t>例，占</w:t>
      </w:r>
      <w:r>
        <w:rPr>
          <w:sz w:val="21"/>
        </w:rPr>
        <w:t xml:space="preserve"> 55.43%</w:t>
      </w:r>
      <w:r>
        <w:rPr>
          <w:sz w:val="21"/>
        </w:rPr>
        <w:t>；男性</w:t>
      </w:r>
      <w:r>
        <w:rPr>
          <w:sz w:val="21"/>
        </w:rPr>
        <w:t xml:space="preserve"> 160,134 </w:t>
      </w:r>
      <w:r>
        <w:rPr>
          <w:sz w:val="21"/>
        </w:rPr>
        <w:t>例，占</w:t>
      </w:r>
      <w:r>
        <w:rPr>
          <w:sz w:val="21"/>
        </w:rPr>
        <w:t xml:space="preserve"> 44.57%</w:t>
      </w:r>
      <w:r>
        <w:rPr>
          <w:sz w:val="21"/>
        </w:rPr>
        <w:t>。严重病例</w:t>
      </w:r>
      <w:r>
        <w:rPr>
          <w:sz w:val="21"/>
        </w:rPr>
        <w:t xml:space="preserve"> 241,785 </w:t>
      </w:r>
      <w:r>
        <w:rPr>
          <w:sz w:val="21"/>
        </w:rPr>
        <w:t>例，占</w:t>
      </w:r>
      <w:r>
        <w:rPr>
          <w:sz w:val="21"/>
        </w:rPr>
        <w:t xml:space="preserve"> 67.29%</w:t>
      </w:r>
      <w:r>
        <w:rPr>
          <w:sz w:val="21"/>
        </w:rPr>
        <w:t>。</w:t>
      </w:r>
    </w:p>
    <w:p w14:paraId="36EF20FF" w14:textId="77777777" w:rsidR="000817FF" w:rsidRDefault="00FB291E">
      <w:pPr>
        <w:spacing w:after="120" w:line="360" w:lineRule="auto"/>
        <w:ind w:firstLine="420"/>
      </w:pPr>
      <w:r>
        <w:rPr>
          <w:sz w:val="21"/>
        </w:rPr>
        <w:t>表</w:t>
      </w:r>
      <w:r>
        <w:rPr>
          <w:sz w:val="21"/>
        </w:rPr>
        <w:t xml:space="preserve"> 3-4 </w:t>
      </w:r>
      <w:r>
        <w:rPr>
          <w:sz w:val="21"/>
        </w:rPr>
        <w:t>显示</w:t>
      </w:r>
      <w:r>
        <w:rPr>
          <w:sz w:val="21"/>
        </w:rPr>
        <w:t xml:space="preserve"> 2025 </w:t>
      </w:r>
      <w:r>
        <w:rPr>
          <w:sz w:val="21"/>
        </w:rPr>
        <w:t>年病例年龄和性别分布。</w:t>
      </w:r>
    </w:p>
    <w:p w14:paraId="0ED1A17E" w14:textId="77777777" w:rsidR="000817FF" w:rsidRDefault="00FB291E">
      <w:pPr>
        <w:spacing w:after="120" w:line="360" w:lineRule="auto"/>
        <w:ind w:firstLine="420"/>
      </w:pPr>
      <w:r>
        <w:rPr>
          <w:sz w:val="21"/>
        </w:rPr>
        <w:t>表</w:t>
      </w:r>
      <w:r>
        <w:rPr>
          <w:sz w:val="21"/>
        </w:rPr>
        <w:t xml:space="preserve"> 3-4 2025 </w:t>
      </w:r>
      <w:r>
        <w:rPr>
          <w:sz w:val="21"/>
        </w:rPr>
        <w:t>年病例年龄与性别分布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701DA8A9" w14:textId="77777777">
        <w:tc>
          <w:tcPr>
            <w:tcW w:w="2197" w:type="dxa"/>
            <w:shd w:val="clear" w:color="auto" w:fill="EDEDED"/>
            <w:tcMar>
              <w:top w:w="80" w:type="dxa"/>
              <w:left w:w="100" w:type="dxa"/>
              <w:bottom w:w="80" w:type="dxa"/>
              <w:right w:w="100" w:type="dxa"/>
            </w:tcMar>
            <w:vAlign w:val="center"/>
          </w:tcPr>
          <w:p w14:paraId="1B2D23DC" w14:textId="77777777" w:rsidR="000817FF" w:rsidRDefault="00FB291E">
            <w:pPr>
              <w:jc w:val="center"/>
            </w:pPr>
            <w:r>
              <w:rPr>
                <w:b/>
                <w:sz w:val="18"/>
              </w:rPr>
              <w:t>变量</w:t>
            </w:r>
          </w:p>
        </w:tc>
        <w:tc>
          <w:tcPr>
            <w:tcW w:w="2197" w:type="dxa"/>
            <w:shd w:val="clear" w:color="auto" w:fill="EDEDED"/>
            <w:tcMar>
              <w:top w:w="80" w:type="dxa"/>
              <w:left w:w="100" w:type="dxa"/>
              <w:bottom w:w="80" w:type="dxa"/>
              <w:right w:w="100" w:type="dxa"/>
            </w:tcMar>
            <w:vAlign w:val="center"/>
          </w:tcPr>
          <w:p w14:paraId="2DC57488" w14:textId="77777777" w:rsidR="000817FF" w:rsidRDefault="00FB291E">
            <w:pPr>
              <w:jc w:val="center"/>
            </w:pPr>
            <w:r>
              <w:rPr>
                <w:b/>
                <w:sz w:val="18"/>
              </w:rPr>
              <w:t>分组</w:t>
            </w:r>
          </w:p>
        </w:tc>
        <w:tc>
          <w:tcPr>
            <w:tcW w:w="2197" w:type="dxa"/>
            <w:shd w:val="clear" w:color="auto" w:fill="EDEDED"/>
            <w:tcMar>
              <w:top w:w="80" w:type="dxa"/>
              <w:left w:w="100" w:type="dxa"/>
              <w:bottom w:w="80" w:type="dxa"/>
              <w:right w:w="100" w:type="dxa"/>
            </w:tcMar>
            <w:vAlign w:val="center"/>
          </w:tcPr>
          <w:p w14:paraId="0B14556F" w14:textId="77777777" w:rsidR="000817FF" w:rsidRDefault="00FB291E">
            <w:pPr>
              <w:jc w:val="center"/>
            </w:pPr>
            <w:r>
              <w:rPr>
                <w:b/>
                <w:sz w:val="18"/>
              </w:rPr>
              <w:t>例数</w:t>
            </w:r>
          </w:p>
        </w:tc>
        <w:tc>
          <w:tcPr>
            <w:tcW w:w="2197" w:type="dxa"/>
            <w:shd w:val="clear" w:color="auto" w:fill="EDEDED"/>
            <w:tcMar>
              <w:top w:w="80" w:type="dxa"/>
              <w:left w:w="100" w:type="dxa"/>
              <w:bottom w:w="80" w:type="dxa"/>
              <w:right w:w="100" w:type="dxa"/>
            </w:tcMar>
            <w:vAlign w:val="center"/>
          </w:tcPr>
          <w:p w14:paraId="261E3681" w14:textId="77777777" w:rsidR="000817FF" w:rsidRDefault="00FB291E">
            <w:pPr>
              <w:jc w:val="center"/>
            </w:pPr>
            <w:r>
              <w:rPr>
                <w:b/>
                <w:sz w:val="18"/>
              </w:rPr>
              <w:t>构成比</w:t>
            </w:r>
          </w:p>
        </w:tc>
      </w:tr>
      <w:tr w:rsidR="000817FF" w14:paraId="5CC741D9" w14:textId="77777777">
        <w:tc>
          <w:tcPr>
            <w:tcW w:w="2197" w:type="dxa"/>
            <w:tcMar>
              <w:top w:w="80" w:type="dxa"/>
              <w:left w:w="100" w:type="dxa"/>
              <w:bottom w:w="80" w:type="dxa"/>
              <w:right w:w="100" w:type="dxa"/>
            </w:tcMar>
            <w:vAlign w:val="center"/>
          </w:tcPr>
          <w:p w14:paraId="3CDC4545"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695A34DE" w14:textId="77777777" w:rsidR="000817FF" w:rsidRDefault="00FB291E">
            <w:pPr>
              <w:jc w:val="center"/>
            </w:pPr>
            <w:r>
              <w:rPr>
                <w:sz w:val="18"/>
              </w:rPr>
              <w:t xml:space="preserve">65-74 </w:t>
            </w:r>
            <w:r>
              <w:rPr>
                <w:sz w:val="18"/>
              </w:rPr>
              <w:t>岁</w:t>
            </w:r>
          </w:p>
        </w:tc>
        <w:tc>
          <w:tcPr>
            <w:tcW w:w="2197" w:type="dxa"/>
            <w:tcMar>
              <w:top w:w="80" w:type="dxa"/>
              <w:left w:w="100" w:type="dxa"/>
              <w:bottom w:w="80" w:type="dxa"/>
              <w:right w:w="100" w:type="dxa"/>
            </w:tcMar>
            <w:vAlign w:val="center"/>
          </w:tcPr>
          <w:p w14:paraId="44AB0975" w14:textId="77777777" w:rsidR="000817FF" w:rsidRDefault="00FB291E">
            <w:pPr>
              <w:jc w:val="center"/>
            </w:pPr>
            <w:r>
              <w:rPr>
                <w:sz w:val="18"/>
              </w:rPr>
              <w:t>192,299</w:t>
            </w:r>
          </w:p>
        </w:tc>
        <w:tc>
          <w:tcPr>
            <w:tcW w:w="2197" w:type="dxa"/>
            <w:tcMar>
              <w:top w:w="80" w:type="dxa"/>
              <w:left w:w="100" w:type="dxa"/>
              <w:bottom w:w="80" w:type="dxa"/>
              <w:right w:w="100" w:type="dxa"/>
            </w:tcMar>
            <w:vAlign w:val="center"/>
          </w:tcPr>
          <w:p w14:paraId="70969B0D" w14:textId="77777777" w:rsidR="000817FF" w:rsidRDefault="00FB291E">
            <w:pPr>
              <w:jc w:val="center"/>
            </w:pPr>
            <w:r>
              <w:rPr>
                <w:sz w:val="18"/>
              </w:rPr>
              <w:t>53.52%</w:t>
            </w:r>
          </w:p>
        </w:tc>
      </w:tr>
      <w:tr w:rsidR="000817FF" w14:paraId="572F753F" w14:textId="77777777">
        <w:tc>
          <w:tcPr>
            <w:tcW w:w="2197" w:type="dxa"/>
            <w:tcMar>
              <w:top w:w="80" w:type="dxa"/>
              <w:left w:w="100" w:type="dxa"/>
              <w:bottom w:w="80" w:type="dxa"/>
              <w:right w:w="100" w:type="dxa"/>
            </w:tcMar>
            <w:vAlign w:val="center"/>
          </w:tcPr>
          <w:p w14:paraId="6336130C"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2C859ECF" w14:textId="77777777" w:rsidR="000817FF" w:rsidRDefault="00FB291E">
            <w:pPr>
              <w:jc w:val="center"/>
            </w:pPr>
            <w:r>
              <w:rPr>
                <w:sz w:val="18"/>
              </w:rPr>
              <w:t xml:space="preserve">75-84 </w:t>
            </w:r>
            <w:r>
              <w:rPr>
                <w:sz w:val="18"/>
              </w:rPr>
              <w:t>岁</w:t>
            </w:r>
          </w:p>
        </w:tc>
        <w:tc>
          <w:tcPr>
            <w:tcW w:w="2197" w:type="dxa"/>
            <w:tcMar>
              <w:top w:w="80" w:type="dxa"/>
              <w:left w:w="100" w:type="dxa"/>
              <w:bottom w:w="80" w:type="dxa"/>
              <w:right w:w="100" w:type="dxa"/>
            </w:tcMar>
            <w:vAlign w:val="center"/>
          </w:tcPr>
          <w:p w14:paraId="1D2A30CF" w14:textId="77777777" w:rsidR="000817FF" w:rsidRDefault="00FB291E">
            <w:pPr>
              <w:jc w:val="center"/>
            </w:pPr>
            <w:r>
              <w:rPr>
                <w:sz w:val="18"/>
              </w:rPr>
              <w:t>131,985</w:t>
            </w:r>
          </w:p>
        </w:tc>
        <w:tc>
          <w:tcPr>
            <w:tcW w:w="2197" w:type="dxa"/>
            <w:tcMar>
              <w:top w:w="80" w:type="dxa"/>
              <w:left w:w="100" w:type="dxa"/>
              <w:bottom w:w="80" w:type="dxa"/>
              <w:right w:w="100" w:type="dxa"/>
            </w:tcMar>
            <w:vAlign w:val="center"/>
          </w:tcPr>
          <w:p w14:paraId="769F4538" w14:textId="77777777" w:rsidR="000817FF" w:rsidRDefault="00FB291E">
            <w:pPr>
              <w:jc w:val="center"/>
            </w:pPr>
            <w:r>
              <w:rPr>
                <w:sz w:val="18"/>
              </w:rPr>
              <w:t>36.73%</w:t>
            </w:r>
          </w:p>
        </w:tc>
      </w:tr>
      <w:tr w:rsidR="000817FF" w14:paraId="44CE635B" w14:textId="77777777">
        <w:tc>
          <w:tcPr>
            <w:tcW w:w="2197" w:type="dxa"/>
            <w:tcMar>
              <w:top w:w="80" w:type="dxa"/>
              <w:left w:w="100" w:type="dxa"/>
              <w:bottom w:w="80" w:type="dxa"/>
              <w:right w:w="100" w:type="dxa"/>
            </w:tcMar>
            <w:vAlign w:val="center"/>
          </w:tcPr>
          <w:p w14:paraId="52B1CE1F" w14:textId="77777777" w:rsidR="000817FF" w:rsidRDefault="00FB291E">
            <w:pPr>
              <w:jc w:val="center"/>
            </w:pPr>
            <w:r>
              <w:rPr>
                <w:sz w:val="18"/>
              </w:rPr>
              <w:t>年龄组</w:t>
            </w:r>
          </w:p>
        </w:tc>
        <w:tc>
          <w:tcPr>
            <w:tcW w:w="2197" w:type="dxa"/>
            <w:tcMar>
              <w:top w:w="80" w:type="dxa"/>
              <w:left w:w="100" w:type="dxa"/>
              <w:bottom w:w="80" w:type="dxa"/>
              <w:right w:w="100" w:type="dxa"/>
            </w:tcMar>
            <w:vAlign w:val="center"/>
          </w:tcPr>
          <w:p w14:paraId="0A3D6C1B" w14:textId="77777777" w:rsidR="000817FF" w:rsidRDefault="00FB291E">
            <w:pPr>
              <w:jc w:val="center"/>
            </w:pPr>
            <w:r>
              <w:rPr>
                <w:sz w:val="18"/>
              </w:rPr>
              <w:t xml:space="preserve">&gt;=85 </w:t>
            </w:r>
            <w:r>
              <w:rPr>
                <w:sz w:val="18"/>
              </w:rPr>
              <w:t>岁</w:t>
            </w:r>
          </w:p>
        </w:tc>
        <w:tc>
          <w:tcPr>
            <w:tcW w:w="2197" w:type="dxa"/>
            <w:tcMar>
              <w:top w:w="80" w:type="dxa"/>
              <w:left w:w="100" w:type="dxa"/>
              <w:bottom w:w="80" w:type="dxa"/>
              <w:right w:w="100" w:type="dxa"/>
            </w:tcMar>
            <w:vAlign w:val="center"/>
          </w:tcPr>
          <w:p w14:paraId="71691069" w14:textId="77777777" w:rsidR="000817FF" w:rsidRDefault="00FB291E">
            <w:pPr>
              <w:jc w:val="center"/>
            </w:pPr>
            <w:r>
              <w:rPr>
                <w:sz w:val="18"/>
              </w:rPr>
              <w:t>35,019</w:t>
            </w:r>
          </w:p>
        </w:tc>
        <w:tc>
          <w:tcPr>
            <w:tcW w:w="2197" w:type="dxa"/>
            <w:tcMar>
              <w:top w:w="80" w:type="dxa"/>
              <w:left w:w="100" w:type="dxa"/>
              <w:bottom w:w="80" w:type="dxa"/>
              <w:right w:w="100" w:type="dxa"/>
            </w:tcMar>
            <w:vAlign w:val="center"/>
          </w:tcPr>
          <w:p w14:paraId="66A78CB8" w14:textId="77777777" w:rsidR="000817FF" w:rsidRDefault="00FB291E">
            <w:pPr>
              <w:jc w:val="center"/>
            </w:pPr>
            <w:r>
              <w:rPr>
                <w:sz w:val="18"/>
              </w:rPr>
              <w:t>9.75%</w:t>
            </w:r>
          </w:p>
        </w:tc>
      </w:tr>
      <w:tr w:rsidR="000817FF" w14:paraId="11DCCDB6" w14:textId="77777777">
        <w:tc>
          <w:tcPr>
            <w:tcW w:w="2197" w:type="dxa"/>
            <w:tcMar>
              <w:top w:w="80" w:type="dxa"/>
              <w:left w:w="100" w:type="dxa"/>
              <w:bottom w:w="80" w:type="dxa"/>
              <w:right w:w="100" w:type="dxa"/>
            </w:tcMar>
            <w:vAlign w:val="center"/>
          </w:tcPr>
          <w:p w14:paraId="3CC68535"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26F1125B" w14:textId="77777777" w:rsidR="000817FF" w:rsidRDefault="00FB291E">
            <w:pPr>
              <w:jc w:val="center"/>
            </w:pPr>
            <w:r>
              <w:rPr>
                <w:sz w:val="18"/>
              </w:rPr>
              <w:t>女</w:t>
            </w:r>
          </w:p>
        </w:tc>
        <w:tc>
          <w:tcPr>
            <w:tcW w:w="2197" w:type="dxa"/>
            <w:tcMar>
              <w:top w:w="80" w:type="dxa"/>
              <w:left w:w="100" w:type="dxa"/>
              <w:bottom w:w="80" w:type="dxa"/>
              <w:right w:w="100" w:type="dxa"/>
            </w:tcMar>
            <w:vAlign w:val="center"/>
          </w:tcPr>
          <w:p w14:paraId="0959E735" w14:textId="77777777" w:rsidR="000817FF" w:rsidRDefault="00FB291E">
            <w:pPr>
              <w:jc w:val="center"/>
            </w:pPr>
            <w:r>
              <w:rPr>
                <w:sz w:val="18"/>
              </w:rPr>
              <w:t>199,169</w:t>
            </w:r>
          </w:p>
        </w:tc>
        <w:tc>
          <w:tcPr>
            <w:tcW w:w="2197" w:type="dxa"/>
            <w:tcMar>
              <w:top w:w="80" w:type="dxa"/>
              <w:left w:w="100" w:type="dxa"/>
              <w:bottom w:w="80" w:type="dxa"/>
              <w:right w:w="100" w:type="dxa"/>
            </w:tcMar>
            <w:vAlign w:val="center"/>
          </w:tcPr>
          <w:p w14:paraId="59078DEE" w14:textId="77777777" w:rsidR="000817FF" w:rsidRDefault="00FB291E">
            <w:pPr>
              <w:jc w:val="center"/>
            </w:pPr>
            <w:r>
              <w:rPr>
                <w:sz w:val="18"/>
              </w:rPr>
              <w:t>55.43%</w:t>
            </w:r>
          </w:p>
        </w:tc>
      </w:tr>
      <w:tr w:rsidR="000817FF" w14:paraId="288CFDCD" w14:textId="77777777">
        <w:tc>
          <w:tcPr>
            <w:tcW w:w="2197" w:type="dxa"/>
            <w:tcMar>
              <w:top w:w="80" w:type="dxa"/>
              <w:left w:w="100" w:type="dxa"/>
              <w:bottom w:w="80" w:type="dxa"/>
              <w:right w:w="100" w:type="dxa"/>
            </w:tcMar>
            <w:vAlign w:val="center"/>
          </w:tcPr>
          <w:p w14:paraId="5ECC8852" w14:textId="77777777" w:rsidR="000817FF" w:rsidRDefault="00FB291E">
            <w:pPr>
              <w:jc w:val="center"/>
            </w:pPr>
            <w:r>
              <w:rPr>
                <w:sz w:val="18"/>
              </w:rPr>
              <w:t>性别</w:t>
            </w:r>
          </w:p>
        </w:tc>
        <w:tc>
          <w:tcPr>
            <w:tcW w:w="2197" w:type="dxa"/>
            <w:tcMar>
              <w:top w:w="80" w:type="dxa"/>
              <w:left w:w="100" w:type="dxa"/>
              <w:bottom w:w="80" w:type="dxa"/>
              <w:right w:w="100" w:type="dxa"/>
            </w:tcMar>
            <w:vAlign w:val="center"/>
          </w:tcPr>
          <w:p w14:paraId="67969D62" w14:textId="77777777" w:rsidR="000817FF" w:rsidRDefault="00FB291E">
            <w:pPr>
              <w:jc w:val="center"/>
            </w:pPr>
            <w:r>
              <w:rPr>
                <w:sz w:val="18"/>
              </w:rPr>
              <w:t>男</w:t>
            </w:r>
          </w:p>
        </w:tc>
        <w:tc>
          <w:tcPr>
            <w:tcW w:w="2197" w:type="dxa"/>
            <w:tcMar>
              <w:top w:w="80" w:type="dxa"/>
              <w:left w:w="100" w:type="dxa"/>
              <w:bottom w:w="80" w:type="dxa"/>
              <w:right w:w="100" w:type="dxa"/>
            </w:tcMar>
            <w:vAlign w:val="center"/>
          </w:tcPr>
          <w:p w14:paraId="1820B283" w14:textId="77777777" w:rsidR="000817FF" w:rsidRDefault="00FB291E">
            <w:pPr>
              <w:jc w:val="center"/>
            </w:pPr>
            <w:r>
              <w:rPr>
                <w:sz w:val="18"/>
              </w:rPr>
              <w:t>160,134</w:t>
            </w:r>
          </w:p>
        </w:tc>
        <w:tc>
          <w:tcPr>
            <w:tcW w:w="2197" w:type="dxa"/>
            <w:tcMar>
              <w:top w:w="80" w:type="dxa"/>
              <w:left w:w="100" w:type="dxa"/>
              <w:bottom w:w="80" w:type="dxa"/>
              <w:right w:w="100" w:type="dxa"/>
            </w:tcMar>
            <w:vAlign w:val="center"/>
          </w:tcPr>
          <w:p w14:paraId="396D135F" w14:textId="77777777" w:rsidR="000817FF" w:rsidRDefault="00FB291E">
            <w:pPr>
              <w:jc w:val="center"/>
            </w:pPr>
            <w:r>
              <w:rPr>
                <w:sz w:val="18"/>
              </w:rPr>
              <w:t>44.57%</w:t>
            </w:r>
          </w:p>
        </w:tc>
      </w:tr>
    </w:tbl>
    <w:p w14:paraId="43F17697" w14:textId="77777777" w:rsidR="000817FF" w:rsidRDefault="000817FF"/>
    <w:p w14:paraId="215F65E2" w14:textId="77777777" w:rsidR="000817FF" w:rsidRDefault="00FB291E">
      <w:pPr>
        <w:spacing w:after="120" w:line="360" w:lineRule="auto"/>
        <w:ind w:firstLine="420"/>
      </w:pPr>
      <w:r>
        <w:rPr>
          <w:sz w:val="21"/>
        </w:rPr>
        <w:t>从年龄结构看，</w:t>
      </w:r>
      <w:r>
        <w:rPr>
          <w:sz w:val="21"/>
        </w:rPr>
        <w:t xml:space="preserve">2025 </w:t>
      </w:r>
      <w:r>
        <w:rPr>
          <w:sz w:val="21"/>
        </w:rPr>
        <w:t>年老年病例主要集中在</w:t>
      </w:r>
      <w:r>
        <w:rPr>
          <w:sz w:val="21"/>
        </w:rPr>
        <w:t xml:space="preserve"> 65-84 </w:t>
      </w:r>
      <w:r>
        <w:rPr>
          <w:sz w:val="21"/>
        </w:rPr>
        <w:t>岁，其中</w:t>
      </w:r>
      <w:r>
        <w:rPr>
          <w:sz w:val="21"/>
        </w:rPr>
        <w:t xml:space="preserve"> 65-74 </w:t>
      </w:r>
      <w:r>
        <w:rPr>
          <w:sz w:val="21"/>
        </w:rPr>
        <w:t>岁病例最多。女性病例略多于男性病例。这种分布提示，在解释跌倒相关报告时，需要注意老年人群内部年龄结构和性别构成差异。</w:t>
      </w:r>
    </w:p>
    <w:p w14:paraId="63D45F93" w14:textId="77777777" w:rsidR="000817FF" w:rsidRDefault="00FB291E">
      <w:pPr>
        <w:pStyle w:val="21"/>
        <w:spacing w:before="160" w:after="80"/>
      </w:pPr>
      <w:bookmarkStart w:id="55" w:name="_Toc230281354"/>
      <w:r>
        <w:rPr>
          <w:rFonts w:ascii="Times New Roman" w:eastAsia="宋体" w:hAnsi="Times New Roman"/>
        </w:rPr>
        <w:t xml:space="preserve">3.5 2025 </w:t>
      </w:r>
      <w:r>
        <w:rPr>
          <w:rFonts w:ascii="Times New Roman" w:eastAsia="宋体" w:hAnsi="Times New Roman"/>
        </w:rPr>
        <w:t>年药物暴露与合并用药分布</w:t>
      </w:r>
      <w:bookmarkEnd w:id="55"/>
    </w:p>
    <w:p w14:paraId="65636763" w14:textId="77777777" w:rsidR="000817FF" w:rsidRDefault="00FB291E">
      <w:pPr>
        <w:spacing w:after="120" w:line="360" w:lineRule="auto"/>
        <w:ind w:firstLine="420"/>
      </w:pPr>
      <w:r>
        <w:rPr>
          <w:sz w:val="21"/>
        </w:rPr>
        <w:t xml:space="preserve">2025 </w:t>
      </w:r>
      <w:r>
        <w:rPr>
          <w:sz w:val="21"/>
        </w:rPr>
        <w:t>年病例中，唑吡坦任意暴露</w:t>
      </w:r>
      <w:r>
        <w:rPr>
          <w:sz w:val="21"/>
        </w:rPr>
        <w:t xml:space="preserve"> 2,226 </w:t>
      </w:r>
      <w:r>
        <w:rPr>
          <w:sz w:val="21"/>
        </w:rPr>
        <w:t>例，占</w:t>
      </w:r>
      <w:r>
        <w:rPr>
          <w:sz w:val="21"/>
        </w:rPr>
        <w:t xml:space="preserve"> 0.62%</w:t>
      </w:r>
      <w:r>
        <w:rPr>
          <w:sz w:val="21"/>
        </w:rPr>
        <w:t>；唑吡坦</w:t>
      </w:r>
      <w:r>
        <w:rPr>
          <w:sz w:val="21"/>
        </w:rPr>
        <w:t xml:space="preserve"> suspect </w:t>
      </w:r>
      <w:r>
        <w:rPr>
          <w:sz w:val="21"/>
        </w:rPr>
        <w:t>暴露</w:t>
      </w:r>
      <w:r>
        <w:rPr>
          <w:sz w:val="21"/>
        </w:rPr>
        <w:t xml:space="preserve"> 631 </w:t>
      </w:r>
      <w:r>
        <w:rPr>
          <w:sz w:val="21"/>
        </w:rPr>
        <w:t>例，占</w:t>
      </w:r>
      <w:r>
        <w:rPr>
          <w:sz w:val="21"/>
        </w:rPr>
        <w:t xml:space="preserve"> 0.18%</w:t>
      </w:r>
      <w:r>
        <w:rPr>
          <w:sz w:val="21"/>
        </w:rPr>
        <w:t>；唑吡坦</w:t>
      </w:r>
      <w:r>
        <w:rPr>
          <w:sz w:val="21"/>
        </w:rPr>
        <w:t xml:space="preserve"> primary suspect </w:t>
      </w:r>
      <w:r>
        <w:rPr>
          <w:sz w:val="21"/>
        </w:rPr>
        <w:t>暴露</w:t>
      </w:r>
      <w:r>
        <w:rPr>
          <w:sz w:val="21"/>
        </w:rPr>
        <w:t xml:space="preserve"> 308 </w:t>
      </w:r>
      <w:r>
        <w:rPr>
          <w:sz w:val="21"/>
        </w:rPr>
        <w:t>例，占</w:t>
      </w:r>
      <w:r>
        <w:rPr>
          <w:sz w:val="21"/>
        </w:rPr>
        <w:t xml:space="preserve"> 0.09%</w:t>
      </w:r>
      <w:r>
        <w:rPr>
          <w:sz w:val="21"/>
        </w:rPr>
        <w:t>。其他</w:t>
      </w:r>
      <w:r>
        <w:rPr>
          <w:sz w:val="21"/>
        </w:rPr>
        <w:t xml:space="preserve"> Z-drugs suspect </w:t>
      </w:r>
      <w:r>
        <w:rPr>
          <w:sz w:val="21"/>
        </w:rPr>
        <w:t>暴露</w:t>
      </w:r>
      <w:r>
        <w:rPr>
          <w:sz w:val="21"/>
        </w:rPr>
        <w:t xml:space="preserve"> 538 </w:t>
      </w:r>
      <w:r>
        <w:rPr>
          <w:sz w:val="21"/>
        </w:rPr>
        <w:t>例，占</w:t>
      </w:r>
      <w:r>
        <w:rPr>
          <w:sz w:val="21"/>
        </w:rPr>
        <w:t xml:space="preserve"> 0.15%</w:t>
      </w:r>
      <w:r>
        <w:rPr>
          <w:sz w:val="21"/>
        </w:rPr>
        <w:t>；其他</w:t>
      </w:r>
      <w:r>
        <w:rPr>
          <w:sz w:val="21"/>
        </w:rPr>
        <w:t xml:space="preserve"> Z-drugs primary suspect </w:t>
      </w:r>
      <w:r>
        <w:rPr>
          <w:sz w:val="21"/>
        </w:rPr>
        <w:t>暴露</w:t>
      </w:r>
      <w:r>
        <w:rPr>
          <w:sz w:val="21"/>
        </w:rPr>
        <w:t xml:space="preserve"> 13 </w:t>
      </w:r>
      <w:r>
        <w:rPr>
          <w:sz w:val="21"/>
        </w:rPr>
        <w:t>例。</w:t>
      </w:r>
    </w:p>
    <w:p w14:paraId="31822AC4" w14:textId="77777777" w:rsidR="000817FF" w:rsidRDefault="00FB291E">
      <w:pPr>
        <w:spacing w:after="120" w:line="360" w:lineRule="auto"/>
        <w:ind w:firstLine="420"/>
      </w:pPr>
      <w:r>
        <w:rPr>
          <w:sz w:val="21"/>
        </w:rPr>
        <w:lastRenderedPageBreak/>
        <w:t>按目标药物分组，</w:t>
      </w:r>
      <w:r>
        <w:rPr>
          <w:sz w:val="21"/>
        </w:rPr>
        <w:t xml:space="preserve">PS+SS </w:t>
      </w:r>
      <w:r>
        <w:rPr>
          <w:sz w:val="21"/>
        </w:rPr>
        <w:t>口径下</w:t>
      </w:r>
      <w:r>
        <w:rPr>
          <w:sz w:val="21"/>
        </w:rPr>
        <w:t xml:space="preserve"> no_target_zdrug_suspect </w:t>
      </w:r>
      <w:r>
        <w:rPr>
          <w:sz w:val="21"/>
        </w:rPr>
        <w:t>病例</w:t>
      </w:r>
      <w:r>
        <w:rPr>
          <w:sz w:val="21"/>
        </w:rPr>
        <w:t xml:space="preserve"> 358,248 </w:t>
      </w:r>
      <w:r>
        <w:rPr>
          <w:sz w:val="21"/>
        </w:rPr>
        <w:t>例，占</w:t>
      </w:r>
      <w:r>
        <w:rPr>
          <w:sz w:val="21"/>
        </w:rPr>
        <w:t xml:space="preserve"> 99.71%</w:t>
      </w:r>
      <w:r>
        <w:rPr>
          <w:sz w:val="21"/>
        </w:rPr>
        <w:t>；</w:t>
      </w:r>
      <w:r>
        <w:rPr>
          <w:sz w:val="21"/>
        </w:rPr>
        <w:t xml:space="preserve">zolpidem only </w:t>
      </w:r>
      <w:r>
        <w:rPr>
          <w:sz w:val="21"/>
        </w:rPr>
        <w:t>病例</w:t>
      </w:r>
      <w:r>
        <w:rPr>
          <w:sz w:val="21"/>
        </w:rPr>
        <w:t xml:space="preserve"> 517 </w:t>
      </w:r>
      <w:r>
        <w:rPr>
          <w:sz w:val="21"/>
        </w:rPr>
        <w:t>例，占</w:t>
      </w:r>
      <w:r>
        <w:rPr>
          <w:sz w:val="21"/>
        </w:rPr>
        <w:t xml:space="preserve"> 0.14%</w:t>
      </w:r>
      <w:r>
        <w:rPr>
          <w:sz w:val="21"/>
        </w:rPr>
        <w:t>；</w:t>
      </w:r>
      <w:r>
        <w:rPr>
          <w:sz w:val="21"/>
        </w:rPr>
        <w:t xml:space="preserve">other_zdrug_only </w:t>
      </w:r>
      <w:r>
        <w:rPr>
          <w:sz w:val="21"/>
        </w:rPr>
        <w:t>病例</w:t>
      </w:r>
      <w:r>
        <w:rPr>
          <w:sz w:val="21"/>
        </w:rPr>
        <w:t xml:space="preserve"> 424 </w:t>
      </w:r>
      <w:r>
        <w:rPr>
          <w:sz w:val="21"/>
        </w:rPr>
        <w:t>例，占</w:t>
      </w:r>
      <w:r>
        <w:rPr>
          <w:sz w:val="21"/>
        </w:rPr>
        <w:t xml:space="preserve"> 0.12%</w:t>
      </w:r>
      <w:r>
        <w:rPr>
          <w:sz w:val="21"/>
        </w:rPr>
        <w:t>；同时包含</w:t>
      </w:r>
      <w:r>
        <w:rPr>
          <w:sz w:val="21"/>
        </w:rPr>
        <w:t xml:space="preserve"> zolpidem </w:t>
      </w:r>
      <w:r>
        <w:rPr>
          <w:sz w:val="21"/>
        </w:rPr>
        <w:t>和其他</w:t>
      </w:r>
      <w:r>
        <w:rPr>
          <w:sz w:val="21"/>
        </w:rPr>
        <w:t xml:space="preserve"> Z-drug </w:t>
      </w:r>
      <w:r>
        <w:rPr>
          <w:sz w:val="21"/>
        </w:rPr>
        <w:t>的混合暴露病例</w:t>
      </w:r>
      <w:r>
        <w:rPr>
          <w:sz w:val="21"/>
        </w:rPr>
        <w:t xml:space="preserve"> 114 </w:t>
      </w:r>
      <w:r>
        <w:rPr>
          <w:sz w:val="21"/>
        </w:rPr>
        <w:t>例，占</w:t>
      </w:r>
      <w:r>
        <w:rPr>
          <w:sz w:val="21"/>
        </w:rPr>
        <w:t xml:space="preserve"> 0.03%</w:t>
      </w:r>
      <w:r>
        <w:rPr>
          <w:sz w:val="21"/>
        </w:rPr>
        <w:t>。</w:t>
      </w:r>
    </w:p>
    <w:p w14:paraId="69AF66F6" w14:textId="77777777" w:rsidR="000817FF" w:rsidRDefault="00FB291E">
      <w:pPr>
        <w:spacing w:after="120" w:line="360" w:lineRule="auto"/>
        <w:ind w:firstLine="420"/>
      </w:pPr>
      <w:r>
        <w:rPr>
          <w:sz w:val="21"/>
        </w:rPr>
        <w:t>表</w:t>
      </w:r>
      <w:r>
        <w:rPr>
          <w:sz w:val="21"/>
        </w:rPr>
        <w:t xml:space="preserve"> 3-5 </w:t>
      </w:r>
      <w:r>
        <w:rPr>
          <w:sz w:val="21"/>
        </w:rPr>
        <w:t>显示</w:t>
      </w:r>
      <w:r>
        <w:rPr>
          <w:sz w:val="21"/>
        </w:rPr>
        <w:t xml:space="preserve"> 2025 </w:t>
      </w:r>
      <w:r>
        <w:rPr>
          <w:sz w:val="21"/>
        </w:rPr>
        <w:t>年目标药物暴露分布。</w:t>
      </w:r>
    </w:p>
    <w:p w14:paraId="090DC955" w14:textId="77777777" w:rsidR="000817FF" w:rsidRDefault="00FB291E">
      <w:pPr>
        <w:spacing w:after="120" w:line="360" w:lineRule="auto"/>
        <w:ind w:firstLine="420"/>
      </w:pPr>
      <w:r>
        <w:rPr>
          <w:sz w:val="21"/>
        </w:rPr>
        <w:t>表</w:t>
      </w:r>
      <w:r>
        <w:rPr>
          <w:sz w:val="21"/>
        </w:rPr>
        <w:t xml:space="preserve"> 3-5 2025 </w:t>
      </w:r>
      <w:r>
        <w:rPr>
          <w:sz w:val="21"/>
        </w:rPr>
        <w:t>年目标药物暴露分布</w:t>
      </w:r>
    </w:p>
    <w:tbl>
      <w:tblPr>
        <w:tblStyle w:val="aff1"/>
        <w:tblW w:w="8788" w:type="dxa"/>
        <w:tblLayout w:type="fixed"/>
        <w:tblLook w:val="04A0" w:firstRow="1" w:lastRow="0" w:firstColumn="1" w:lastColumn="0" w:noHBand="0" w:noVBand="1"/>
      </w:tblPr>
      <w:tblGrid>
        <w:gridCol w:w="2929"/>
        <w:gridCol w:w="2929"/>
        <w:gridCol w:w="2930"/>
      </w:tblGrid>
      <w:tr w:rsidR="000817FF" w14:paraId="3498E757" w14:textId="77777777">
        <w:tc>
          <w:tcPr>
            <w:tcW w:w="2929" w:type="dxa"/>
            <w:shd w:val="clear" w:color="auto" w:fill="EDEDED"/>
            <w:tcMar>
              <w:top w:w="80" w:type="dxa"/>
              <w:left w:w="100" w:type="dxa"/>
              <w:bottom w:w="80" w:type="dxa"/>
              <w:right w:w="100" w:type="dxa"/>
            </w:tcMar>
            <w:vAlign w:val="center"/>
          </w:tcPr>
          <w:p w14:paraId="70F16CCF"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78E84478"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0197B8CB" w14:textId="77777777" w:rsidR="000817FF" w:rsidRDefault="00FB291E">
            <w:pPr>
              <w:jc w:val="center"/>
            </w:pPr>
            <w:r>
              <w:rPr>
                <w:b/>
                <w:sz w:val="18"/>
              </w:rPr>
              <w:t>构成比</w:t>
            </w:r>
          </w:p>
        </w:tc>
      </w:tr>
      <w:tr w:rsidR="000817FF" w14:paraId="1A55A729" w14:textId="77777777">
        <w:tc>
          <w:tcPr>
            <w:tcW w:w="2929" w:type="dxa"/>
            <w:tcMar>
              <w:top w:w="80" w:type="dxa"/>
              <w:left w:w="100" w:type="dxa"/>
              <w:bottom w:w="80" w:type="dxa"/>
              <w:right w:w="100" w:type="dxa"/>
            </w:tcMar>
            <w:vAlign w:val="center"/>
          </w:tcPr>
          <w:p w14:paraId="68EFB2CC" w14:textId="77777777" w:rsidR="000817FF" w:rsidRDefault="00FB291E">
            <w:pPr>
              <w:jc w:val="center"/>
            </w:pPr>
            <w:r>
              <w:rPr>
                <w:sz w:val="18"/>
              </w:rPr>
              <w:t>唑吡坦任意暴露</w:t>
            </w:r>
          </w:p>
        </w:tc>
        <w:tc>
          <w:tcPr>
            <w:tcW w:w="2929" w:type="dxa"/>
            <w:tcMar>
              <w:top w:w="80" w:type="dxa"/>
              <w:left w:w="100" w:type="dxa"/>
              <w:bottom w:w="80" w:type="dxa"/>
              <w:right w:w="100" w:type="dxa"/>
            </w:tcMar>
            <w:vAlign w:val="center"/>
          </w:tcPr>
          <w:p w14:paraId="4EAB184F" w14:textId="77777777" w:rsidR="000817FF" w:rsidRDefault="00FB291E">
            <w:pPr>
              <w:jc w:val="center"/>
            </w:pPr>
            <w:r>
              <w:rPr>
                <w:sz w:val="18"/>
              </w:rPr>
              <w:t>2,226</w:t>
            </w:r>
          </w:p>
        </w:tc>
        <w:tc>
          <w:tcPr>
            <w:tcW w:w="2930" w:type="dxa"/>
            <w:tcMar>
              <w:top w:w="80" w:type="dxa"/>
              <w:left w:w="100" w:type="dxa"/>
              <w:bottom w:w="80" w:type="dxa"/>
              <w:right w:w="100" w:type="dxa"/>
            </w:tcMar>
            <w:vAlign w:val="center"/>
          </w:tcPr>
          <w:p w14:paraId="14D068EA" w14:textId="77777777" w:rsidR="000817FF" w:rsidRDefault="00FB291E">
            <w:pPr>
              <w:jc w:val="center"/>
            </w:pPr>
            <w:r>
              <w:rPr>
                <w:sz w:val="18"/>
              </w:rPr>
              <w:t>0.62%</w:t>
            </w:r>
          </w:p>
        </w:tc>
      </w:tr>
      <w:tr w:rsidR="000817FF" w14:paraId="30DD634C" w14:textId="77777777">
        <w:tc>
          <w:tcPr>
            <w:tcW w:w="2929" w:type="dxa"/>
            <w:tcMar>
              <w:top w:w="80" w:type="dxa"/>
              <w:left w:w="100" w:type="dxa"/>
              <w:bottom w:w="80" w:type="dxa"/>
              <w:right w:w="100" w:type="dxa"/>
            </w:tcMar>
            <w:vAlign w:val="center"/>
          </w:tcPr>
          <w:p w14:paraId="62FA94AD" w14:textId="77777777" w:rsidR="000817FF" w:rsidRDefault="00FB291E">
            <w:r>
              <w:rPr>
                <w:sz w:val="18"/>
              </w:rPr>
              <w:t>唑吡坦</w:t>
            </w:r>
            <w:r>
              <w:rPr>
                <w:sz w:val="18"/>
              </w:rPr>
              <w:t xml:space="preserve">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4226A74F" w14:textId="77777777" w:rsidR="000817FF" w:rsidRDefault="00FB291E">
            <w:pPr>
              <w:jc w:val="center"/>
            </w:pPr>
            <w:r>
              <w:rPr>
                <w:sz w:val="18"/>
              </w:rPr>
              <w:t>631</w:t>
            </w:r>
          </w:p>
        </w:tc>
        <w:tc>
          <w:tcPr>
            <w:tcW w:w="2930" w:type="dxa"/>
            <w:tcMar>
              <w:top w:w="80" w:type="dxa"/>
              <w:left w:w="100" w:type="dxa"/>
              <w:bottom w:w="80" w:type="dxa"/>
              <w:right w:w="100" w:type="dxa"/>
            </w:tcMar>
            <w:vAlign w:val="center"/>
          </w:tcPr>
          <w:p w14:paraId="5FED6235" w14:textId="77777777" w:rsidR="000817FF" w:rsidRDefault="00FB291E">
            <w:pPr>
              <w:jc w:val="center"/>
            </w:pPr>
            <w:r>
              <w:rPr>
                <w:sz w:val="18"/>
              </w:rPr>
              <w:t>0.18%</w:t>
            </w:r>
          </w:p>
        </w:tc>
      </w:tr>
      <w:tr w:rsidR="000817FF" w14:paraId="68AC4E6F" w14:textId="77777777">
        <w:tc>
          <w:tcPr>
            <w:tcW w:w="2929" w:type="dxa"/>
            <w:tcMar>
              <w:top w:w="80" w:type="dxa"/>
              <w:left w:w="100" w:type="dxa"/>
              <w:bottom w:w="80" w:type="dxa"/>
              <w:right w:w="100" w:type="dxa"/>
            </w:tcMar>
            <w:vAlign w:val="center"/>
          </w:tcPr>
          <w:p w14:paraId="38371E7F" w14:textId="77777777" w:rsidR="000817FF" w:rsidRDefault="00FB291E">
            <w:r>
              <w:rPr>
                <w:sz w:val="18"/>
              </w:rPr>
              <w:t>唑吡坦</w:t>
            </w:r>
            <w:r>
              <w:rPr>
                <w:sz w:val="18"/>
              </w:rPr>
              <w:t xml:space="preserve">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3599B758" w14:textId="77777777" w:rsidR="000817FF" w:rsidRDefault="00FB291E">
            <w:pPr>
              <w:jc w:val="center"/>
            </w:pPr>
            <w:r>
              <w:rPr>
                <w:sz w:val="18"/>
              </w:rPr>
              <w:t>308</w:t>
            </w:r>
          </w:p>
        </w:tc>
        <w:tc>
          <w:tcPr>
            <w:tcW w:w="2930" w:type="dxa"/>
            <w:tcMar>
              <w:top w:w="80" w:type="dxa"/>
              <w:left w:w="100" w:type="dxa"/>
              <w:bottom w:w="80" w:type="dxa"/>
              <w:right w:w="100" w:type="dxa"/>
            </w:tcMar>
            <w:vAlign w:val="center"/>
          </w:tcPr>
          <w:p w14:paraId="651B7033" w14:textId="77777777" w:rsidR="000817FF" w:rsidRDefault="00FB291E">
            <w:pPr>
              <w:jc w:val="center"/>
            </w:pPr>
            <w:r>
              <w:rPr>
                <w:sz w:val="18"/>
              </w:rPr>
              <w:t>0.09%</w:t>
            </w:r>
          </w:p>
        </w:tc>
      </w:tr>
      <w:tr w:rsidR="000817FF" w14:paraId="3B360D5F" w14:textId="77777777">
        <w:tc>
          <w:tcPr>
            <w:tcW w:w="2929" w:type="dxa"/>
            <w:tcMar>
              <w:top w:w="80" w:type="dxa"/>
              <w:left w:w="100" w:type="dxa"/>
              <w:bottom w:w="80" w:type="dxa"/>
              <w:right w:w="100" w:type="dxa"/>
            </w:tcMar>
            <w:vAlign w:val="center"/>
          </w:tcPr>
          <w:p w14:paraId="3549E678" w14:textId="77777777" w:rsidR="000817FF" w:rsidRDefault="00FB291E">
            <w:r>
              <w:rPr>
                <w:sz w:val="18"/>
              </w:rPr>
              <w:t>其他</w:t>
            </w:r>
            <w:r>
              <w:rPr>
                <w:sz w:val="18"/>
              </w:rPr>
              <w:t xml:space="preserve"> Z-drugs suspect </w:t>
            </w:r>
            <w:r>
              <w:rPr>
                <w:sz w:val="18"/>
              </w:rPr>
              <w:t>暴露（</w:t>
            </w:r>
            <w:r>
              <w:rPr>
                <w:sz w:val="18"/>
              </w:rPr>
              <w:t>PS+SS</w:t>
            </w:r>
            <w:r>
              <w:rPr>
                <w:sz w:val="18"/>
              </w:rPr>
              <w:t>）</w:t>
            </w:r>
          </w:p>
        </w:tc>
        <w:tc>
          <w:tcPr>
            <w:tcW w:w="2929" w:type="dxa"/>
            <w:tcMar>
              <w:top w:w="80" w:type="dxa"/>
              <w:left w:w="100" w:type="dxa"/>
              <w:bottom w:w="80" w:type="dxa"/>
              <w:right w:w="100" w:type="dxa"/>
            </w:tcMar>
            <w:vAlign w:val="center"/>
          </w:tcPr>
          <w:p w14:paraId="6F1B63E1" w14:textId="77777777" w:rsidR="000817FF" w:rsidRDefault="00FB291E">
            <w:pPr>
              <w:jc w:val="center"/>
            </w:pPr>
            <w:r>
              <w:rPr>
                <w:sz w:val="18"/>
              </w:rPr>
              <w:t>538</w:t>
            </w:r>
          </w:p>
        </w:tc>
        <w:tc>
          <w:tcPr>
            <w:tcW w:w="2930" w:type="dxa"/>
            <w:tcMar>
              <w:top w:w="80" w:type="dxa"/>
              <w:left w:w="100" w:type="dxa"/>
              <w:bottom w:w="80" w:type="dxa"/>
              <w:right w:w="100" w:type="dxa"/>
            </w:tcMar>
            <w:vAlign w:val="center"/>
          </w:tcPr>
          <w:p w14:paraId="08D3AA39" w14:textId="77777777" w:rsidR="000817FF" w:rsidRDefault="00FB291E">
            <w:pPr>
              <w:jc w:val="center"/>
            </w:pPr>
            <w:r>
              <w:rPr>
                <w:sz w:val="18"/>
              </w:rPr>
              <w:t>0.15%</w:t>
            </w:r>
          </w:p>
        </w:tc>
      </w:tr>
      <w:tr w:rsidR="000817FF" w14:paraId="45716F03" w14:textId="77777777">
        <w:tc>
          <w:tcPr>
            <w:tcW w:w="2929" w:type="dxa"/>
            <w:tcMar>
              <w:top w:w="80" w:type="dxa"/>
              <w:left w:w="100" w:type="dxa"/>
              <w:bottom w:w="80" w:type="dxa"/>
              <w:right w:w="100" w:type="dxa"/>
            </w:tcMar>
            <w:vAlign w:val="center"/>
          </w:tcPr>
          <w:p w14:paraId="23ABC5FD" w14:textId="77777777" w:rsidR="000817FF" w:rsidRDefault="00FB291E">
            <w:r>
              <w:rPr>
                <w:sz w:val="18"/>
              </w:rPr>
              <w:t>其他</w:t>
            </w:r>
            <w:r>
              <w:rPr>
                <w:sz w:val="18"/>
              </w:rPr>
              <w:t xml:space="preserve"> Z-drugs primary suspect </w:t>
            </w:r>
            <w:r>
              <w:rPr>
                <w:sz w:val="18"/>
              </w:rPr>
              <w:t>暴露（</w:t>
            </w:r>
            <w:r>
              <w:rPr>
                <w:sz w:val="18"/>
              </w:rPr>
              <w:t>PS only</w:t>
            </w:r>
            <w:r>
              <w:rPr>
                <w:sz w:val="18"/>
              </w:rPr>
              <w:t>）</w:t>
            </w:r>
          </w:p>
        </w:tc>
        <w:tc>
          <w:tcPr>
            <w:tcW w:w="2929" w:type="dxa"/>
            <w:tcMar>
              <w:top w:w="80" w:type="dxa"/>
              <w:left w:w="100" w:type="dxa"/>
              <w:bottom w:w="80" w:type="dxa"/>
              <w:right w:w="100" w:type="dxa"/>
            </w:tcMar>
            <w:vAlign w:val="center"/>
          </w:tcPr>
          <w:p w14:paraId="0FD73189" w14:textId="77777777" w:rsidR="000817FF" w:rsidRDefault="00FB291E">
            <w:pPr>
              <w:jc w:val="center"/>
            </w:pPr>
            <w:r>
              <w:rPr>
                <w:sz w:val="18"/>
              </w:rPr>
              <w:t>13</w:t>
            </w:r>
          </w:p>
        </w:tc>
        <w:tc>
          <w:tcPr>
            <w:tcW w:w="2930" w:type="dxa"/>
            <w:tcMar>
              <w:top w:w="80" w:type="dxa"/>
              <w:left w:w="100" w:type="dxa"/>
              <w:bottom w:w="80" w:type="dxa"/>
              <w:right w:w="100" w:type="dxa"/>
            </w:tcMar>
            <w:vAlign w:val="center"/>
          </w:tcPr>
          <w:p w14:paraId="4D941834" w14:textId="77777777" w:rsidR="000817FF" w:rsidRDefault="00FB291E">
            <w:pPr>
              <w:jc w:val="center"/>
            </w:pPr>
            <w:r>
              <w:rPr>
                <w:sz w:val="18"/>
              </w:rPr>
              <w:t>0.00%</w:t>
            </w:r>
          </w:p>
        </w:tc>
      </w:tr>
    </w:tbl>
    <w:p w14:paraId="2BBCA40D" w14:textId="77777777" w:rsidR="000817FF" w:rsidRDefault="000817FF"/>
    <w:p w14:paraId="7EEE5804" w14:textId="77777777" w:rsidR="000817FF" w:rsidRDefault="00FB291E">
      <w:pPr>
        <w:spacing w:after="120" w:line="360" w:lineRule="auto"/>
        <w:ind w:firstLine="420"/>
      </w:pPr>
      <w:r>
        <w:rPr>
          <w:sz w:val="21"/>
        </w:rPr>
        <w:t>合并用药方面，</w:t>
      </w:r>
      <w:r>
        <w:rPr>
          <w:sz w:val="21"/>
        </w:rPr>
        <w:t xml:space="preserve">2025 </w:t>
      </w:r>
      <w:r>
        <w:rPr>
          <w:sz w:val="21"/>
        </w:rPr>
        <w:t>年病例中多重用药病例</w:t>
      </w:r>
      <w:r>
        <w:rPr>
          <w:sz w:val="21"/>
        </w:rPr>
        <w:t xml:space="preserve"> 83,012 </w:t>
      </w:r>
      <w:r>
        <w:rPr>
          <w:sz w:val="21"/>
        </w:rPr>
        <w:t>例，占</w:t>
      </w:r>
      <w:r>
        <w:rPr>
          <w:sz w:val="21"/>
        </w:rPr>
        <w:t xml:space="preserve"> 23.10%</w:t>
      </w:r>
      <w:r>
        <w:rPr>
          <w:sz w:val="21"/>
        </w:rPr>
        <w:t>。合并中枢神经系统相关药物较为常见，其中苯二氮卓类药物</w:t>
      </w:r>
      <w:r>
        <w:rPr>
          <w:sz w:val="21"/>
        </w:rPr>
        <w:t xml:space="preserve"> 9,972 </w:t>
      </w:r>
      <w:r>
        <w:rPr>
          <w:sz w:val="21"/>
        </w:rPr>
        <w:t>例，占</w:t>
      </w:r>
      <w:r>
        <w:rPr>
          <w:sz w:val="21"/>
        </w:rPr>
        <w:t xml:space="preserve"> 2.78%</w:t>
      </w:r>
      <w:r>
        <w:rPr>
          <w:sz w:val="21"/>
        </w:rPr>
        <w:t>；抗抑郁药</w:t>
      </w:r>
      <w:r>
        <w:rPr>
          <w:sz w:val="21"/>
        </w:rPr>
        <w:t xml:space="preserve"> 19,766 </w:t>
      </w:r>
      <w:r>
        <w:rPr>
          <w:sz w:val="21"/>
        </w:rPr>
        <w:t>例，占</w:t>
      </w:r>
      <w:r>
        <w:rPr>
          <w:sz w:val="21"/>
        </w:rPr>
        <w:t xml:space="preserve"> 5.50%</w:t>
      </w:r>
      <w:r>
        <w:rPr>
          <w:sz w:val="21"/>
        </w:rPr>
        <w:t>；抗精神病药</w:t>
      </w:r>
      <w:r>
        <w:rPr>
          <w:sz w:val="21"/>
        </w:rPr>
        <w:t xml:space="preserve"> 6,331 </w:t>
      </w:r>
      <w:r>
        <w:rPr>
          <w:sz w:val="21"/>
        </w:rPr>
        <w:t>例，占</w:t>
      </w:r>
      <w:r>
        <w:rPr>
          <w:sz w:val="21"/>
        </w:rPr>
        <w:t xml:space="preserve"> 1.76%</w:t>
      </w:r>
      <w:r>
        <w:rPr>
          <w:sz w:val="21"/>
        </w:rPr>
        <w:t>；阿片类药物</w:t>
      </w:r>
      <w:r>
        <w:rPr>
          <w:sz w:val="21"/>
        </w:rPr>
        <w:t xml:space="preserve"> 15,163 </w:t>
      </w:r>
      <w:r>
        <w:rPr>
          <w:sz w:val="21"/>
        </w:rPr>
        <w:t>例，占</w:t>
      </w:r>
      <w:r>
        <w:rPr>
          <w:sz w:val="21"/>
        </w:rPr>
        <w:t xml:space="preserve"> 4.22%</w:t>
      </w:r>
      <w:r>
        <w:rPr>
          <w:sz w:val="21"/>
        </w:rPr>
        <w:t>；抗癫痫药</w:t>
      </w:r>
      <w:r>
        <w:rPr>
          <w:sz w:val="21"/>
        </w:rPr>
        <w:t xml:space="preserve"> 14,592 </w:t>
      </w:r>
      <w:r>
        <w:rPr>
          <w:sz w:val="21"/>
        </w:rPr>
        <w:t>例，占</w:t>
      </w:r>
      <w:r>
        <w:rPr>
          <w:sz w:val="21"/>
        </w:rPr>
        <w:t xml:space="preserve"> 4.06%</w:t>
      </w:r>
      <w:r>
        <w:rPr>
          <w:sz w:val="21"/>
        </w:rPr>
        <w:t>。</w:t>
      </w:r>
    </w:p>
    <w:p w14:paraId="18B394BB" w14:textId="77777777" w:rsidR="000817FF" w:rsidRDefault="00FB291E">
      <w:pPr>
        <w:spacing w:after="120" w:line="360" w:lineRule="auto"/>
        <w:ind w:firstLine="420"/>
      </w:pPr>
      <w:r>
        <w:rPr>
          <w:sz w:val="21"/>
        </w:rPr>
        <w:t>表</w:t>
      </w:r>
      <w:r>
        <w:rPr>
          <w:sz w:val="21"/>
        </w:rPr>
        <w:t xml:space="preserve"> 3-6 </w:t>
      </w:r>
      <w:r>
        <w:rPr>
          <w:sz w:val="21"/>
        </w:rPr>
        <w:t>显示</w:t>
      </w:r>
      <w:r>
        <w:rPr>
          <w:sz w:val="21"/>
        </w:rPr>
        <w:t xml:space="preserve"> 2025 </w:t>
      </w:r>
      <w:r>
        <w:rPr>
          <w:sz w:val="21"/>
        </w:rPr>
        <w:t>年多重用药和主要合并用药分布。</w:t>
      </w:r>
    </w:p>
    <w:p w14:paraId="3C5D8667" w14:textId="77777777" w:rsidR="000817FF" w:rsidRDefault="00FB291E">
      <w:pPr>
        <w:spacing w:after="120" w:line="360" w:lineRule="auto"/>
        <w:ind w:firstLine="420"/>
      </w:pPr>
      <w:r>
        <w:rPr>
          <w:sz w:val="21"/>
        </w:rPr>
        <w:t>表</w:t>
      </w:r>
      <w:r>
        <w:rPr>
          <w:sz w:val="21"/>
        </w:rPr>
        <w:t xml:space="preserve"> 3-6 2025 </w:t>
      </w:r>
      <w:r>
        <w:rPr>
          <w:sz w:val="21"/>
        </w:rPr>
        <w:t>年多重用药和合并用药分布</w:t>
      </w:r>
    </w:p>
    <w:tbl>
      <w:tblPr>
        <w:tblStyle w:val="aff1"/>
        <w:tblW w:w="8788" w:type="dxa"/>
        <w:tblLayout w:type="fixed"/>
        <w:tblLook w:val="04A0" w:firstRow="1" w:lastRow="0" w:firstColumn="1" w:lastColumn="0" w:noHBand="0" w:noVBand="1"/>
      </w:tblPr>
      <w:tblGrid>
        <w:gridCol w:w="2929"/>
        <w:gridCol w:w="2929"/>
        <w:gridCol w:w="2930"/>
      </w:tblGrid>
      <w:tr w:rsidR="000817FF" w14:paraId="5B24C492" w14:textId="77777777">
        <w:tc>
          <w:tcPr>
            <w:tcW w:w="2929" w:type="dxa"/>
            <w:shd w:val="clear" w:color="auto" w:fill="EDEDED"/>
            <w:tcMar>
              <w:top w:w="80" w:type="dxa"/>
              <w:left w:w="100" w:type="dxa"/>
              <w:bottom w:w="80" w:type="dxa"/>
              <w:right w:w="100" w:type="dxa"/>
            </w:tcMar>
            <w:vAlign w:val="center"/>
          </w:tcPr>
          <w:p w14:paraId="6AF9E74C" w14:textId="77777777" w:rsidR="000817FF" w:rsidRDefault="00FB291E">
            <w:pPr>
              <w:jc w:val="center"/>
            </w:pPr>
            <w:r>
              <w:rPr>
                <w:b/>
                <w:sz w:val="18"/>
              </w:rPr>
              <w:t>变量</w:t>
            </w:r>
          </w:p>
        </w:tc>
        <w:tc>
          <w:tcPr>
            <w:tcW w:w="2929" w:type="dxa"/>
            <w:shd w:val="clear" w:color="auto" w:fill="EDEDED"/>
            <w:tcMar>
              <w:top w:w="80" w:type="dxa"/>
              <w:left w:w="100" w:type="dxa"/>
              <w:bottom w:w="80" w:type="dxa"/>
              <w:right w:w="100" w:type="dxa"/>
            </w:tcMar>
            <w:vAlign w:val="center"/>
          </w:tcPr>
          <w:p w14:paraId="102B2C33" w14:textId="77777777" w:rsidR="000817FF" w:rsidRDefault="00FB291E">
            <w:pPr>
              <w:jc w:val="center"/>
            </w:pPr>
            <w:r>
              <w:rPr>
                <w:b/>
                <w:sz w:val="18"/>
              </w:rPr>
              <w:t>阳性病例数</w:t>
            </w:r>
          </w:p>
        </w:tc>
        <w:tc>
          <w:tcPr>
            <w:tcW w:w="2930" w:type="dxa"/>
            <w:shd w:val="clear" w:color="auto" w:fill="EDEDED"/>
            <w:tcMar>
              <w:top w:w="80" w:type="dxa"/>
              <w:left w:w="100" w:type="dxa"/>
              <w:bottom w:w="80" w:type="dxa"/>
              <w:right w:w="100" w:type="dxa"/>
            </w:tcMar>
            <w:vAlign w:val="center"/>
          </w:tcPr>
          <w:p w14:paraId="634B4F0E" w14:textId="77777777" w:rsidR="000817FF" w:rsidRDefault="00FB291E">
            <w:pPr>
              <w:jc w:val="center"/>
            </w:pPr>
            <w:r>
              <w:rPr>
                <w:b/>
                <w:sz w:val="18"/>
              </w:rPr>
              <w:t>构成比</w:t>
            </w:r>
          </w:p>
        </w:tc>
      </w:tr>
      <w:tr w:rsidR="000817FF" w14:paraId="4B1A361B" w14:textId="77777777">
        <w:tc>
          <w:tcPr>
            <w:tcW w:w="2929" w:type="dxa"/>
            <w:tcMar>
              <w:top w:w="80" w:type="dxa"/>
              <w:left w:w="100" w:type="dxa"/>
              <w:bottom w:w="80" w:type="dxa"/>
              <w:right w:w="100" w:type="dxa"/>
            </w:tcMar>
            <w:vAlign w:val="center"/>
          </w:tcPr>
          <w:p w14:paraId="2C95F1E0" w14:textId="77777777" w:rsidR="000817FF" w:rsidRDefault="00FB291E">
            <w:pPr>
              <w:jc w:val="center"/>
            </w:pPr>
            <w:r>
              <w:rPr>
                <w:sz w:val="18"/>
              </w:rPr>
              <w:t>多重用药（去重药物数</w:t>
            </w:r>
            <w:r>
              <w:rPr>
                <w:sz w:val="18"/>
              </w:rPr>
              <w:t xml:space="preserve"> &gt;=5</w:t>
            </w:r>
            <w:r>
              <w:rPr>
                <w:sz w:val="18"/>
              </w:rPr>
              <w:t>）</w:t>
            </w:r>
          </w:p>
        </w:tc>
        <w:tc>
          <w:tcPr>
            <w:tcW w:w="2929" w:type="dxa"/>
            <w:tcMar>
              <w:top w:w="80" w:type="dxa"/>
              <w:left w:w="100" w:type="dxa"/>
              <w:bottom w:w="80" w:type="dxa"/>
              <w:right w:w="100" w:type="dxa"/>
            </w:tcMar>
            <w:vAlign w:val="center"/>
          </w:tcPr>
          <w:p w14:paraId="0F6CFA3E" w14:textId="77777777" w:rsidR="000817FF" w:rsidRDefault="00FB291E">
            <w:pPr>
              <w:jc w:val="center"/>
            </w:pPr>
            <w:r>
              <w:rPr>
                <w:sz w:val="18"/>
              </w:rPr>
              <w:t>83,012</w:t>
            </w:r>
          </w:p>
        </w:tc>
        <w:tc>
          <w:tcPr>
            <w:tcW w:w="2930" w:type="dxa"/>
            <w:tcMar>
              <w:top w:w="80" w:type="dxa"/>
              <w:left w:w="100" w:type="dxa"/>
              <w:bottom w:w="80" w:type="dxa"/>
              <w:right w:w="100" w:type="dxa"/>
            </w:tcMar>
            <w:vAlign w:val="center"/>
          </w:tcPr>
          <w:p w14:paraId="62C8C429" w14:textId="77777777" w:rsidR="000817FF" w:rsidRDefault="00FB291E">
            <w:pPr>
              <w:jc w:val="center"/>
            </w:pPr>
            <w:r>
              <w:rPr>
                <w:sz w:val="18"/>
              </w:rPr>
              <w:t>23.10%</w:t>
            </w:r>
          </w:p>
        </w:tc>
      </w:tr>
      <w:tr w:rsidR="000817FF" w14:paraId="7AE739C9" w14:textId="77777777">
        <w:tc>
          <w:tcPr>
            <w:tcW w:w="2929" w:type="dxa"/>
            <w:tcMar>
              <w:top w:w="80" w:type="dxa"/>
              <w:left w:w="100" w:type="dxa"/>
              <w:bottom w:w="80" w:type="dxa"/>
              <w:right w:w="100" w:type="dxa"/>
            </w:tcMar>
            <w:vAlign w:val="center"/>
          </w:tcPr>
          <w:p w14:paraId="479A8226" w14:textId="77777777" w:rsidR="000817FF" w:rsidRDefault="00FB291E">
            <w:pPr>
              <w:jc w:val="center"/>
            </w:pPr>
            <w:r>
              <w:rPr>
                <w:sz w:val="18"/>
              </w:rPr>
              <w:t>苯二氮卓类药物</w:t>
            </w:r>
          </w:p>
        </w:tc>
        <w:tc>
          <w:tcPr>
            <w:tcW w:w="2929" w:type="dxa"/>
            <w:tcMar>
              <w:top w:w="80" w:type="dxa"/>
              <w:left w:w="100" w:type="dxa"/>
              <w:bottom w:w="80" w:type="dxa"/>
              <w:right w:w="100" w:type="dxa"/>
            </w:tcMar>
            <w:vAlign w:val="center"/>
          </w:tcPr>
          <w:p w14:paraId="0D7FCB91" w14:textId="77777777" w:rsidR="000817FF" w:rsidRDefault="00FB291E">
            <w:pPr>
              <w:jc w:val="center"/>
            </w:pPr>
            <w:r>
              <w:rPr>
                <w:sz w:val="18"/>
              </w:rPr>
              <w:t>9,972</w:t>
            </w:r>
          </w:p>
        </w:tc>
        <w:tc>
          <w:tcPr>
            <w:tcW w:w="2930" w:type="dxa"/>
            <w:tcMar>
              <w:top w:w="80" w:type="dxa"/>
              <w:left w:w="100" w:type="dxa"/>
              <w:bottom w:w="80" w:type="dxa"/>
              <w:right w:w="100" w:type="dxa"/>
            </w:tcMar>
            <w:vAlign w:val="center"/>
          </w:tcPr>
          <w:p w14:paraId="7AB13265" w14:textId="77777777" w:rsidR="000817FF" w:rsidRDefault="00FB291E">
            <w:pPr>
              <w:jc w:val="center"/>
            </w:pPr>
            <w:r>
              <w:rPr>
                <w:sz w:val="18"/>
              </w:rPr>
              <w:t>2.78%</w:t>
            </w:r>
          </w:p>
        </w:tc>
      </w:tr>
      <w:tr w:rsidR="000817FF" w14:paraId="624A1B73" w14:textId="77777777">
        <w:tc>
          <w:tcPr>
            <w:tcW w:w="2929" w:type="dxa"/>
            <w:tcMar>
              <w:top w:w="80" w:type="dxa"/>
              <w:left w:w="100" w:type="dxa"/>
              <w:bottom w:w="80" w:type="dxa"/>
              <w:right w:w="100" w:type="dxa"/>
            </w:tcMar>
            <w:vAlign w:val="center"/>
          </w:tcPr>
          <w:p w14:paraId="13A0BFD8" w14:textId="77777777" w:rsidR="000817FF" w:rsidRDefault="00FB291E">
            <w:pPr>
              <w:jc w:val="center"/>
            </w:pPr>
            <w:r>
              <w:rPr>
                <w:sz w:val="18"/>
              </w:rPr>
              <w:t>抗抑郁药</w:t>
            </w:r>
          </w:p>
        </w:tc>
        <w:tc>
          <w:tcPr>
            <w:tcW w:w="2929" w:type="dxa"/>
            <w:tcMar>
              <w:top w:w="80" w:type="dxa"/>
              <w:left w:w="100" w:type="dxa"/>
              <w:bottom w:w="80" w:type="dxa"/>
              <w:right w:w="100" w:type="dxa"/>
            </w:tcMar>
            <w:vAlign w:val="center"/>
          </w:tcPr>
          <w:p w14:paraId="18EC83A2" w14:textId="77777777" w:rsidR="000817FF" w:rsidRDefault="00FB291E">
            <w:pPr>
              <w:jc w:val="center"/>
            </w:pPr>
            <w:r>
              <w:rPr>
                <w:sz w:val="18"/>
              </w:rPr>
              <w:t>19,766</w:t>
            </w:r>
          </w:p>
        </w:tc>
        <w:tc>
          <w:tcPr>
            <w:tcW w:w="2930" w:type="dxa"/>
            <w:tcMar>
              <w:top w:w="80" w:type="dxa"/>
              <w:left w:w="100" w:type="dxa"/>
              <w:bottom w:w="80" w:type="dxa"/>
              <w:right w:w="100" w:type="dxa"/>
            </w:tcMar>
            <w:vAlign w:val="center"/>
          </w:tcPr>
          <w:p w14:paraId="4482A03D" w14:textId="77777777" w:rsidR="000817FF" w:rsidRDefault="00FB291E">
            <w:pPr>
              <w:jc w:val="center"/>
            </w:pPr>
            <w:r>
              <w:rPr>
                <w:sz w:val="18"/>
              </w:rPr>
              <w:t>5.50%</w:t>
            </w:r>
          </w:p>
        </w:tc>
      </w:tr>
      <w:tr w:rsidR="000817FF" w14:paraId="0F8C324E" w14:textId="77777777">
        <w:tc>
          <w:tcPr>
            <w:tcW w:w="2929" w:type="dxa"/>
            <w:tcMar>
              <w:top w:w="80" w:type="dxa"/>
              <w:left w:w="100" w:type="dxa"/>
              <w:bottom w:w="80" w:type="dxa"/>
              <w:right w:w="100" w:type="dxa"/>
            </w:tcMar>
            <w:vAlign w:val="center"/>
          </w:tcPr>
          <w:p w14:paraId="500BFC11" w14:textId="77777777" w:rsidR="000817FF" w:rsidRDefault="00FB291E">
            <w:pPr>
              <w:jc w:val="center"/>
            </w:pPr>
            <w:r>
              <w:rPr>
                <w:sz w:val="18"/>
              </w:rPr>
              <w:t>抗精神病药</w:t>
            </w:r>
          </w:p>
        </w:tc>
        <w:tc>
          <w:tcPr>
            <w:tcW w:w="2929" w:type="dxa"/>
            <w:tcMar>
              <w:top w:w="80" w:type="dxa"/>
              <w:left w:w="100" w:type="dxa"/>
              <w:bottom w:w="80" w:type="dxa"/>
              <w:right w:w="100" w:type="dxa"/>
            </w:tcMar>
            <w:vAlign w:val="center"/>
          </w:tcPr>
          <w:p w14:paraId="76D20A97" w14:textId="77777777" w:rsidR="000817FF" w:rsidRDefault="00FB291E">
            <w:pPr>
              <w:jc w:val="center"/>
            </w:pPr>
            <w:r>
              <w:rPr>
                <w:sz w:val="18"/>
              </w:rPr>
              <w:t>6,331</w:t>
            </w:r>
          </w:p>
        </w:tc>
        <w:tc>
          <w:tcPr>
            <w:tcW w:w="2930" w:type="dxa"/>
            <w:tcMar>
              <w:top w:w="80" w:type="dxa"/>
              <w:left w:w="100" w:type="dxa"/>
              <w:bottom w:w="80" w:type="dxa"/>
              <w:right w:w="100" w:type="dxa"/>
            </w:tcMar>
            <w:vAlign w:val="center"/>
          </w:tcPr>
          <w:p w14:paraId="72ED2AB4" w14:textId="77777777" w:rsidR="000817FF" w:rsidRDefault="00FB291E">
            <w:pPr>
              <w:jc w:val="center"/>
            </w:pPr>
            <w:r>
              <w:rPr>
                <w:sz w:val="18"/>
              </w:rPr>
              <w:t>1.76%</w:t>
            </w:r>
          </w:p>
        </w:tc>
      </w:tr>
      <w:tr w:rsidR="000817FF" w14:paraId="0A2F1C3E" w14:textId="77777777">
        <w:tc>
          <w:tcPr>
            <w:tcW w:w="2929" w:type="dxa"/>
            <w:tcMar>
              <w:top w:w="80" w:type="dxa"/>
              <w:left w:w="100" w:type="dxa"/>
              <w:bottom w:w="80" w:type="dxa"/>
              <w:right w:w="100" w:type="dxa"/>
            </w:tcMar>
            <w:vAlign w:val="center"/>
          </w:tcPr>
          <w:p w14:paraId="10729801" w14:textId="77777777" w:rsidR="000817FF" w:rsidRDefault="00FB291E">
            <w:pPr>
              <w:jc w:val="center"/>
            </w:pPr>
            <w:r>
              <w:rPr>
                <w:sz w:val="18"/>
              </w:rPr>
              <w:t>阿片类药物</w:t>
            </w:r>
          </w:p>
        </w:tc>
        <w:tc>
          <w:tcPr>
            <w:tcW w:w="2929" w:type="dxa"/>
            <w:tcMar>
              <w:top w:w="80" w:type="dxa"/>
              <w:left w:w="100" w:type="dxa"/>
              <w:bottom w:w="80" w:type="dxa"/>
              <w:right w:w="100" w:type="dxa"/>
            </w:tcMar>
            <w:vAlign w:val="center"/>
          </w:tcPr>
          <w:p w14:paraId="173E24A6" w14:textId="77777777" w:rsidR="000817FF" w:rsidRDefault="00FB291E">
            <w:pPr>
              <w:jc w:val="center"/>
            </w:pPr>
            <w:r>
              <w:rPr>
                <w:sz w:val="18"/>
              </w:rPr>
              <w:t>15,163</w:t>
            </w:r>
          </w:p>
        </w:tc>
        <w:tc>
          <w:tcPr>
            <w:tcW w:w="2930" w:type="dxa"/>
            <w:tcMar>
              <w:top w:w="80" w:type="dxa"/>
              <w:left w:w="100" w:type="dxa"/>
              <w:bottom w:w="80" w:type="dxa"/>
              <w:right w:w="100" w:type="dxa"/>
            </w:tcMar>
            <w:vAlign w:val="center"/>
          </w:tcPr>
          <w:p w14:paraId="4610B651" w14:textId="77777777" w:rsidR="000817FF" w:rsidRDefault="00FB291E">
            <w:pPr>
              <w:jc w:val="center"/>
            </w:pPr>
            <w:r>
              <w:rPr>
                <w:sz w:val="18"/>
              </w:rPr>
              <w:t>4.22%</w:t>
            </w:r>
          </w:p>
        </w:tc>
      </w:tr>
      <w:tr w:rsidR="000817FF" w14:paraId="256CDD03" w14:textId="77777777">
        <w:tc>
          <w:tcPr>
            <w:tcW w:w="2929" w:type="dxa"/>
            <w:tcMar>
              <w:top w:w="80" w:type="dxa"/>
              <w:left w:w="100" w:type="dxa"/>
              <w:bottom w:w="80" w:type="dxa"/>
              <w:right w:w="100" w:type="dxa"/>
            </w:tcMar>
            <w:vAlign w:val="center"/>
          </w:tcPr>
          <w:p w14:paraId="4C5B2FB1" w14:textId="77777777" w:rsidR="000817FF" w:rsidRDefault="00FB291E">
            <w:pPr>
              <w:jc w:val="center"/>
            </w:pPr>
            <w:r>
              <w:rPr>
                <w:sz w:val="18"/>
              </w:rPr>
              <w:t>抗癫痫药</w:t>
            </w:r>
          </w:p>
        </w:tc>
        <w:tc>
          <w:tcPr>
            <w:tcW w:w="2929" w:type="dxa"/>
            <w:tcMar>
              <w:top w:w="80" w:type="dxa"/>
              <w:left w:w="100" w:type="dxa"/>
              <w:bottom w:w="80" w:type="dxa"/>
              <w:right w:w="100" w:type="dxa"/>
            </w:tcMar>
            <w:vAlign w:val="center"/>
          </w:tcPr>
          <w:p w14:paraId="614189D7" w14:textId="77777777" w:rsidR="000817FF" w:rsidRDefault="00FB291E">
            <w:pPr>
              <w:jc w:val="center"/>
            </w:pPr>
            <w:r>
              <w:rPr>
                <w:sz w:val="18"/>
              </w:rPr>
              <w:t>14,592</w:t>
            </w:r>
          </w:p>
        </w:tc>
        <w:tc>
          <w:tcPr>
            <w:tcW w:w="2930" w:type="dxa"/>
            <w:tcMar>
              <w:top w:w="80" w:type="dxa"/>
              <w:left w:w="100" w:type="dxa"/>
              <w:bottom w:w="80" w:type="dxa"/>
              <w:right w:w="100" w:type="dxa"/>
            </w:tcMar>
            <w:vAlign w:val="center"/>
          </w:tcPr>
          <w:p w14:paraId="2A51F691" w14:textId="77777777" w:rsidR="000817FF" w:rsidRDefault="00FB291E">
            <w:pPr>
              <w:jc w:val="center"/>
            </w:pPr>
            <w:r>
              <w:rPr>
                <w:sz w:val="18"/>
              </w:rPr>
              <w:t>4.06%</w:t>
            </w:r>
          </w:p>
        </w:tc>
      </w:tr>
    </w:tbl>
    <w:p w14:paraId="5C6788BD" w14:textId="77777777" w:rsidR="000817FF" w:rsidRDefault="000817FF"/>
    <w:p w14:paraId="0AF5B3E6" w14:textId="77777777" w:rsidR="000817FF" w:rsidRDefault="00FB291E">
      <w:pPr>
        <w:spacing w:after="120" w:line="360" w:lineRule="auto"/>
        <w:ind w:firstLine="420"/>
      </w:pPr>
      <w:r>
        <w:rPr>
          <w:sz w:val="21"/>
        </w:rPr>
        <w:t>这些合并用药变量在老年跌倒研究中具有重要意义。苯二氮卓类、抗抑郁药、抗精神病药、阿片类药物和抗癫痫药均可能影响中枢神经系统功能或运动协调能力，因此后续校正分析将其纳入协变量。</w:t>
      </w:r>
    </w:p>
    <w:p w14:paraId="0F032DFD" w14:textId="77777777" w:rsidR="000817FF" w:rsidRDefault="00FB291E">
      <w:pPr>
        <w:pStyle w:val="21"/>
        <w:spacing w:before="160" w:after="80"/>
      </w:pPr>
      <w:bookmarkStart w:id="56" w:name="_Toc230281355"/>
      <w:r>
        <w:rPr>
          <w:rFonts w:ascii="Times New Roman" w:eastAsia="宋体" w:hAnsi="Times New Roman"/>
        </w:rPr>
        <w:lastRenderedPageBreak/>
        <w:t xml:space="preserve">3.6 2025 </w:t>
      </w:r>
      <w:r>
        <w:rPr>
          <w:rFonts w:ascii="Times New Roman" w:eastAsia="宋体" w:hAnsi="Times New Roman"/>
        </w:rPr>
        <w:t>年跌倒相关事件分布</w:t>
      </w:r>
      <w:bookmarkEnd w:id="56"/>
    </w:p>
    <w:p w14:paraId="0807F591" w14:textId="77777777" w:rsidR="000817FF" w:rsidRDefault="00FB291E">
      <w:pPr>
        <w:spacing w:after="120" w:line="360" w:lineRule="auto"/>
        <w:ind w:firstLine="420"/>
      </w:pPr>
      <w:r>
        <w:t>2025 年病例中，严格 PT 跌倒事件 11,980 例，占 3.33%；广义跌倒相关事件（补充） 25,729 例，占 7.16%。广义跌倒相关事件（补充）中，最常见的 PT 为 FALL，共 10,377 例，占全部病例的 2.89%，占广义跌倒相关事件（补充）的 40.33%。其次为 HYPOTENSION、GAIT DISTURBANCE、VISUAL IMPAIRMENT 和 BALANCE DISORDER。</w:t>
      </w:r>
    </w:p>
    <w:p w14:paraId="3464670F" w14:textId="77777777" w:rsidR="000817FF" w:rsidRDefault="00FB291E">
      <w:pPr>
        <w:spacing w:after="120" w:line="360" w:lineRule="auto"/>
        <w:ind w:firstLine="420"/>
      </w:pPr>
      <w:r>
        <w:t>表 3-7 显示 2025 年广义跌倒相关事件（补充）中常见 PT 分布。</w:t>
      </w:r>
    </w:p>
    <w:p w14:paraId="0AD28AD0" w14:textId="77777777" w:rsidR="000817FF" w:rsidRDefault="00FB291E">
      <w:pPr>
        <w:spacing w:after="120" w:line="360" w:lineRule="auto"/>
        <w:ind w:firstLine="420"/>
      </w:pPr>
      <w:r>
        <w:t>表 3-7 2025 年广义跌倒相关事件（补充）常见 PT 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4A73825F" w14:textId="77777777">
        <w:tc>
          <w:tcPr>
            <w:tcW w:w="2197" w:type="dxa"/>
            <w:shd w:val="clear" w:color="auto" w:fill="EDEDED"/>
            <w:tcMar>
              <w:top w:w="80" w:type="dxa"/>
              <w:left w:w="100" w:type="dxa"/>
              <w:bottom w:w="80" w:type="dxa"/>
              <w:right w:w="100" w:type="dxa"/>
            </w:tcMar>
            <w:vAlign w:val="center"/>
          </w:tcPr>
          <w:p w14:paraId="4A23F14E" w14:textId="77777777" w:rsidR="000817FF" w:rsidRDefault="00FB291E">
            <w:pPr>
              <w:jc w:val="center"/>
            </w:pPr>
            <w:r>
              <w:rPr>
                <w:b/>
                <w:sz w:val="18"/>
              </w:rPr>
              <w:t>PT</w:t>
            </w:r>
          </w:p>
        </w:tc>
        <w:tc>
          <w:tcPr>
            <w:tcW w:w="2197" w:type="dxa"/>
            <w:shd w:val="clear" w:color="auto" w:fill="EDEDED"/>
            <w:tcMar>
              <w:top w:w="80" w:type="dxa"/>
              <w:left w:w="100" w:type="dxa"/>
              <w:bottom w:w="80" w:type="dxa"/>
              <w:right w:w="100" w:type="dxa"/>
            </w:tcMar>
            <w:vAlign w:val="center"/>
          </w:tcPr>
          <w:p w14:paraId="5FED0976" w14:textId="77777777" w:rsidR="000817FF" w:rsidRDefault="00FB291E">
            <w:pPr>
              <w:jc w:val="center"/>
            </w:pPr>
            <w:r>
              <w:rPr>
                <w:b/>
                <w:sz w:val="18"/>
              </w:rPr>
              <w:t>涉及病例数</w:t>
            </w:r>
          </w:p>
        </w:tc>
        <w:tc>
          <w:tcPr>
            <w:tcW w:w="2197" w:type="dxa"/>
            <w:shd w:val="clear" w:color="auto" w:fill="EDEDED"/>
            <w:tcMar>
              <w:top w:w="80" w:type="dxa"/>
              <w:left w:w="100" w:type="dxa"/>
              <w:bottom w:w="80" w:type="dxa"/>
              <w:right w:w="100" w:type="dxa"/>
            </w:tcMar>
            <w:vAlign w:val="center"/>
          </w:tcPr>
          <w:p w14:paraId="2390E2B0" w14:textId="77777777" w:rsidR="000817FF" w:rsidRDefault="00FB291E">
            <w:pPr>
              <w:jc w:val="center"/>
            </w:pPr>
            <w:r>
              <w:rPr>
                <w:b/>
                <w:sz w:val="18"/>
              </w:rPr>
              <w:t>占总体百分比</w:t>
            </w:r>
          </w:p>
        </w:tc>
        <w:tc>
          <w:tcPr>
            <w:tcW w:w="2197" w:type="dxa"/>
            <w:shd w:val="clear" w:color="auto" w:fill="EDEDED"/>
            <w:tcMar>
              <w:top w:w="80" w:type="dxa"/>
              <w:left w:w="100" w:type="dxa"/>
              <w:bottom w:w="80" w:type="dxa"/>
              <w:right w:w="100" w:type="dxa"/>
            </w:tcMar>
            <w:vAlign w:val="center"/>
          </w:tcPr>
          <w:p w14:paraId="08554638" w14:textId="77777777" w:rsidR="000817FF" w:rsidRDefault="00FB291E">
            <w:pPr>
              <w:jc w:val="center"/>
            </w:pPr>
            <w:r>
              <w:rPr>
                <w:b/>
                <w:sz w:val="18"/>
              </w:rPr>
              <w:t>占广义跌倒事件百分比</w:t>
            </w:r>
          </w:p>
        </w:tc>
      </w:tr>
      <w:tr w:rsidR="000817FF" w14:paraId="64F10AB8" w14:textId="77777777">
        <w:tc>
          <w:tcPr>
            <w:tcW w:w="2197" w:type="dxa"/>
            <w:tcMar>
              <w:top w:w="80" w:type="dxa"/>
              <w:left w:w="100" w:type="dxa"/>
              <w:bottom w:w="80" w:type="dxa"/>
              <w:right w:w="100" w:type="dxa"/>
            </w:tcMar>
            <w:vAlign w:val="center"/>
          </w:tcPr>
          <w:p w14:paraId="4C5D60E9" w14:textId="77777777" w:rsidR="000817FF" w:rsidRDefault="00FB291E">
            <w:pPr>
              <w:jc w:val="center"/>
            </w:pPr>
            <w:r>
              <w:rPr>
                <w:sz w:val="18"/>
              </w:rPr>
              <w:t>FALL</w:t>
            </w:r>
          </w:p>
        </w:tc>
        <w:tc>
          <w:tcPr>
            <w:tcW w:w="2197" w:type="dxa"/>
            <w:tcMar>
              <w:top w:w="80" w:type="dxa"/>
              <w:left w:w="100" w:type="dxa"/>
              <w:bottom w:w="80" w:type="dxa"/>
              <w:right w:w="100" w:type="dxa"/>
            </w:tcMar>
            <w:vAlign w:val="center"/>
          </w:tcPr>
          <w:p w14:paraId="355BA1CA" w14:textId="77777777" w:rsidR="000817FF" w:rsidRDefault="00FB291E">
            <w:pPr>
              <w:jc w:val="center"/>
            </w:pPr>
            <w:r>
              <w:rPr>
                <w:sz w:val="18"/>
              </w:rPr>
              <w:t>10,377</w:t>
            </w:r>
          </w:p>
        </w:tc>
        <w:tc>
          <w:tcPr>
            <w:tcW w:w="2197" w:type="dxa"/>
            <w:tcMar>
              <w:top w:w="80" w:type="dxa"/>
              <w:left w:w="100" w:type="dxa"/>
              <w:bottom w:w="80" w:type="dxa"/>
              <w:right w:w="100" w:type="dxa"/>
            </w:tcMar>
            <w:vAlign w:val="center"/>
          </w:tcPr>
          <w:p w14:paraId="175A7F61" w14:textId="77777777" w:rsidR="000817FF" w:rsidRDefault="00FB291E">
            <w:pPr>
              <w:jc w:val="center"/>
            </w:pPr>
            <w:r>
              <w:rPr>
                <w:sz w:val="18"/>
              </w:rPr>
              <w:t>2.89%</w:t>
            </w:r>
          </w:p>
        </w:tc>
        <w:tc>
          <w:tcPr>
            <w:tcW w:w="2197" w:type="dxa"/>
            <w:tcMar>
              <w:top w:w="80" w:type="dxa"/>
              <w:left w:w="100" w:type="dxa"/>
              <w:bottom w:w="80" w:type="dxa"/>
              <w:right w:w="100" w:type="dxa"/>
            </w:tcMar>
            <w:vAlign w:val="center"/>
          </w:tcPr>
          <w:p w14:paraId="05D55A2C" w14:textId="77777777" w:rsidR="000817FF" w:rsidRDefault="00FB291E">
            <w:pPr>
              <w:jc w:val="center"/>
            </w:pPr>
            <w:r>
              <w:rPr>
                <w:sz w:val="18"/>
              </w:rPr>
              <w:t>40.33%</w:t>
            </w:r>
          </w:p>
        </w:tc>
      </w:tr>
      <w:tr w:rsidR="000817FF" w14:paraId="158185B1" w14:textId="77777777">
        <w:tc>
          <w:tcPr>
            <w:tcW w:w="2197" w:type="dxa"/>
            <w:tcMar>
              <w:top w:w="80" w:type="dxa"/>
              <w:left w:w="100" w:type="dxa"/>
              <w:bottom w:w="80" w:type="dxa"/>
              <w:right w:w="100" w:type="dxa"/>
            </w:tcMar>
            <w:vAlign w:val="center"/>
          </w:tcPr>
          <w:p w14:paraId="0E3532A7" w14:textId="77777777" w:rsidR="000817FF" w:rsidRDefault="00FB291E">
            <w:pPr>
              <w:jc w:val="center"/>
            </w:pPr>
            <w:r>
              <w:rPr>
                <w:sz w:val="18"/>
              </w:rPr>
              <w:t>HYPOTENSION</w:t>
            </w:r>
          </w:p>
        </w:tc>
        <w:tc>
          <w:tcPr>
            <w:tcW w:w="2197" w:type="dxa"/>
            <w:tcMar>
              <w:top w:w="80" w:type="dxa"/>
              <w:left w:w="100" w:type="dxa"/>
              <w:bottom w:w="80" w:type="dxa"/>
              <w:right w:w="100" w:type="dxa"/>
            </w:tcMar>
            <w:vAlign w:val="center"/>
          </w:tcPr>
          <w:p w14:paraId="29E4E32C" w14:textId="77777777" w:rsidR="000817FF" w:rsidRDefault="00FB291E">
            <w:pPr>
              <w:jc w:val="center"/>
            </w:pPr>
            <w:r>
              <w:rPr>
                <w:sz w:val="18"/>
              </w:rPr>
              <w:t>4,352</w:t>
            </w:r>
          </w:p>
        </w:tc>
        <w:tc>
          <w:tcPr>
            <w:tcW w:w="2197" w:type="dxa"/>
            <w:tcMar>
              <w:top w:w="80" w:type="dxa"/>
              <w:left w:w="100" w:type="dxa"/>
              <w:bottom w:w="80" w:type="dxa"/>
              <w:right w:w="100" w:type="dxa"/>
            </w:tcMar>
            <w:vAlign w:val="center"/>
          </w:tcPr>
          <w:p w14:paraId="4CEBD2CB" w14:textId="77777777" w:rsidR="000817FF" w:rsidRDefault="00FB291E">
            <w:pPr>
              <w:jc w:val="center"/>
            </w:pPr>
            <w:r>
              <w:rPr>
                <w:sz w:val="18"/>
              </w:rPr>
              <w:t>1.21%</w:t>
            </w:r>
          </w:p>
        </w:tc>
        <w:tc>
          <w:tcPr>
            <w:tcW w:w="2197" w:type="dxa"/>
            <w:tcMar>
              <w:top w:w="80" w:type="dxa"/>
              <w:left w:w="100" w:type="dxa"/>
              <w:bottom w:w="80" w:type="dxa"/>
              <w:right w:w="100" w:type="dxa"/>
            </w:tcMar>
            <w:vAlign w:val="center"/>
          </w:tcPr>
          <w:p w14:paraId="0E029E59" w14:textId="77777777" w:rsidR="000817FF" w:rsidRDefault="00FB291E">
            <w:pPr>
              <w:jc w:val="center"/>
            </w:pPr>
            <w:r>
              <w:rPr>
                <w:sz w:val="18"/>
              </w:rPr>
              <w:t>16.91%</w:t>
            </w:r>
          </w:p>
        </w:tc>
      </w:tr>
      <w:tr w:rsidR="000817FF" w14:paraId="76A2CC65" w14:textId="77777777">
        <w:tc>
          <w:tcPr>
            <w:tcW w:w="2197" w:type="dxa"/>
            <w:tcMar>
              <w:top w:w="80" w:type="dxa"/>
              <w:left w:w="100" w:type="dxa"/>
              <w:bottom w:w="80" w:type="dxa"/>
              <w:right w:w="100" w:type="dxa"/>
            </w:tcMar>
            <w:vAlign w:val="center"/>
          </w:tcPr>
          <w:p w14:paraId="24F2841C" w14:textId="77777777" w:rsidR="000817FF" w:rsidRDefault="00FB291E">
            <w:pPr>
              <w:jc w:val="center"/>
            </w:pPr>
            <w:r>
              <w:rPr>
                <w:sz w:val="18"/>
              </w:rPr>
              <w:t>GAIT DISTURBANCE</w:t>
            </w:r>
          </w:p>
        </w:tc>
        <w:tc>
          <w:tcPr>
            <w:tcW w:w="2197" w:type="dxa"/>
            <w:tcMar>
              <w:top w:w="80" w:type="dxa"/>
              <w:left w:w="100" w:type="dxa"/>
              <w:bottom w:w="80" w:type="dxa"/>
              <w:right w:w="100" w:type="dxa"/>
            </w:tcMar>
            <w:vAlign w:val="center"/>
          </w:tcPr>
          <w:p w14:paraId="06C2F17B" w14:textId="77777777" w:rsidR="000817FF" w:rsidRDefault="00FB291E">
            <w:pPr>
              <w:jc w:val="center"/>
            </w:pPr>
            <w:r>
              <w:rPr>
                <w:sz w:val="18"/>
              </w:rPr>
              <w:t>3,636</w:t>
            </w:r>
          </w:p>
        </w:tc>
        <w:tc>
          <w:tcPr>
            <w:tcW w:w="2197" w:type="dxa"/>
            <w:tcMar>
              <w:top w:w="80" w:type="dxa"/>
              <w:left w:w="100" w:type="dxa"/>
              <w:bottom w:w="80" w:type="dxa"/>
              <w:right w:w="100" w:type="dxa"/>
            </w:tcMar>
            <w:vAlign w:val="center"/>
          </w:tcPr>
          <w:p w14:paraId="7FB69DD9" w14:textId="77777777" w:rsidR="000817FF" w:rsidRDefault="00FB291E">
            <w:pPr>
              <w:jc w:val="center"/>
            </w:pPr>
            <w:r>
              <w:rPr>
                <w:sz w:val="18"/>
              </w:rPr>
              <w:t>1.01%</w:t>
            </w:r>
          </w:p>
        </w:tc>
        <w:tc>
          <w:tcPr>
            <w:tcW w:w="2197" w:type="dxa"/>
            <w:tcMar>
              <w:top w:w="80" w:type="dxa"/>
              <w:left w:w="100" w:type="dxa"/>
              <w:bottom w:w="80" w:type="dxa"/>
              <w:right w:w="100" w:type="dxa"/>
            </w:tcMar>
            <w:vAlign w:val="center"/>
          </w:tcPr>
          <w:p w14:paraId="1BD28771" w14:textId="77777777" w:rsidR="000817FF" w:rsidRDefault="00FB291E">
            <w:pPr>
              <w:jc w:val="center"/>
            </w:pPr>
            <w:r>
              <w:rPr>
                <w:sz w:val="18"/>
              </w:rPr>
              <w:t>14.13%</w:t>
            </w:r>
          </w:p>
        </w:tc>
      </w:tr>
      <w:tr w:rsidR="000817FF" w14:paraId="6D540CD7" w14:textId="77777777">
        <w:tc>
          <w:tcPr>
            <w:tcW w:w="2197" w:type="dxa"/>
            <w:tcMar>
              <w:top w:w="80" w:type="dxa"/>
              <w:left w:w="100" w:type="dxa"/>
              <w:bottom w:w="80" w:type="dxa"/>
              <w:right w:w="100" w:type="dxa"/>
            </w:tcMar>
            <w:vAlign w:val="center"/>
          </w:tcPr>
          <w:p w14:paraId="5E88306E" w14:textId="77777777" w:rsidR="000817FF" w:rsidRDefault="00FB291E">
            <w:pPr>
              <w:jc w:val="center"/>
            </w:pPr>
            <w:r>
              <w:rPr>
                <w:sz w:val="18"/>
              </w:rPr>
              <w:t>VISUAL IMPAIRMENT</w:t>
            </w:r>
          </w:p>
        </w:tc>
        <w:tc>
          <w:tcPr>
            <w:tcW w:w="2197" w:type="dxa"/>
            <w:tcMar>
              <w:top w:w="80" w:type="dxa"/>
              <w:left w:w="100" w:type="dxa"/>
              <w:bottom w:w="80" w:type="dxa"/>
              <w:right w:w="100" w:type="dxa"/>
            </w:tcMar>
            <w:vAlign w:val="center"/>
          </w:tcPr>
          <w:p w14:paraId="29B6E1FA" w14:textId="77777777" w:rsidR="000817FF" w:rsidRDefault="00FB291E">
            <w:pPr>
              <w:jc w:val="center"/>
            </w:pPr>
            <w:r>
              <w:rPr>
                <w:sz w:val="18"/>
              </w:rPr>
              <w:t>2,762</w:t>
            </w:r>
          </w:p>
        </w:tc>
        <w:tc>
          <w:tcPr>
            <w:tcW w:w="2197" w:type="dxa"/>
            <w:tcMar>
              <w:top w:w="80" w:type="dxa"/>
              <w:left w:w="100" w:type="dxa"/>
              <w:bottom w:w="80" w:type="dxa"/>
              <w:right w:w="100" w:type="dxa"/>
            </w:tcMar>
            <w:vAlign w:val="center"/>
          </w:tcPr>
          <w:p w14:paraId="6807EA84" w14:textId="77777777" w:rsidR="000817FF" w:rsidRDefault="00FB291E">
            <w:pPr>
              <w:jc w:val="center"/>
            </w:pPr>
            <w:r>
              <w:rPr>
                <w:sz w:val="18"/>
              </w:rPr>
              <w:t>0.77%</w:t>
            </w:r>
          </w:p>
        </w:tc>
        <w:tc>
          <w:tcPr>
            <w:tcW w:w="2197" w:type="dxa"/>
            <w:tcMar>
              <w:top w:w="80" w:type="dxa"/>
              <w:left w:w="100" w:type="dxa"/>
              <w:bottom w:w="80" w:type="dxa"/>
              <w:right w:w="100" w:type="dxa"/>
            </w:tcMar>
            <w:vAlign w:val="center"/>
          </w:tcPr>
          <w:p w14:paraId="12BCBAB9" w14:textId="77777777" w:rsidR="000817FF" w:rsidRDefault="00FB291E">
            <w:pPr>
              <w:jc w:val="center"/>
            </w:pPr>
            <w:r>
              <w:rPr>
                <w:sz w:val="18"/>
              </w:rPr>
              <w:t>10.73%</w:t>
            </w:r>
          </w:p>
        </w:tc>
      </w:tr>
      <w:tr w:rsidR="000817FF" w14:paraId="43E4F689" w14:textId="77777777">
        <w:tc>
          <w:tcPr>
            <w:tcW w:w="2197" w:type="dxa"/>
            <w:tcMar>
              <w:top w:w="80" w:type="dxa"/>
              <w:left w:w="100" w:type="dxa"/>
              <w:bottom w:w="80" w:type="dxa"/>
              <w:right w:w="100" w:type="dxa"/>
            </w:tcMar>
            <w:vAlign w:val="center"/>
          </w:tcPr>
          <w:p w14:paraId="4C7D98CE" w14:textId="77777777" w:rsidR="000817FF" w:rsidRDefault="00FB291E">
            <w:pPr>
              <w:jc w:val="center"/>
            </w:pPr>
            <w:r>
              <w:rPr>
                <w:sz w:val="18"/>
              </w:rPr>
              <w:t>BALANCE DISORDER</w:t>
            </w:r>
          </w:p>
        </w:tc>
        <w:tc>
          <w:tcPr>
            <w:tcW w:w="2197" w:type="dxa"/>
            <w:tcMar>
              <w:top w:w="80" w:type="dxa"/>
              <w:left w:w="100" w:type="dxa"/>
              <w:bottom w:w="80" w:type="dxa"/>
              <w:right w:w="100" w:type="dxa"/>
            </w:tcMar>
            <w:vAlign w:val="center"/>
          </w:tcPr>
          <w:p w14:paraId="095BE4B1" w14:textId="77777777" w:rsidR="000817FF" w:rsidRDefault="00FB291E">
            <w:pPr>
              <w:jc w:val="center"/>
            </w:pPr>
            <w:r>
              <w:rPr>
                <w:sz w:val="18"/>
              </w:rPr>
              <w:t>1,816</w:t>
            </w:r>
          </w:p>
        </w:tc>
        <w:tc>
          <w:tcPr>
            <w:tcW w:w="2197" w:type="dxa"/>
            <w:tcMar>
              <w:top w:w="80" w:type="dxa"/>
              <w:left w:w="100" w:type="dxa"/>
              <w:bottom w:w="80" w:type="dxa"/>
              <w:right w:w="100" w:type="dxa"/>
            </w:tcMar>
            <w:vAlign w:val="center"/>
          </w:tcPr>
          <w:p w14:paraId="25610337" w14:textId="77777777" w:rsidR="000817FF" w:rsidRDefault="00FB291E">
            <w:pPr>
              <w:jc w:val="center"/>
            </w:pPr>
            <w:r>
              <w:rPr>
                <w:sz w:val="18"/>
              </w:rPr>
              <w:t>0.51%</w:t>
            </w:r>
          </w:p>
        </w:tc>
        <w:tc>
          <w:tcPr>
            <w:tcW w:w="2197" w:type="dxa"/>
            <w:tcMar>
              <w:top w:w="80" w:type="dxa"/>
              <w:left w:w="100" w:type="dxa"/>
              <w:bottom w:w="80" w:type="dxa"/>
              <w:right w:w="100" w:type="dxa"/>
            </w:tcMar>
            <w:vAlign w:val="center"/>
          </w:tcPr>
          <w:p w14:paraId="15C50F34" w14:textId="77777777" w:rsidR="000817FF" w:rsidRDefault="00FB291E">
            <w:pPr>
              <w:jc w:val="center"/>
            </w:pPr>
            <w:r>
              <w:rPr>
                <w:sz w:val="18"/>
              </w:rPr>
              <w:t>7.06%</w:t>
            </w:r>
          </w:p>
        </w:tc>
      </w:tr>
      <w:tr w:rsidR="000817FF" w14:paraId="49047992" w14:textId="77777777">
        <w:tc>
          <w:tcPr>
            <w:tcW w:w="2197" w:type="dxa"/>
            <w:tcMar>
              <w:top w:w="80" w:type="dxa"/>
              <w:left w:w="100" w:type="dxa"/>
              <w:bottom w:w="80" w:type="dxa"/>
              <w:right w:w="100" w:type="dxa"/>
            </w:tcMar>
            <w:vAlign w:val="center"/>
          </w:tcPr>
          <w:p w14:paraId="41D2CBE6" w14:textId="77777777" w:rsidR="000817FF" w:rsidRDefault="00FB291E">
            <w:pPr>
              <w:jc w:val="center"/>
            </w:pPr>
            <w:r>
              <w:rPr>
                <w:sz w:val="18"/>
              </w:rPr>
              <w:t>GAIT INABILITY</w:t>
            </w:r>
          </w:p>
        </w:tc>
        <w:tc>
          <w:tcPr>
            <w:tcW w:w="2197" w:type="dxa"/>
            <w:tcMar>
              <w:top w:w="80" w:type="dxa"/>
              <w:left w:w="100" w:type="dxa"/>
              <w:bottom w:w="80" w:type="dxa"/>
              <w:right w:w="100" w:type="dxa"/>
            </w:tcMar>
            <w:vAlign w:val="center"/>
          </w:tcPr>
          <w:p w14:paraId="4EE50022" w14:textId="77777777" w:rsidR="000817FF" w:rsidRDefault="00FB291E">
            <w:pPr>
              <w:jc w:val="center"/>
            </w:pPr>
            <w:r>
              <w:rPr>
                <w:sz w:val="18"/>
              </w:rPr>
              <w:t>1,107</w:t>
            </w:r>
          </w:p>
        </w:tc>
        <w:tc>
          <w:tcPr>
            <w:tcW w:w="2197" w:type="dxa"/>
            <w:tcMar>
              <w:top w:w="80" w:type="dxa"/>
              <w:left w:w="100" w:type="dxa"/>
              <w:bottom w:w="80" w:type="dxa"/>
              <w:right w:w="100" w:type="dxa"/>
            </w:tcMar>
            <w:vAlign w:val="center"/>
          </w:tcPr>
          <w:p w14:paraId="4243006D" w14:textId="77777777" w:rsidR="000817FF" w:rsidRDefault="00FB291E">
            <w:pPr>
              <w:jc w:val="center"/>
            </w:pPr>
            <w:r>
              <w:rPr>
                <w:sz w:val="18"/>
              </w:rPr>
              <w:t>0.31%</w:t>
            </w:r>
          </w:p>
        </w:tc>
        <w:tc>
          <w:tcPr>
            <w:tcW w:w="2197" w:type="dxa"/>
            <w:tcMar>
              <w:top w:w="80" w:type="dxa"/>
              <w:left w:w="100" w:type="dxa"/>
              <w:bottom w:w="80" w:type="dxa"/>
              <w:right w:w="100" w:type="dxa"/>
            </w:tcMar>
            <w:vAlign w:val="center"/>
          </w:tcPr>
          <w:p w14:paraId="1F743AE7" w14:textId="77777777" w:rsidR="000817FF" w:rsidRDefault="00FB291E">
            <w:pPr>
              <w:jc w:val="center"/>
            </w:pPr>
            <w:r>
              <w:rPr>
                <w:sz w:val="18"/>
              </w:rPr>
              <w:t>4.30%</w:t>
            </w:r>
          </w:p>
        </w:tc>
      </w:tr>
      <w:tr w:rsidR="000817FF" w14:paraId="194D81D1" w14:textId="77777777">
        <w:tc>
          <w:tcPr>
            <w:tcW w:w="2197" w:type="dxa"/>
            <w:tcMar>
              <w:top w:w="80" w:type="dxa"/>
              <w:left w:w="100" w:type="dxa"/>
              <w:bottom w:w="80" w:type="dxa"/>
              <w:right w:w="100" w:type="dxa"/>
            </w:tcMar>
            <w:vAlign w:val="center"/>
          </w:tcPr>
          <w:p w14:paraId="4BB8C515" w14:textId="77777777" w:rsidR="000817FF" w:rsidRDefault="00FB291E">
            <w:pPr>
              <w:jc w:val="center"/>
            </w:pPr>
            <w:r>
              <w:rPr>
                <w:sz w:val="18"/>
              </w:rPr>
              <w:t>VERTIGO</w:t>
            </w:r>
          </w:p>
        </w:tc>
        <w:tc>
          <w:tcPr>
            <w:tcW w:w="2197" w:type="dxa"/>
            <w:tcMar>
              <w:top w:w="80" w:type="dxa"/>
              <w:left w:w="100" w:type="dxa"/>
              <w:bottom w:w="80" w:type="dxa"/>
              <w:right w:w="100" w:type="dxa"/>
            </w:tcMar>
            <w:vAlign w:val="center"/>
          </w:tcPr>
          <w:p w14:paraId="0A6D97D1" w14:textId="77777777" w:rsidR="000817FF" w:rsidRDefault="00FB291E">
            <w:pPr>
              <w:jc w:val="center"/>
            </w:pPr>
            <w:r>
              <w:rPr>
                <w:sz w:val="18"/>
              </w:rPr>
              <w:t>981</w:t>
            </w:r>
          </w:p>
        </w:tc>
        <w:tc>
          <w:tcPr>
            <w:tcW w:w="2197" w:type="dxa"/>
            <w:tcMar>
              <w:top w:w="80" w:type="dxa"/>
              <w:left w:w="100" w:type="dxa"/>
              <w:bottom w:w="80" w:type="dxa"/>
              <w:right w:w="100" w:type="dxa"/>
            </w:tcMar>
            <w:vAlign w:val="center"/>
          </w:tcPr>
          <w:p w14:paraId="2965D098" w14:textId="77777777" w:rsidR="000817FF" w:rsidRDefault="00FB291E">
            <w:pPr>
              <w:jc w:val="center"/>
            </w:pPr>
            <w:r>
              <w:rPr>
                <w:sz w:val="18"/>
              </w:rPr>
              <w:t>0.27%</w:t>
            </w:r>
          </w:p>
        </w:tc>
        <w:tc>
          <w:tcPr>
            <w:tcW w:w="2197" w:type="dxa"/>
            <w:tcMar>
              <w:top w:w="80" w:type="dxa"/>
              <w:left w:w="100" w:type="dxa"/>
              <w:bottom w:w="80" w:type="dxa"/>
              <w:right w:w="100" w:type="dxa"/>
            </w:tcMar>
            <w:vAlign w:val="center"/>
          </w:tcPr>
          <w:p w14:paraId="42001C61" w14:textId="77777777" w:rsidR="000817FF" w:rsidRDefault="00FB291E">
            <w:pPr>
              <w:jc w:val="center"/>
            </w:pPr>
            <w:r>
              <w:rPr>
                <w:sz w:val="18"/>
              </w:rPr>
              <w:t>3.81%</w:t>
            </w:r>
          </w:p>
        </w:tc>
      </w:tr>
      <w:tr w:rsidR="000817FF" w14:paraId="041FD816" w14:textId="77777777">
        <w:tc>
          <w:tcPr>
            <w:tcW w:w="2197" w:type="dxa"/>
            <w:tcMar>
              <w:top w:w="80" w:type="dxa"/>
              <w:left w:w="100" w:type="dxa"/>
              <w:bottom w:w="80" w:type="dxa"/>
              <w:right w:w="100" w:type="dxa"/>
            </w:tcMar>
            <w:vAlign w:val="center"/>
          </w:tcPr>
          <w:p w14:paraId="4D79FAD4" w14:textId="77777777" w:rsidR="000817FF" w:rsidRDefault="00FB291E">
            <w:r>
              <w:rPr>
                <w:sz w:val="18"/>
              </w:rPr>
              <w:t>ORTHOSTATIC HYPOTENSION</w:t>
            </w:r>
          </w:p>
        </w:tc>
        <w:tc>
          <w:tcPr>
            <w:tcW w:w="2197" w:type="dxa"/>
            <w:tcMar>
              <w:top w:w="80" w:type="dxa"/>
              <w:left w:w="100" w:type="dxa"/>
              <w:bottom w:w="80" w:type="dxa"/>
              <w:right w:w="100" w:type="dxa"/>
            </w:tcMar>
            <w:vAlign w:val="center"/>
          </w:tcPr>
          <w:p w14:paraId="5B9870EE" w14:textId="77777777" w:rsidR="000817FF" w:rsidRDefault="00FB291E">
            <w:pPr>
              <w:jc w:val="center"/>
            </w:pPr>
            <w:r>
              <w:rPr>
                <w:sz w:val="18"/>
              </w:rPr>
              <w:t>521</w:t>
            </w:r>
          </w:p>
        </w:tc>
        <w:tc>
          <w:tcPr>
            <w:tcW w:w="2197" w:type="dxa"/>
            <w:tcMar>
              <w:top w:w="80" w:type="dxa"/>
              <w:left w:w="100" w:type="dxa"/>
              <w:bottom w:w="80" w:type="dxa"/>
              <w:right w:w="100" w:type="dxa"/>
            </w:tcMar>
            <w:vAlign w:val="center"/>
          </w:tcPr>
          <w:p w14:paraId="0231331B" w14:textId="77777777" w:rsidR="000817FF" w:rsidRDefault="00FB291E">
            <w:pPr>
              <w:jc w:val="center"/>
            </w:pPr>
            <w:r>
              <w:rPr>
                <w:sz w:val="18"/>
              </w:rPr>
              <w:t>0.15%</w:t>
            </w:r>
          </w:p>
        </w:tc>
        <w:tc>
          <w:tcPr>
            <w:tcW w:w="2197" w:type="dxa"/>
            <w:tcMar>
              <w:top w:w="80" w:type="dxa"/>
              <w:left w:w="100" w:type="dxa"/>
              <w:bottom w:w="80" w:type="dxa"/>
              <w:right w:w="100" w:type="dxa"/>
            </w:tcMar>
            <w:vAlign w:val="center"/>
          </w:tcPr>
          <w:p w14:paraId="348241B7" w14:textId="77777777" w:rsidR="000817FF" w:rsidRDefault="00FB291E">
            <w:pPr>
              <w:jc w:val="center"/>
            </w:pPr>
            <w:r>
              <w:rPr>
                <w:sz w:val="18"/>
              </w:rPr>
              <w:t>2.02%</w:t>
            </w:r>
          </w:p>
        </w:tc>
      </w:tr>
      <w:tr w:rsidR="000817FF" w14:paraId="7484B23B" w14:textId="77777777">
        <w:tc>
          <w:tcPr>
            <w:tcW w:w="2197" w:type="dxa"/>
            <w:tcMar>
              <w:top w:w="80" w:type="dxa"/>
              <w:left w:w="100" w:type="dxa"/>
              <w:bottom w:w="80" w:type="dxa"/>
              <w:right w:w="100" w:type="dxa"/>
            </w:tcMar>
            <w:vAlign w:val="center"/>
          </w:tcPr>
          <w:p w14:paraId="54B17CDD" w14:textId="77777777" w:rsidR="000817FF" w:rsidRDefault="00FB291E">
            <w:r>
              <w:rPr>
                <w:sz w:val="18"/>
              </w:rPr>
              <w:t>VISUAL ACUITY REDUCED</w:t>
            </w:r>
          </w:p>
        </w:tc>
        <w:tc>
          <w:tcPr>
            <w:tcW w:w="2197" w:type="dxa"/>
            <w:tcMar>
              <w:top w:w="80" w:type="dxa"/>
              <w:left w:w="100" w:type="dxa"/>
              <w:bottom w:w="80" w:type="dxa"/>
              <w:right w:w="100" w:type="dxa"/>
            </w:tcMar>
            <w:vAlign w:val="center"/>
          </w:tcPr>
          <w:p w14:paraId="380FFEF4" w14:textId="77777777" w:rsidR="000817FF" w:rsidRDefault="00FB291E">
            <w:pPr>
              <w:jc w:val="center"/>
            </w:pPr>
            <w:r>
              <w:rPr>
                <w:sz w:val="18"/>
              </w:rPr>
              <w:t>279</w:t>
            </w:r>
          </w:p>
        </w:tc>
        <w:tc>
          <w:tcPr>
            <w:tcW w:w="2197" w:type="dxa"/>
            <w:tcMar>
              <w:top w:w="80" w:type="dxa"/>
              <w:left w:w="100" w:type="dxa"/>
              <w:bottom w:w="80" w:type="dxa"/>
              <w:right w:w="100" w:type="dxa"/>
            </w:tcMar>
            <w:vAlign w:val="center"/>
          </w:tcPr>
          <w:p w14:paraId="58B4BA38" w14:textId="77777777" w:rsidR="000817FF" w:rsidRDefault="00FB291E">
            <w:pPr>
              <w:jc w:val="center"/>
            </w:pPr>
            <w:r>
              <w:rPr>
                <w:sz w:val="18"/>
              </w:rPr>
              <w:t>0.08%</w:t>
            </w:r>
          </w:p>
        </w:tc>
        <w:tc>
          <w:tcPr>
            <w:tcW w:w="2197" w:type="dxa"/>
            <w:tcMar>
              <w:top w:w="80" w:type="dxa"/>
              <w:left w:w="100" w:type="dxa"/>
              <w:bottom w:w="80" w:type="dxa"/>
              <w:right w:w="100" w:type="dxa"/>
            </w:tcMar>
            <w:vAlign w:val="center"/>
          </w:tcPr>
          <w:p w14:paraId="2858DF8B" w14:textId="77777777" w:rsidR="000817FF" w:rsidRDefault="00FB291E">
            <w:pPr>
              <w:jc w:val="center"/>
            </w:pPr>
            <w:r>
              <w:rPr>
                <w:sz w:val="18"/>
              </w:rPr>
              <w:t>1.08%</w:t>
            </w:r>
          </w:p>
        </w:tc>
      </w:tr>
    </w:tbl>
    <w:p w14:paraId="21B6805D" w14:textId="77777777" w:rsidR="000817FF" w:rsidRDefault="000817FF"/>
    <w:p w14:paraId="71673E3B" w14:textId="77777777" w:rsidR="000817FF" w:rsidRDefault="00FB291E">
      <w:pPr>
        <w:spacing w:after="120" w:line="360" w:lineRule="auto"/>
        <w:ind w:firstLine="420"/>
      </w:pPr>
      <w:r>
        <w:t>从 PT 构成看，广义跌倒相关事件（补充）并非单纯扩大为所有非特异性不良事件，而是主要集中在跌倒、低血压、步态异常、视觉障碍、平衡障碍和眩晕等与跌倒机制相关的临床表现。这为后续将广义跌倒作为补充结局提供了一定合理性。</w:t>
      </w:r>
    </w:p>
    <w:p w14:paraId="20CB6475" w14:textId="77777777" w:rsidR="000817FF" w:rsidRDefault="00FB291E">
      <w:pPr>
        <w:pStyle w:val="21"/>
        <w:spacing w:before="160" w:after="80"/>
      </w:pPr>
      <w:bookmarkStart w:id="57" w:name="_Toc230281356"/>
      <w:r>
        <w:rPr>
          <w:rFonts w:ascii="Times New Roman" w:eastAsia="宋体" w:hAnsi="Times New Roman"/>
        </w:rPr>
        <w:t xml:space="preserve">3.7 </w:t>
      </w:r>
      <w:r>
        <w:rPr>
          <w:rFonts w:ascii="Times New Roman" w:eastAsia="宋体" w:hAnsi="Times New Roman"/>
        </w:rPr>
        <w:t>报告国家分布</w:t>
      </w:r>
      <w:bookmarkEnd w:id="57"/>
    </w:p>
    <w:p w14:paraId="35D99C45" w14:textId="77777777" w:rsidR="000817FF" w:rsidRDefault="00FB291E">
      <w:pPr>
        <w:spacing w:after="120" w:line="360" w:lineRule="auto"/>
        <w:ind w:firstLine="420"/>
      </w:pPr>
      <w:r>
        <w:t>本研究进一步分析了 2004-2025 年老年跌倒病例的报告国家分布。以严格 PT 跌倒事件为例，65-74 岁年龄段共纳入 54,217 例严格 PT 跌倒病例，其中美国报告 32,941 例，占 60.76%；加拿大报告 4,772 例，占 8.80%；报告国家未知 3,052 例，占 5.63%；日本、法国、英国和德国也位居前列。</w:t>
      </w:r>
    </w:p>
    <w:p w14:paraId="784CCCA5" w14:textId="77777777" w:rsidR="000817FF" w:rsidRDefault="00FB291E">
      <w:pPr>
        <w:spacing w:after="120" w:line="360" w:lineRule="auto"/>
        <w:ind w:firstLine="420"/>
      </w:pPr>
      <w:r>
        <w:t>广义跌倒相关事件（补充）中，65-74 岁年龄段共纳入 141,597 例病例，其中美国报告 83,769 例，占 59.16%；加拿大报告 9,937 例，占 7.02%；报告国家未知 7,024 例，占 4.96%；英国、法国、德国和日本报告数较多。</w:t>
      </w:r>
    </w:p>
    <w:p w14:paraId="3553BE05" w14:textId="77777777" w:rsidR="000817FF" w:rsidRDefault="00FB291E">
      <w:pPr>
        <w:spacing w:after="120" w:line="360" w:lineRule="auto"/>
        <w:ind w:firstLine="420"/>
      </w:pPr>
      <w:r>
        <w:rPr>
          <w:sz w:val="21"/>
        </w:rPr>
        <w:t>表</w:t>
      </w:r>
      <w:r>
        <w:rPr>
          <w:sz w:val="21"/>
        </w:rPr>
        <w:t xml:space="preserve"> 3-8 </w:t>
      </w:r>
      <w:r>
        <w:rPr>
          <w:sz w:val="21"/>
        </w:rPr>
        <w:t>显示</w:t>
      </w:r>
      <w:r>
        <w:rPr>
          <w:sz w:val="21"/>
        </w:rPr>
        <w:t xml:space="preserve"> 65-74 </w:t>
      </w:r>
      <w:r>
        <w:rPr>
          <w:sz w:val="21"/>
        </w:rPr>
        <w:t>岁年龄段跌倒病例主要报告国家分布。</w:t>
      </w:r>
    </w:p>
    <w:p w14:paraId="68AD84D4" w14:textId="77777777" w:rsidR="000817FF" w:rsidRDefault="00FB291E">
      <w:pPr>
        <w:spacing w:after="120" w:line="360" w:lineRule="auto"/>
        <w:ind w:firstLine="420"/>
      </w:pPr>
      <w:r>
        <w:rPr>
          <w:sz w:val="21"/>
        </w:rPr>
        <w:t>表</w:t>
      </w:r>
      <w:r>
        <w:rPr>
          <w:sz w:val="21"/>
        </w:rPr>
        <w:t xml:space="preserve"> 3-8 2004-2025 </w:t>
      </w:r>
      <w:r>
        <w:rPr>
          <w:sz w:val="21"/>
        </w:rPr>
        <w:t>年</w:t>
      </w:r>
      <w:r>
        <w:rPr>
          <w:sz w:val="21"/>
        </w:rPr>
        <w:t xml:space="preserve"> 65-74 </w:t>
      </w:r>
      <w:r>
        <w:rPr>
          <w:sz w:val="21"/>
        </w:rPr>
        <w:t>岁跌倒病例主要报告国家分布</w:t>
      </w:r>
    </w:p>
    <w:tbl>
      <w:tblPr>
        <w:tblStyle w:val="aff1"/>
        <w:tblW w:w="8788" w:type="dxa"/>
        <w:tblLayout w:type="fixed"/>
        <w:tblLook w:val="04A0" w:firstRow="1" w:lastRow="0" w:firstColumn="1" w:lastColumn="0" w:noHBand="0" w:noVBand="1"/>
      </w:tblPr>
      <w:tblGrid>
        <w:gridCol w:w="2197"/>
        <w:gridCol w:w="2197"/>
        <w:gridCol w:w="2197"/>
        <w:gridCol w:w="2197"/>
      </w:tblGrid>
      <w:tr w:rsidR="000817FF" w14:paraId="34869308" w14:textId="77777777">
        <w:tc>
          <w:tcPr>
            <w:tcW w:w="2197" w:type="dxa"/>
            <w:shd w:val="clear" w:color="auto" w:fill="EDEDED"/>
            <w:tcMar>
              <w:top w:w="80" w:type="dxa"/>
              <w:left w:w="100" w:type="dxa"/>
              <w:bottom w:w="80" w:type="dxa"/>
              <w:right w:w="100" w:type="dxa"/>
            </w:tcMar>
            <w:vAlign w:val="center"/>
          </w:tcPr>
          <w:p w14:paraId="63CDB000" w14:textId="77777777" w:rsidR="000817FF" w:rsidRDefault="00FB291E">
            <w:pPr>
              <w:jc w:val="center"/>
            </w:pPr>
            <w:r>
              <w:rPr>
                <w:b/>
                <w:sz w:val="18"/>
              </w:rPr>
              <w:lastRenderedPageBreak/>
              <w:t>结局口径</w:t>
            </w:r>
          </w:p>
        </w:tc>
        <w:tc>
          <w:tcPr>
            <w:tcW w:w="2197" w:type="dxa"/>
            <w:shd w:val="clear" w:color="auto" w:fill="EDEDED"/>
            <w:tcMar>
              <w:top w:w="80" w:type="dxa"/>
              <w:left w:w="100" w:type="dxa"/>
              <w:bottom w:w="80" w:type="dxa"/>
              <w:right w:w="100" w:type="dxa"/>
            </w:tcMar>
            <w:vAlign w:val="center"/>
          </w:tcPr>
          <w:p w14:paraId="64E5DAEC" w14:textId="77777777" w:rsidR="000817FF" w:rsidRDefault="00FB291E">
            <w:pPr>
              <w:jc w:val="center"/>
            </w:pPr>
            <w:r>
              <w:rPr>
                <w:b/>
                <w:sz w:val="18"/>
              </w:rPr>
              <w:t>报告国家</w:t>
            </w:r>
          </w:p>
        </w:tc>
        <w:tc>
          <w:tcPr>
            <w:tcW w:w="2197" w:type="dxa"/>
            <w:shd w:val="clear" w:color="auto" w:fill="EDEDED"/>
            <w:tcMar>
              <w:top w:w="80" w:type="dxa"/>
              <w:left w:w="100" w:type="dxa"/>
              <w:bottom w:w="80" w:type="dxa"/>
              <w:right w:w="100" w:type="dxa"/>
            </w:tcMar>
            <w:vAlign w:val="center"/>
          </w:tcPr>
          <w:p w14:paraId="610C714A" w14:textId="77777777" w:rsidR="000817FF" w:rsidRDefault="00FB291E">
            <w:pPr>
              <w:jc w:val="center"/>
            </w:pPr>
            <w:r>
              <w:rPr>
                <w:b/>
                <w:sz w:val="18"/>
              </w:rPr>
              <w:t>报告数</w:t>
            </w:r>
          </w:p>
        </w:tc>
        <w:tc>
          <w:tcPr>
            <w:tcW w:w="2197" w:type="dxa"/>
            <w:shd w:val="clear" w:color="auto" w:fill="EDEDED"/>
            <w:tcMar>
              <w:top w:w="80" w:type="dxa"/>
              <w:left w:w="100" w:type="dxa"/>
              <w:bottom w:w="80" w:type="dxa"/>
              <w:right w:w="100" w:type="dxa"/>
            </w:tcMar>
            <w:vAlign w:val="center"/>
          </w:tcPr>
          <w:p w14:paraId="356310C1" w14:textId="77777777" w:rsidR="000817FF" w:rsidRDefault="00FB291E">
            <w:pPr>
              <w:jc w:val="center"/>
            </w:pPr>
            <w:r>
              <w:rPr>
                <w:b/>
                <w:sz w:val="18"/>
              </w:rPr>
              <w:t>构成比</w:t>
            </w:r>
          </w:p>
        </w:tc>
      </w:tr>
      <w:tr w:rsidR="000817FF" w14:paraId="2C57C68C" w14:textId="77777777">
        <w:tc>
          <w:tcPr>
            <w:tcW w:w="2197" w:type="dxa"/>
            <w:tcMar>
              <w:top w:w="80" w:type="dxa"/>
              <w:left w:w="100" w:type="dxa"/>
              <w:bottom w:w="80" w:type="dxa"/>
              <w:right w:w="100" w:type="dxa"/>
            </w:tcMar>
            <w:vAlign w:val="center"/>
          </w:tcPr>
          <w:p w14:paraId="29C3685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8874BB7"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9709176" w14:textId="77777777" w:rsidR="000817FF" w:rsidRDefault="00FB291E">
            <w:pPr>
              <w:jc w:val="center"/>
            </w:pPr>
            <w:r>
              <w:rPr>
                <w:sz w:val="18"/>
              </w:rPr>
              <w:t>32,941</w:t>
            </w:r>
          </w:p>
        </w:tc>
        <w:tc>
          <w:tcPr>
            <w:tcW w:w="2197" w:type="dxa"/>
            <w:tcMar>
              <w:top w:w="80" w:type="dxa"/>
              <w:left w:w="100" w:type="dxa"/>
              <w:bottom w:w="80" w:type="dxa"/>
              <w:right w:w="100" w:type="dxa"/>
            </w:tcMar>
            <w:vAlign w:val="center"/>
          </w:tcPr>
          <w:p w14:paraId="3E891783" w14:textId="77777777" w:rsidR="000817FF" w:rsidRDefault="00FB291E">
            <w:pPr>
              <w:jc w:val="center"/>
            </w:pPr>
            <w:r>
              <w:rPr>
                <w:sz w:val="18"/>
              </w:rPr>
              <w:t>60.76%</w:t>
            </w:r>
          </w:p>
        </w:tc>
      </w:tr>
      <w:tr w:rsidR="000817FF" w14:paraId="243AD8C1" w14:textId="77777777">
        <w:tc>
          <w:tcPr>
            <w:tcW w:w="2197" w:type="dxa"/>
            <w:tcMar>
              <w:top w:w="80" w:type="dxa"/>
              <w:left w:w="100" w:type="dxa"/>
              <w:bottom w:w="80" w:type="dxa"/>
              <w:right w:w="100" w:type="dxa"/>
            </w:tcMar>
            <w:vAlign w:val="center"/>
          </w:tcPr>
          <w:p w14:paraId="3E68A70D"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4FDD6E6B"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7CE1F0C2" w14:textId="77777777" w:rsidR="000817FF" w:rsidRDefault="00FB291E">
            <w:pPr>
              <w:jc w:val="center"/>
            </w:pPr>
            <w:r>
              <w:rPr>
                <w:sz w:val="18"/>
              </w:rPr>
              <w:t>4,772</w:t>
            </w:r>
          </w:p>
        </w:tc>
        <w:tc>
          <w:tcPr>
            <w:tcW w:w="2197" w:type="dxa"/>
            <w:tcMar>
              <w:top w:w="80" w:type="dxa"/>
              <w:left w:w="100" w:type="dxa"/>
              <w:bottom w:w="80" w:type="dxa"/>
              <w:right w:w="100" w:type="dxa"/>
            </w:tcMar>
            <w:vAlign w:val="center"/>
          </w:tcPr>
          <w:p w14:paraId="02DE4648" w14:textId="77777777" w:rsidR="000817FF" w:rsidRDefault="00FB291E">
            <w:pPr>
              <w:jc w:val="center"/>
            </w:pPr>
            <w:r>
              <w:rPr>
                <w:sz w:val="18"/>
              </w:rPr>
              <w:t>8.80%</w:t>
            </w:r>
          </w:p>
        </w:tc>
      </w:tr>
      <w:tr w:rsidR="000817FF" w14:paraId="28A29FF5" w14:textId="77777777">
        <w:tc>
          <w:tcPr>
            <w:tcW w:w="2197" w:type="dxa"/>
            <w:tcMar>
              <w:top w:w="80" w:type="dxa"/>
              <w:left w:w="100" w:type="dxa"/>
              <w:bottom w:w="80" w:type="dxa"/>
              <w:right w:w="100" w:type="dxa"/>
            </w:tcMar>
            <w:vAlign w:val="center"/>
          </w:tcPr>
          <w:p w14:paraId="009A181F"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329C03A0"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643EAF8" w14:textId="77777777" w:rsidR="000817FF" w:rsidRDefault="00FB291E">
            <w:pPr>
              <w:jc w:val="center"/>
            </w:pPr>
            <w:r>
              <w:rPr>
                <w:sz w:val="18"/>
              </w:rPr>
              <w:t>3,052</w:t>
            </w:r>
          </w:p>
        </w:tc>
        <w:tc>
          <w:tcPr>
            <w:tcW w:w="2197" w:type="dxa"/>
            <w:tcMar>
              <w:top w:w="80" w:type="dxa"/>
              <w:left w:w="100" w:type="dxa"/>
              <w:bottom w:w="80" w:type="dxa"/>
              <w:right w:w="100" w:type="dxa"/>
            </w:tcMar>
            <w:vAlign w:val="center"/>
          </w:tcPr>
          <w:p w14:paraId="1699E2E8" w14:textId="77777777" w:rsidR="000817FF" w:rsidRDefault="00FB291E">
            <w:pPr>
              <w:jc w:val="center"/>
            </w:pPr>
            <w:r>
              <w:rPr>
                <w:sz w:val="18"/>
              </w:rPr>
              <w:t>5.63%</w:t>
            </w:r>
          </w:p>
        </w:tc>
      </w:tr>
      <w:tr w:rsidR="000817FF" w14:paraId="4DECAC7B" w14:textId="77777777">
        <w:tc>
          <w:tcPr>
            <w:tcW w:w="2197" w:type="dxa"/>
            <w:tcMar>
              <w:top w:w="80" w:type="dxa"/>
              <w:left w:w="100" w:type="dxa"/>
              <w:bottom w:w="80" w:type="dxa"/>
              <w:right w:w="100" w:type="dxa"/>
            </w:tcMar>
            <w:vAlign w:val="center"/>
          </w:tcPr>
          <w:p w14:paraId="01DF48A5"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6DF29A79"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0F1D02D2" w14:textId="77777777" w:rsidR="000817FF" w:rsidRDefault="00FB291E">
            <w:pPr>
              <w:jc w:val="center"/>
            </w:pPr>
            <w:r>
              <w:rPr>
                <w:sz w:val="18"/>
              </w:rPr>
              <w:t>1,751</w:t>
            </w:r>
          </w:p>
        </w:tc>
        <w:tc>
          <w:tcPr>
            <w:tcW w:w="2197" w:type="dxa"/>
            <w:tcMar>
              <w:top w:w="80" w:type="dxa"/>
              <w:left w:w="100" w:type="dxa"/>
              <w:bottom w:w="80" w:type="dxa"/>
              <w:right w:w="100" w:type="dxa"/>
            </w:tcMar>
            <w:vAlign w:val="center"/>
          </w:tcPr>
          <w:p w14:paraId="6701DF9E" w14:textId="77777777" w:rsidR="000817FF" w:rsidRDefault="00FB291E">
            <w:pPr>
              <w:jc w:val="center"/>
            </w:pPr>
            <w:r>
              <w:rPr>
                <w:sz w:val="18"/>
              </w:rPr>
              <w:t>3.23%</w:t>
            </w:r>
          </w:p>
        </w:tc>
      </w:tr>
      <w:tr w:rsidR="000817FF" w14:paraId="67E02BB8" w14:textId="77777777">
        <w:tc>
          <w:tcPr>
            <w:tcW w:w="2197" w:type="dxa"/>
            <w:tcMar>
              <w:top w:w="80" w:type="dxa"/>
              <w:left w:w="100" w:type="dxa"/>
              <w:bottom w:w="80" w:type="dxa"/>
              <w:right w:w="100" w:type="dxa"/>
            </w:tcMar>
            <w:vAlign w:val="center"/>
          </w:tcPr>
          <w:p w14:paraId="0BA1BCBC"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6D227CD"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574DC374" w14:textId="77777777" w:rsidR="000817FF" w:rsidRDefault="00FB291E">
            <w:pPr>
              <w:jc w:val="center"/>
            </w:pPr>
            <w:r>
              <w:rPr>
                <w:sz w:val="18"/>
              </w:rPr>
              <w:t>1,679</w:t>
            </w:r>
          </w:p>
        </w:tc>
        <w:tc>
          <w:tcPr>
            <w:tcW w:w="2197" w:type="dxa"/>
            <w:tcMar>
              <w:top w:w="80" w:type="dxa"/>
              <w:left w:w="100" w:type="dxa"/>
              <w:bottom w:w="80" w:type="dxa"/>
              <w:right w:w="100" w:type="dxa"/>
            </w:tcMar>
            <w:vAlign w:val="center"/>
          </w:tcPr>
          <w:p w14:paraId="5D502D21" w14:textId="77777777" w:rsidR="000817FF" w:rsidRDefault="00FB291E">
            <w:pPr>
              <w:jc w:val="center"/>
            </w:pPr>
            <w:r>
              <w:rPr>
                <w:sz w:val="18"/>
              </w:rPr>
              <w:t>3.10%</w:t>
            </w:r>
          </w:p>
        </w:tc>
      </w:tr>
      <w:tr w:rsidR="000817FF" w14:paraId="03C1C8BE" w14:textId="77777777">
        <w:tc>
          <w:tcPr>
            <w:tcW w:w="2197" w:type="dxa"/>
            <w:tcMar>
              <w:top w:w="80" w:type="dxa"/>
              <w:left w:w="100" w:type="dxa"/>
              <w:bottom w:w="80" w:type="dxa"/>
              <w:right w:w="100" w:type="dxa"/>
            </w:tcMar>
            <w:vAlign w:val="center"/>
          </w:tcPr>
          <w:p w14:paraId="1DFA1ECB"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1F7C0945"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747C6664" w14:textId="77777777" w:rsidR="000817FF" w:rsidRDefault="00FB291E">
            <w:pPr>
              <w:jc w:val="center"/>
            </w:pPr>
            <w:r>
              <w:rPr>
                <w:sz w:val="18"/>
              </w:rPr>
              <w:t>1,675</w:t>
            </w:r>
          </w:p>
        </w:tc>
        <w:tc>
          <w:tcPr>
            <w:tcW w:w="2197" w:type="dxa"/>
            <w:tcMar>
              <w:top w:w="80" w:type="dxa"/>
              <w:left w:w="100" w:type="dxa"/>
              <w:bottom w:w="80" w:type="dxa"/>
              <w:right w:w="100" w:type="dxa"/>
            </w:tcMar>
            <w:vAlign w:val="center"/>
          </w:tcPr>
          <w:p w14:paraId="637111B9" w14:textId="77777777" w:rsidR="000817FF" w:rsidRDefault="00FB291E">
            <w:pPr>
              <w:jc w:val="center"/>
            </w:pPr>
            <w:r>
              <w:rPr>
                <w:sz w:val="18"/>
              </w:rPr>
              <w:t>3.09%</w:t>
            </w:r>
          </w:p>
        </w:tc>
      </w:tr>
      <w:tr w:rsidR="000817FF" w14:paraId="0341E144" w14:textId="77777777">
        <w:tc>
          <w:tcPr>
            <w:tcW w:w="2197" w:type="dxa"/>
            <w:tcMar>
              <w:top w:w="80" w:type="dxa"/>
              <w:left w:w="100" w:type="dxa"/>
              <w:bottom w:w="80" w:type="dxa"/>
              <w:right w:w="100" w:type="dxa"/>
            </w:tcMar>
            <w:vAlign w:val="center"/>
          </w:tcPr>
          <w:p w14:paraId="3C3ECF08" w14:textId="77777777" w:rsidR="000817FF" w:rsidRDefault="00FB291E">
            <w:pPr>
              <w:jc w:val="center"/>
            </w:pPr>
            <w:r>
              <w:t>严格 PT 跌倒</w:t>
            </w:r>
          </w:p>
        </w:tc>
        <w:tc>
          <w:tcPr>
            <w:tcW w:w="2197" w:type="dxa"/>
            <w:tcMar>
              <w:top w:w="80" w:type="dxa"/>
              <w:left w:w="100" w:type="dxa"/>
              <w:bottom w:w="80" w:type="dxa"/>
              <w:right w:w="100" w:type="dxa"/>
            </w:tcMar>
            <w:vAlign w:val="center"/>
          </w:tcPr>
          <w:p w14:paraId="50992D9D"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1F77B35C" w14:textId="77777777" w:rsidR="000817FF" w:rsidRDefault="00FB291E">
            <w:pPr>
              <w:jc w:val="center"/>
            </w:pPr>
            <w:r>
              <w:rPr>
                <w:sz w:val="18"/>
              </w:rPr>
              <w:t>1,588</w:t>
            </w:r>
          </w:p>
        </w:tc>
        <w:tc>
          <w:tcPr>
            <w:tcW w:w="2197" w:type="dxa"/>
            <w:tcMar>
              <w:top w:w="80" w:type="dxa"/>
              <w:left w:w="100" w:type="dxa"/>
              <w:bottom w:w="80" w:type="dxa"/>
              <w:right w:w="100" w:type="dxa"/>
            </w:tcMar>
            <w:vAlign w:val="center"/>
          </w:tcPr>
          <w:p w14:paraId="4E28834C" w14:textId="77777777" w:rsidR="000817FF" w:rsidRDefault="00FB291E">
            <w:pPr>
              <w:jc w:val="center"/>
            </w:pPr>
            <w:r>
              <w:rPr>
                <w:sz w:val="18"/>
              </w:rPr>
              <w:t>2.93%</w:t>
            </w:r>
          </w:p>
        </w:tc>
      </w:tr>
      <w:tr w:rsidR="000817FF" w14:paraId="6D3BC4E7" w14:textId="77777777">
        <w:tc>
          <w:tcPr>
            <w:tcW w:w="2197" w:type="dxa"/>
            <w:tcMar>
              <w:top w:w="80" w:type="dxa"/>
              <w:left w:w="100" w:type="dxa"/>
              <w:bottom w:w="80" w:type="dxa"/>
              <w:right w:w="100" w:type="dxa"/>
            </w:tcMar>
            <w:vAlign w:val="center"/>
          </w:tcPr>
          <w:p w14:paraId="116B9B56"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6832FD78" w14:textId="77777777" w:rsidR="000817FF" w:rsidRDefault="00FB291E">
            <w:pPr>
              <w:jc w:val="center"/>
            </w:pPr>
            <w:r>
              <w:rPr>
                <w:sz w:val="18"/>
              </w:rPr>
              <w:t>US</w:t>
            </w:r>
          </w:p>
        </w:tc>
        <w:tc>
          <w:tcPr>
            <w:tcW w:w="2197" w:type="dxa"/>
            <w:tcMar>
              <w:top w:w="80" w:type="dxa"/>
              <w:left w:w="100" w:type="dxa"/>
              <w:bottom w:w="80" w:type="dxa"/>
              <w:right w:w="100" w:type="dxa"/>
            </w:tcMar>
            <w:vAlign w:val="center"/>
          </w:tcPr>
          <w:p w14:paraId="0732E387" w14:textId="77777777" w:rsidR="000817FF" w:rsidRDefault="00FB291E">
            <w:pPr>
              <w:jc w:val="center"/>
            </w:pPr>
            <w:r>
              <w:rPr>
                <w:sz w:val="18"/>
              </w:rPr>
              <w:t>83,769</w:t>
            </w:r>
          </w:p>
        </w:tc>
        <w:tc>
          <w:tcPr>
            <w:tcW w:w="2197" w:type="dxa"/>
            <w:tcMar>
              <w:top w:w="80" w:type="dxa"/>
              <w:left w:w="100" w:type="dxa"/>
              <w:bottom w:w="80" w:type="dxa"/>
              <w:right w:w="100" w:type="dxa"/>
            </w:tcMar>
            <w:vAlign w:val="center"/>
          </w:tcPr>
          <w:p w14:paraId="464F59FB" w14:textId="77777777" w:rsidR="000817FF" w:rsidRDefault="00FB291E">
            <w:pPr>
              <w:jc w:val="center"/>
            </w:pPr>
            <w:r>
              <w:rPr>
                <w:sz w:val="18"/>
              </w:rPr>
              <w:t>59.16%</w:t>
            </w:r>
          </w:p>
        </w:tc>
      </w:tr>
      <w:tr w:rsidR="000817FF" w14:paraId="3EF9BAA7" w14:textId="77777777">
        <w:tc>
          <w:tcPr>
            <w:tcW w:w="2197" w:type="dxa"/>
            <w:tcMar>
              <w:top w:w="80" w:type="dxa"/>
              <w:left w:w="100" w:type="dxa"/>
              <w:bottom w:w="80" w:type="dxa"/>
              <w:right w:w="100" w:type="dxa"/>
            </w:tcMar>
            <w:vAlign w:val="center"/>
          </w:tcPr>
          <w:p w14:paraId="28FDC024"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9C0E00C" w14:textId="77777777" w:rsidR="000817FF" w:rsidRDefault="00FB291E">
            <w:pPr>
              <w:jc w:val="center"/>
            </w:pPr>
            <w:r>
              <w:rPr>
                <w:sz w:val="18"/>
              </w:rPr>
              <w:t>CA</w:t>
            </w:r>
          </w:p>
        </w:tc>
        <w:tc>
          <w:tcPr>
            <w:tcW w:w="2197" w:type="dxa"/>
            <w:tcMar>
              <w:top w:w="80" w:type="dxa"/>
              <w:left w:w="100" w:type="dxa"/>
              <w:bottom w:w="80" w:type="dxa"/>
              <w:right w:w="100" w:type="dxa"/>
            </w:tcMar>
            <w:vAlign w:val="center"/>
          </w:tcPr>
          <w:p w14:paraId="67600453" w14:textId="77777777" w:rsidR="000817FF" w:rsidRDefault="00FB291E">
            <w:pPr>
              <w:jc w:val="center"/>
            </w:pPr>
            <w:r>
              <w:rPr>
                <w:sz w:val="18"/>
              </w:rPr>
              <w:t>9,937</w:t>
            </w:r>
          </w:p>
        </w:tc>
        <w:tc>
          <w:tcPr>
            <w:tcW w:w="2197" w:type="dxa"/>
            <w:tcMar>
              <w:top w:w="80" w:type="dxa"/>
              <w:left w:w="100" w:type="dxa"/>
              <w:bottom w:w="80" w:type="dxa"/>
              <w:right w:w="100" w:type="dxa"/>
            </w:tcMar>
            <w:vAlign w:val="center"/>
          </w:tcPr>
          <w:p w14:paraId="6992C76E" w14:textId="77777777" w:rsidR="000817FF" w:rsidRDefault="00FB291E">
            <w:pPr>
              <w:jc w:val="center"/>
            </w:pPr>
            <w:r>
              <w:rPr>
                <w:sz w:val="18"/>
              </w:rPr>
              <w:t>7.02%</w:t>
            </w:r>
          </w:p>
        </w:tc>
      </w:tr>
      <w:tr w:rsidR="000817FF" w14:paraId="66B28983" w14:textId="77777777">
        <w:tc>
          <w:tcPr>
            <w:tcW w:w="2197" w:type="dxa"/>
            <w:tcMar>
              <w:top w:w="80" w:type="dxa"/>
              <w:left w:w="100" w:type="dxa"/>
              <w:bottom w:w="80" w:type="dxa"/>
              <w:right w:w="100" w:type="dxa"/>
            </w:tcMar>
            <w:vAlign w:val="center"/>
          </w:tcPr>
          <w:p w14:paraId="0D7A5D88"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A62DB1C" w14:textId="77777777" w:rsidR="000817FF" w:rsidRDefault="00FB291E">
            <w:pPr>
              <w:jc w:val="center"/>
            </w:pPr>
            <w:r>
              <w:rPr>
                <w:sz w:val="18"/>
              </w:rPr>
              <w:t>UNKNOWN</w:t>
            </w:r>
          </w:p>
        </w:tc>
        <w:tc>
          <w:tcPr>
            <w:tcW w:w="2197" w:type="dxa"/>
            <w:tcMar>
              <w:top w:w="80" w:type="dxa"/>
              <w:left w:w="100" w:type="dxa"/>
              <w:bottom w:w="80" w:type="dxa"/>
              <w:right w:w="100" w:type="dxa"/>
            </w:tcMar>
            <w:vAlign w:val="center"/>
          </w:tcPr>
          <w:p w14:paraId="2D7C9D8F" w14:textId="77777777" w:rsidR="000817FF" w:rsidRDefault="00FB291E">
            <w:pPr>
              <w:jc w:val="center"/>
            </w:pPr>
            <w:r>
              <w:rPr>
                <w:sz w:val="18"/>
              </w:rPr>
              <w:t>7,024</w:t>
            </w:r>
          </w:p>
        </w:tc>
        <w:tc>
          <w:tcPr>
            <w:tcW w:w="2197" w:type="dxa"/>
            <w:tcMar>
              <w:top w:w="80" w:type="dxa"/>
              <w:left w:w="100" w:type="dxa"/>
              <w:bottom w:w="80" w:type="dxa"/>
              <w:right w:w="100" w:type="dxa"/>
            </w:tcMar>
            <w:vAlign w:val="center"/>
          </w:tcPr>
          <w:p w14:paraId="20B54F5E" w14:textId="77777777" w:rsidR="000817FF" w:rsidRDefault="00FB291E">
            <w:pPr>
              <w:jc w:val="center"/>
            </w:pPr>
            <w:r>
              <w:rPr>
                <w:sz w:val="18"/>
              </w:rPr>
              <w:t>4.96%</w:t>
            </w:r>
          </w:p>
        </w:tc>
      </w:tr>
      <w:tr w:rsidR="000817FF" w14:paraId="7D93C909" w14:textId="77777777">
        <w:tc>
          <w:tcPr>
            <w:tcW w:w="2197" w:type="dxa"/>
            <w:tcMar>
              <w:top w:w="80" w:type="dxa"/>
              <w:left w:w="100" w:type="dxa"/>
              <w:bottom w:w="80" w:type="dxa"/>
              <w:right w:w="100" w:type="dxa"/>
            </w:tcMar>
            <w:vAlign w:val="center"/>
          </w:tcPr>
          <w:p w14:paraId="6A52418D"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70A9ABB1" w14:textId="77777777" w:rsidR="000817FF" w:rsidRDefault="00FB291E">
            <w:pPr>
              <w:jc w:val="center"/>
            </w:pPr>
            <w:r>
              <w:rPr>
                <w:sz w:val="18"/>
              </w:rPr>
              <w:t>GB</w:t>
            </w:r>
          </w:p>
        </w:tc>
        <w:tc>
          <w:tcPr>
            <w:tcW w:w="2197" w:type="dxa"/>
            <w:tcMar>
              <w:top w:w="80" w:type="dxa"/>
              <w:left w:w="100" w:type="dxa"/>
              <w:bottom w:w="80" w:type="dxa"/>
              <w:right w:w="100" w:type="dxa"/>
            </w:tcMar>
            <w:vAlign w:val="center"/>
          </w:tcPr>
          <w:p w14:paraId="382C8D9A" w14:textId="77777777" w:rsidR="000817FF" w:rsidRDefault="00FB291E">
            <w:pPr>
              <w:jc w:val="center"/>
            </w:pPr>
            <w:r>
              <w:rPr>
                <w:sz w:val="18"/>
              </w:rPr>
              <w:t>5,804</w:t>
            </w:r>
          </w:p>
        </w:tc>
        <w:tc>
          <w:tcPr>
            <w:tcW w:w="2197" w:type="dxa"/>
            <w:tcMar>
              <w:top w:w="80" w:type="dxa"/>
              <w:left w:w="100" w:type="dxa"/>
              <w:bottom w:w="80" w:type="dxa"/>
              <w:right w:w="100" w:type="dxa"/>
            </w:tcMar>
            <w:vAlign w:val="center"/>
          </w:tcPr>
          <w:p w14:paraId="204120CB" w14:textId="77777777" w:rsidR="000817FF" w:rsidRDefault="00FB291E">
            <w:pPr>
              <w:jc w:val="center"/>
            </w:pPr>
            <w:r>
              <w:rPr>
                <w:sz w:val="18"/>
              </w:rPr>
              <w:t>4.10%</w:t>
            </w:r>
          </w:p>
        </w:tc>
      </w:tr>
      <w:tr w:rsidR="000817FF" w14:paraId="20F065B9" w14:textId="77777777">
        <w:tc>
          <w:tcPr>
            <w:tcW w:w="2197" w:type="dxa"/>
            <w:tcMar>
              <w:top w:w="80" w:type="dxa"/>
              <w:left w:w="100" w:type="dxa"/>
              <w:bottom w:w="80" w:type="dxa"/>
              <w:right w:w="100" w:type="dxa"/>
            </w:tcMar>
            <w:vAlign w:val="center"/>
          </w:tcPr>
          <w:p w14:paraId="29944E70"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3991F561" w14:textId="77777777" w:rsidR="000817FF" w:rsidRDefault="00FB291E">
            <w:pPr>
              <w:jc w:val="center"/>
            </w:pPr>
            <w:r>
              <w:rPr>
                <w:sz w:val="18"/>
              </w:rPr>
              <w:t>FR</w:t>
            </w:r>
          </w:p>
        </w:tc>
        <w:tc>
          <w:tcPr>
            <w:tcW w:w="2197" w:type="dxa"/>
            <w:tcMar>
              <w:top w:w="80" w:type="dxa"/>
              <w:left w:w="100" w:type="dxa"/>
              <w:bottom w:w="80" w:type="dxa"/>
              <w:right w:w="100" w:type="dxa"/>
            </w:tcMar>
            <w:vAlign w:val="center"/>
          </w:tcPr>
          <w:p w14:paraId="2F7F6A26" w14:textId="77777777" w:rsidR="000817FF" w:rsidRDefault="00FB291E">
            <w:pPr>
              <w:jc w:val="center"/>
            </w:pPr>
            <w:r>
              <w:rPr>
                <w:sz w:val="18"/>
              </w:rPr>
              <w:t>5,679</w:t>
            </w:r>
          </w:p>
        </w:tc>
        <w:tc>
          <w:tcPr>
            <w:tcW w:w="2197" w:type="dxa"/>
            <w:tcMar>
              <w:top w:w="80" w:type="dxa"/>
              <w:left w:w="100" w:type="dxa"/>
              <w:bottom w:w="80" w:type="dxa"/>
              <w:right w:w="100" w:type="dxa"/>
            </w:tcMar>
            <w:vAlign w:val="center"/>
          </w:tcPr>
          <w:p w14:paraId="4617FA76" w14:textId="77777777" w:rsidR="000817FF" w:rsidRDefault="00FB291E">
            <w:pPr>
              <w:jc w:val="center"/>
            </w:pPr>
            <w:r>
              <w:rPr>
                <w:sz w:val="18"/>
              </w:rPr>
              <w:t>4.01%</w:t>
            </w:r>
          </w:p>
        </w:tc>
      </w:tr>
      <w:tr w:rsidR="000817FF" w14:paraId="0D3B45D2" w14:textId="77777777">
        <w:tc>
          <w:tcPr>
            <w:tcW w:w="2197" w:type="dxa"/>
            <w:tcMar>
              <w:top w:w="80" w:type="dxa"/>
              <w:left w:w="100" w:type="dxa"/>
              <w:bottom w:w="80" w:type="dxa"/>
              <w:right w:w="100" w:type="dxa"/>
            </w:tcMar>
            <w:vAlign w:val="center"/>
          </w:tcPr>
          <w:p w14:paraId="417B306A"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DFD33EB" w14:textId="77777777" w:rsidR="000817FF" w:rsidRDefault="00FB291E">
            <w:pPr>
              <w:jc w:val="center"/>
            </w:pPr>
            <w:r>
              <w:rPr>
                <w:sz w:val="18"/>
              </w:rPr>
              <w:t>DE</w:t>
            </w:r>
          </w:p>
        </w:tc>
        <w:tc>
          <w:tcPr>
            <w:tcW w:w="2197" w:type="dxa"/>
            <w:tcMar>
              <w:top w:w="80" w:type="dxa"/>
              <w:left w:w="100" w:type="dxa"/>
              <w:bottom w:w="80" w:type="dxa"/>
              <w:right w:w="100" w:type="dxa"/>
            </w:tcMar>
            <w:vAlign w:val="center"/>
          </w:tcPr>
          <w:p w14:paraId="65BD76F1" w14:textId="77777777" w:rsidR="000817FF" w:rsidRDefault="00FB291E">
            <w:pPr>
              <w:jc w:val="center"/>
            </w:pPr>
            <w:r>
              <w:rPr>
                <w:sz w:val="18"/>
              </w:rPr>
              <w:t>4,037</w:t>
            </w:r>
          </w:p>
        </w:tc>
        <w:tc>
          <w:tcPr>
            <w:tcW w:w="2197" w:type="dxa"/>
            <w:tcMar>
              <w:top w:w="80" w:type="dxa"/>
              <w:left w:w="100" w:type="dxa"/>
              <w:bottom w:w="80" w:type="dxa"/>
              <w:right w:w="100" w:type="dxa"/>
            </w:tcMar>
            <w:vAlign w:val="center"/>
          </w:tcPr>
          <w:p w14:paraId="3088DAB6" w14:textId="77777777" w:rsidR="000817FF" w:rsidRDefault="00FB291E">
            <w:pPr>
              <w:jc w:val="center"/>
            </w:pPr>
            <w:r>
              <w:rPr>
                <w:sz w:val="18"/>
              </w:rPr>
              <w:t>2.85%</w:t>
            </w:r>
          </w:p>
        </w:tc>
      </w:tr>
      <w:tr w:rsidR="000817FF" w14:paraId="464669FA" w14:textId="77777777">
        <w:tc>
          <w:tcPr>
            <w:tcW w:w="2197" w:type="dxa"/>
            <w:tcMar>
              <w:top w:w="80" w:type="dxa"/>
              <w:left w:w="100" w:type="dxa"/>
              <w:bottom w:w="80" w:type="dxa"/>
              <w:right w:w="100" w:type="dxa"/>
            </w:tcMar>
            <w:vAlign w:val="center"/>
          </w:tcPr>
          <w:p w14:paraId="35F24AA1" w14:textId="77777777" w:rsidR="000817FF" w:rsidRDefault="00FB291E">
            <w:pPr>
              <w:jc w:val="center"/>
            </w:pPr>
            <w:r>
              <w:rPr>
                <w:sz w:val="18"/>
              </w:rPr>
              <w:t>广义跌倒</w:t>
            </w:r>
          </w:p>
        </w:tc>
        <w:tc>
          <w:tcPr>
            <w:tcW w:w="2197" w:type="dxa"/>
            <w:tcMar>
              <w:top w:w="80" w:type="dxa"/>
              <w:left w:w="100" w:type="dxa"/>
              <w:bottom w:w="80" w:type="dxa"/>
              <w:right w:w="100" w:type="dxa"/>
            </w:tcMar>
            <w:vAlign w:val="center"/>
          </w:tcPr>
          <w:p w14:paraId="2B25C4F4" w14:textId="77777777" w:rsidR="000817FF" w:rsidRDefault="00FB291E">
            <w:pPr>
              <w:jc w:val="center"/>
            </w:pPr>
            <w:r>
              <w:rPr>
                <w:sz w:val="18"/>
              </w:rPr>
              <w:t>JP</w:t>
            </w:r>
          </w:p>
        </w:tc>
        <w:tc>
          <w:tcPr>
            <w:tcW w:w="2197" w:type="dxa"/>
            <w:tcMar>
              <w:top w:w="80" w:type="dxa"/>
              <w:left w:w="100" w:type="dxa"/>
              <w:bottom w:w="80" w:type="dxa"/>
              <w:right w:w="100" w:type="dxa"/>
            </w:tcMar>
            <w:vAlign w:val="center"/>
          </w:tcPr>
          <w:p w14:paraId="63017C89" w14:textId="77777777" w:rsidR="000817FF" w:rsidRDefault="00FB291E">
            <w:pPr>
              <w:jc w:val="center"/>
            </w:pPr>
            <w:r>
              <w:rPr>
                <w:sz w:val="18"/>
              </w:rPr>
              <w:t>3,634</w:t>
            </w:r>
          </w:p>
        </w:tc>
        <w:tc>
          <w:tcPr>
            <w:tcW w:w="2197" w:type="dxa"/>
            <w:tcMar>
              <w:top w:w="80" w:type="dxa"/>
              <w:left w:w="100" w:type="dxa"/>
              <w:bottom w:w="80" w:type="dxa"/>
              <w:right w:w="100" w:type="dxa"/>
            </w:tcMar>
            <w:vAlign w:val="center"/>
          </w:tcPr>
          <w:p w14:paraId="4B1380F1" w14:textId="77777777" w:rsidR="000817FF" w:rsidRDefault="00FB291E">
            <w:pPr>
              <w:jc w:val="center"/>
            </w:pPr>
            <w:r>
              <w:rPr>
                <w:sz w:val="18"/>
              </w:rPr>
              <w:t>2.57%</w:t>
            </w:r>
          </w:p>
        </w:tc>
      </w:tr>
    </w:tbl>
    <w:p w14:paraId="165C8027" w14:textId="77777777" w:rsidR="000817FF" w:rsidRDefault="000817FF"/>
    <w:p w14:paraId="75AD13F5" w14:textId="77777777" w:rsidR="000817FF" w:rsidRDefault="00FB291E">
      <w:pPr>
        <w:spacing w:after="120" w:line="360" w:lineRule="auto"/>
        <w:ind w:firstLine="420"/>
      </w:pPr>
      <w:r>
        <w:rPr>
          <w:sz w:val="21"/>
        </w:rPr>
        <w:t>报告国家分布显示，美国报告占比较高，这与</w:t>
      </w:r>
      <w:r>
        <w:rPr>
          <w:sz w:val="21"/>
        </w:rPr>
        <w:t xml:space="preserve"> FAERS </w:t>
      </w:r>
      <w:r>
        <w:rPr>
          <w:sz w:val="21"/>
        </w:rPr>
        <w:t>作为美国</w:t>
      </w:r>
      <w:r>
        <w:rPr>
          <w:sz w:val="21"/>
        </w:rPr>
        <w:t xml:space="preserve"> FDA </w:t>
      </w:r>
      <w:r>
        <w:rPr>
          <w:sz w:val="21"/>
        </w:rPr>
        <w:t>数据库的属性一致。不同国家报告比例不能直接解释为不同国家真实风险差异，因为报告制度、用药习惯、监管要求和报告积极性均会影响报告数量。</w:t>
      </w:r>
    </w:p>
    <w:p w14:paraId="0BE39C43" w14:textId="77777777" w:rsidR="000817FF" w:rsidRDefault="00FB291E">
      <w:pPr>
        <w:pStyle w:val="21"/>
        <w:spacing w:before="160" w:after="80"/>
      </w:pPr>
      <w:bookmarkStart w:id="58" w:name="_Toc230281357"/>
      <w:r>
        <w:rPr>
          <w:rFonts w:ascii="Times New Roman" w:eastAsia="宋体" w:hAnsi="Times New Roman"/>
        </w:rPr>
        <w:t xml:space="preserve">3.8 </w:t>
      </w:r>
      <w:r>
        <w:rPr>
          <w:rFonts w:ascii="Times New Roman" w:eastAsia="宋体" w:hAnsi="Times New Roman"/>
        </w:rPr>
        <w:t>本章小结</w:t>
      </w:r>
      <w:bookmarkEnd w:id="58"/>
    </w:p>
    <w:p w14:paraId="35EE6C5D" w14:textId="77777777" w:rsidR="000817FF" w:rsidRDefault="00FB291E">
      <w:pPr>
        <w:spacing w:after="120" w:line="360" w:lineRule="auto"/>
        <w:ind w:firstLine="420"/>
      </w:pPr>
      <w:r>
        <w:t>本章对 2004-2025 年 FAERS 数据处理结果和主要变量分布进行了描述。全周期去重后共获得 4,155,023 例病例，其中严格 PT 跌倒事件 132,266 例，广义跌倒相关事件（补充） 298,906 例。唑吡坦任意暴露病例为 38,709 例，唑吡坦 suspect 暴露病例为 8,011 例。</w:t>
      </w:r>
    </w:p>
    <w:p w14:paraId="16C00434" w14:textId="77777777" w:rsidR="000817FF" w:rsidRDefault="00FB291E">
      <w:pPr>
        <w:spacing w:after="120" w:line="360" w:lineRule="auto"/>
        <w:ind w:firstLine="420"/>
      </w:pPr>
      <w:r>
        <w:t>在主分析口径下，排除混合 Z-drug 暴露病例后，唑吡坦 suspect 暴露组共有 7,798 例，其中严格 PT 跌倒事件 1,043 例，粗报告比例为 13.38%；广义跌倒相关事件（补充） 1,448 例，粗报告比例为 18.57%。这些结果提示，唑吡坦相关报告中跌倒事件具有较高的报告比例，但仍需通过不成比例分析和多因素校正分析进一步评价其信号强度和稳定性。</w:t>
      </w:r>
    </w:p>
    <w:p w14:paraId="5F6DFF41" w14:textId="77777777" w:rsidR="000817FF" w:rsidRDefault="00FB291E">
      <w:pPr>
        <w:spacing w:after="120" w:line="360" w:lineRule="auto"/>
        <w:ind w:firstLine="420"/>
      </w:pPr>
      <w:r>
        <w:t>2025 年度描述性分析显示，病例主要集中在 65-84 岁，女性略多于男性，严重病例占比较高，多重用药和中枢神经系统相关合并用药较为常见。广义跌倒相关事件（补充）主要由 FALL、HYPOTENSION、GAIT DISTURBANCE、VISUAL IMPAIRMENT 和 BALANCE DISORDER 等 PT 构成，符合跌倒相关临床表现的基本特征。</w:t>
      </w:r>
    </w:p>
    <w:p w14:paraId="19E63B94" w14:textId="77777777" w:rsidR="000817FF" w:rsidRDefault="00FB291E">
      <w:pPr>
        <w:spacing w:after="120" w:line="360" w:lineRule="auto"/>
        <w:ind w:firstLine="420"/>
      </w:pPr>
      <w:r>
        <w:rPr>
          <w:sz w:val="21"/>
        </w:rPr>
        <w:lastRenderedPageBreak/>
        <w:t>总体而言，本章结果为后续唑吡坦相关跌倒事件信号挖掘、多因素校正分析和机器学习辅助识别模型构建提供了数据基础。</w:t>
      </w:r>
    </w:p>
    <w:p w14:paraId="308863E0" w14:textId="77777777" w:rsidR="000817FF" w:rsidRDefault="00FB291E">
      <w:r>
        <w:br w:type="page"/>
      </w:r>
    </w:p>
    <w:p w14:paraId="7B6C4A4F" w14:textId="77777777" w:rsidR="000817FF" w:rsidRDefault="00FB291E">
      <w:pPr>
        <w:pStyle w:val="1"/>
        <w:spacing w:before="240" w:after="160"/>
        <w:jc w:val="center"/>
      </w:pPr>
      <w:bookmarkStart w:id="59" w:name="_Toc230281358"/>
      <w:r>
        <w:rPr>
          <w:rFonts w:ascii="Times New Roman" w:eastAsia="宋体" w:hAnsi="Times New Roman"/>
        </w:rPr>
        <w:lastRenderedPageBreak/>
        <w:t>第四章</w:t>
      </w:r>
      <w:r>
        <w:rPr>
          <w:rFonts w:ascii="Times New Roman" w:eastAsia="宋体" w:hAnsi="Times New Roman"/>
        </w:rPr>
        <w:t xml:space="preserve"> </w:t>
      </w:r>
      <w:r>
        <w:rPr>
          <w:rFonts w:ascii="Times New Roman" w:eastAsia="宋体" w:hAnsi="Times New Roman"/>
        </w:rPr>
        <w:t>唑吡坦相关跌倒事件信号挖掘结果</w:t>
      </w:r>
      <w:bookmarkEnd w:id="59"/>
    </w:p>
    <w:p w14:paraId="046BB2E9" w14:textId="77777777" w:rsidR="000817FF" w:rsidRDefault="00FB291E">
      <w:pPr>
        <w:pStyle w:val="21"/>
        <w:spacing w:before="160" w:after="80"/>
      </w:pPr>
      <w:r>
        <w:t>4.1 主分析：唑吡坦 suspect 暴露与严格 PT 跌倒事件</w:t>
      </w:r>
    </w:p>
    <w:p w14:paraId="32BB5203" w14:textId="77777777" w:rsidR="000817FF" w:rsidRDefault="00FB291E">
      <w:pPr>
        <w:spacing w:after="120" w:line="360" w:lineRule="auto"/>
        <w:ind w:firstLine="420"/>
      </w:pPr>
      <w:r>
        <w:t>本研究以 2004-2025 年全周期 FAERS 老年病例为基础，首先分析唑吡坦 suspect 暴露与严格 PT 跌倒事件之间的不成比例报告信号。主分析采用 PS+SS 暴露口径，即唑吡坦被报告为 primary suspect 或 secondary suspect 时均定义为唑吡坦 suspect 暴露。为减少混合暴露对解释的影响，主分析排除同时包含唑吡坦和其他 Z-drugs suspect 暴露的病例。FAERS 属于自发报告系统，适合用于上市后安全信号发现，但结果需要解释为报告信号而非真实发生率或因果效应[44-53]。</w:t>
      </w:r>
    </w:p>
    <w:p w14:paraId="57460DDD" w14:textId="77777777" w:rsidR="000817FF" w:rsidRDefault="00FB291E">
      <w:pPr>
        <w:spacing w:after="120" w:line="360" w:lineRule="auto"/>
        <w:ind w:firstLine="420"/>
      </w:pPr>
      <w:r>
        <w:t>主分析结果显示，唑吡坦 suspect 暴露组共有 7,798 例，其中严格 PT 跌倒事件 1,043 例，未发生严格 PT 跌倒事件 6,755 例；参照组中严格 PT 跌倒事件 131,211 例，非严格 PT 跌倒事件 4,015,664 例。唑吡坦 suspect 暴露组严格 PT 跌倒事件报告比例为 13.38%，参照组为 3.16%。</w:t>
      </w:r>
    </w:p>
    <w:p w14:paraId="358EA9C8" w14:textId="77777777" w:rsidR="000817FF" w:rsidRDefault="00FB291E">
      <w:pPr>
        <w:spacing w:after="120" w:line="360" w:lineRule="auto"/>
        <w:ind w:firstLine="420"/>
      </w:pPr>
      <w:r>
        <w:t>不成比例分析显示，唑吡坦 suspect 暴露与严格 PT 跌倒事件之间存在明显报告信号。ROR 为 4.73，95%CI 为 4.43-5.05；PRR 为 4.23，95%CI 为 3.99-4.47；IC 为 2.07，IC025 为 1.98；EBGM 为 4.19，EB05 为 3.98。四种信号检测方法均达到阳性信号判定标准。ROR、PRR、IC 和 EBGM 是自发报告数据库中常用的信号检测指标，多指标联合观察有助于提高结果解释的稳健性[54-60]。</w:t>
      </w:r>
    </w:p>
    <w:p w14:paraId="3D1436F9" w14:textId="77777777" w:rsidR="000817FF" w:rsidRDefault="00FB291E">
      <w:pPr>
        <w:spacing w:after="120" w:line="360" w:lineRule="auto"/>
        <w:ind w:firstLine="420"/>
      </w:pPr>
      <w:r>
        <w:t>表 4-1 显示唑吡坦 suspect 暴露与严格 PT 跌倒事件的主分析结果。</w:t>
      </w:r>
    </w:p>
    <w:p w14:paraId="4B8DB5B7" w14:textId="77777777" w:rsidR="000817FF" w:rsidRDefault="00FB291E">
      <w:pPr>
        <w:spacing w:after="120" w:line="360" w:lineRule="auto"/>
        <w:ind w:firstLine="420"/>
      </w:pPr>
      <w:r>
        <w:t>表 4-1 唑吡坦 suspect 暴露与严格 PT 跌倒事件的不成比例分析结果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0923D2CD" w14:textId="77777777">
        <w:tc>
          <w:tcPr>
            <w:tcW w:w="4394" w:type="dxa"/>
            <w:shd w:val="clear" w:color="auto" w:fill="EDEDED"/>
            <w:tcMar>
              <w:top w:w="80" w:type="dxa"/>
              <w:left w:w="100" w:type="dxa"/>
              <w:bottom w:w="80" w:type="dxa"/>
              <w:right w:w="100" w:type="dxa"/>
            </w:tcMar>
            <w:vAlign w:val="center"/>
          </w:tcPr>
          <w:p w14:paraId="1680FD5B"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6D8457A9" w14:textId="77777777" w:rsidR="000817FF" w:rsidRDefault="00FB291E">
            <w:pPr>
              <w:jc w:val="center"/>
            </w:pPr>
            <w:r>
              <w:rPr>
                <w:b/>
                <w:sz w:val="18"/>
              </w:rPr>
              <w:t>结果</w:t>
            </w:r>
          </w:p>
        </w:tc>
      </w:tr>
      <w:tr w:rsidR="000817FF" w14:paraId="22CB315D" w14:textId="77777777">
        <w:tc>
          <w:tcPr>
            <w:tcW w:w="4394" w:type="dxa"/>
            <w:tcMar>
              <w:top w:w="80" w:type="dxa"/>
              <w:left w:w="100" w:type="dxa"/>
              <w:bottom w:w="80" w:type="dxa"/>
              <w:right w:w="100" w:type="dxa"/>
            </w:tcMar>
            <w:vAlign w:val="center"/>
          </w:tcPr>
          <w:p w14:paraId="3E5AC53C" w14:textId="77777777" w:rsidR="000817FF" w:rsidRDefault="00FB291E">
            <w:pPr>
              <w:jc w:val="center"/>
            </w:pPr>
            <w:r>
              <w:t>暴露且发生严格 PT 跌倒事件（a）</w:t>
            </w:r>
          </w:p>
        </w:tc>
        <w:tc>
          <w:tcPr>
            <w:tcW w:w="4394" w:type="dxa"/>
            <w:tcMar>
              <w:top w:w="80" w:type="dxa"/>
              <w:left w:w="100" w:type="dxa"/>
              <w:bottom w:w="80" w:type="dxa"/>
              <w:right w:w="100" w:type="dxa"/>
            </w:tcMar>
            <w:vAlign w:val="center"/>
          </w:tcPr>
          <w:p w14:paraId="3B4D6291" w14:textId="77777777" w:rsidR="000817FF" w:rsidRDefault="00FB291E">
            <w:pPr>
              <w:jc w:val="center"/>
            </w:pPr>
            <w:r>
              <w:rPr>
                <w:sz w:val="18"/>
              </w:rPr>
              <w:t>1,043</w:t>
            </w:r>
          </w:p>
        </w:tc>
      </w:tr>
      <w:tr w:rsidR="000817FF" w14:paraId="449C2BE2" w14:textId="77777777">
        <w:tc>
          <w:tcPr>
            <w:tcW w:w="4394" w:type="dxa"/>
            <w:tcMar>
              <w:top w:w="80" w:type="dxa"/>
              <w:left w:w="100" w:type="dxa"/>
              <w:bottom w:w="80" w:type="dxa"/>
              <w:right w:w="100" w:type="dxa"/>
            </w:tcMar>
            <w:vAlign w:val="center"/>
          </w:tcPr>
          <w:p w14:paraId="68318AB5" w14:textId="77777777" w:rsidR="000817FF" w:rsidRDefault="00FB291E">
            <w:pPr>
              <w:jc w:val="center"/>
            </w:pPr>
            <w:r>
              <w:t>暴露但未发生严格 PT 跌倒事件（b）</w:t>
            </w:r>
          </w:p>
        </w:tc>
        <w:tc>
          <w:tcPr>
            <w:tcW w:w="4394" w:type="dxa"/>
            <w:tcMar>
              <w:top w:w="80" w:type="dxa"/>
              <w:left w:w="100" w:type="dxa"/>
              <w:bottom w:w="80" w:type="dxa"/>
              <w:right w:w="100" w:type="dxa"/>
            </w:tcMar>
            <w:vAlign w:val="center"/>
          </w:tcPr>
          <w:p w14:paraId="4FA33E5C" w14:textId="77777777" w:rsidR="000817FF" w:rsidRDefault="00FB291E">
            <w:pPr>
              <w:jc w:val="center"/>
            </w:pPr>
            <w:r>
              <w:rPr>
                <w:sz w:val="18"/>
              </w:rPr>
              <w:t>6,755</w:t>
            </w:r>
          </w:p>
        </w:tc>
      </w:tr>
      <w:tr w:rsidR="000817FF" w14:paraId="471E5901" w14:textId="77777777">
        <w:tc>
          <w:tcPr>
            <w:tcW w:w="4394" w:type="dxa"/>
            <w:tcMar>
              <w:top w:w="80" w:type="dxa"/>
              <w:left w:w="100" w:type="dxa"/>
              <w:bottom w:w="80" w:type="dxa"/>
              <w:right w:w="100" w:type="dxa"/>
            </w:tcMar>
            <w:vAlign w:val="center"/>
          </w:tcPr>
          <w:p w14:paraId="364C5C7C" w14:textId="77777777" w:rsidR="000817FF" w:rsidRDefault="00FB291E">
            <w:pPr>
              <w:jc w:val="center"/>
            </w:pPr>
            <w:r>
              <w:t>未暴露但发生严格 PT 跌倒事件（c）</w:t>
            </w:r>
          </w:p>
        </w:tc>
        <w:tc>
          <w:tcPr>
            <w:tcW w:w="4394" w:type="dxa"/>
            <w:tcMar>
              <w:top w:w="80" w:type="dxa"/>
              <w:left w:w="100" w:type="dxa"/>
              <w:bottom w:w="80" w:type="dxa"/>
              <w:right w:w="100" w:type="dxa"/>
            </w:tcMar>
            <w:vAlign w:val="center"/>
          </w:tcPr>
          <w:p w14:paraId="2A84E3A7" w14:textId="77777777" w:rsidR="000817FF" w:rsidRDefault="00FB291E">
            <w:pPr>
              <w:jc w:val="center"/>
            </w:pPr>
            <w:r>
              <w:rPr>
                <w:sz w:val="18"/>
              </w:rPr>
              <w:t>131,211</w:t>
            </w:r>
          </w:p>
        </w:tc>
      </w:tr>
      <w:tr w:rsidR="000817FF" w14:paraId="683EC544" w14:textId="77777777">
        <w:tc>
          <w:tcPr>
            <w:tcW w:w="4394" w:type="dxa"/>
            <w:tcMar>
              <w:top w:w="80" w:type="dxa"/>
              <w:left w:w="100" w:type="dxa"/>
              <w:bottom w:w="80" w:type="dxa"/>
              <w:right w:w="100" w:type="dxa"/>
            </w:tcMar>
            <w:vAlign w:val="center"/>
          </w:tcPr>
          <w:p w14:paraId="7249654F" w14:textId="77777777" w:rsidR="000817FF" w:rsidRDefault="00FB291E">
            <w:pPr>
              <w:jc w:val="center"/>
            </w:pPr>
            <w:r>
              <w:t>未暴露且未发生严格 PT 跌倒事件（d）</w:t>
            </w:r>
          </w:p>
        </w:tc>
        <w:tc>
          <w:tcPr>
            <w:tcW w:w="4394" w:type="dxa"/>
            <w:tcMar>
              <w:top w:w="80" w:type="dxa"/>
              <w:left w:w="100" w:type="dxa"/>
              <w:bottom w:w="80" w:type="dxa"/>
              <w:right w:w="100" w:type="dxa"/>
            </w:tcMar>
            <w:vAlign w:val="center"/>
          </w:tcPr>
          <w:p w14:paraId="04C081C3" w14:textId="77777777" w:rsidR="000817FF" w:rsidRDefault="00FB291E">
            <w:pPr>
              <w:jc w:val="center"/>
            </w:pPr>
            <w:r>
              <w:rPr>
                <w:sz w:val="18"/>
              </w:rPr>
              <w:t>4,015,664</w:t>
            </w:r>
          </w:p>
        </w:tc>
      </w:tr>
      <w:tr w:rsidR="000817FF" w14:paraId="7458873B" w14:textId="77777777">
        <w:tc>
          <w:tcPr>
            <w:tcW w:w="4394" w:type="dxa"/>
            <w:tcMar>
              <w:top w:w="80" w:type="dxa"/>
              <w:left w:w="100" w:type="dxa"/>
              <w:bottom w:w="80" w:type="dxa"/>
              <w:right w:w="100" w:type="dxa"/>
            </w:tcMar>
            <w:vAlign w:val="center"/>
          </w:tcPr>
          <w:p w14:paraId="4B22C115"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0F561461" w14:textId="77777777" w:rsidR="000817FF" w:rsidRDefault="00FB291E">
            <w:pPr>
              <w:jc w:val="center"/>
            </w:pPr>
            <w:r>
              <w:rPr>
                <w:sz w:val="18"/>
              </w:rPr>
              <w:t>7,798</w:t>
            </w:r>
          </w:p>
        </w:tc>
      </w:tr>
      <w:tr w:rsidR="000817FF" w14:paraId="0A3DD8B1" w14:textId="77777777">
        <w:tc>
          <w:tcPr>
            <w:tcW w:w="4394" w:type="dxa"/>
            <w:tcMar>
              <w:top w:w="80" w:type="dxa"/>
              <w:left w:w="100" w:type="dxa"/>
              <w:bottom w:w="80" w:type="dxa"/>
              <w:right w:w="100" w:type="dxa"/>
            </w:tcMar>
            <w:vAlign w:val="center"/>
          </w:tcPr>
          <w:p w14:paraId="0348D2E8"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1BCFB41F" w14:textId="77777777" w:rsidR="000817FF" w:rsidRDefault="00FB291E">
            <w:pPr>
              <w:jc w:val="center"/>
            </w:pPr>
            <w:r>
              <w:rPr>
                <w:sz w:val="18"/>
              </w:rPr>
              <w:t>13.38%</w:t>
            </w:r>
          </w:p>
        </w:tc>
      </w:tr>
      <w:tr w:rsidR="000817FF" w14:paraId="3D3E6B5C" w14:textId="77777777">
        <w:tc>
          <w:tcPr>
            <w:tcW w:w="4394" w:type="dxa"/>
            <w:tcMar>
              <w:top w:w="80" w:type="dxa"/>
              <w:left w:w="100" w:type="dxa"/>
              <w:bottom w:w="80" w:type="dxa"/>
              <w:right w:w="100" w:type="dxa"/>
            </w:tcMar>
            <w:vAlign w:val="center"/>
          </w:tcPr>
          <w:p w14:paraId="01AEB71A"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26B307C9" w14:textId="77777777" w:rsidR="000817FF" w:rsidRDefault="00FB291E">
            <w:pPr>
              <w:jc w:val="center"/>
            </w:pPr>
            <w:r>
              <w:rPr>
                <w:sz w:val="18"/>
              </w:rPr>
              <w:t>3.16%</w:t>
            </w:r>
          </w:p>
        </w:tc>
      </w:tr>
      <w:tr w:rsidR="000817FF" w14:paraId="65B43906" w14:textId="77777777">
        <w:tc>
          <w:tcPr>
            <w:tcW w:w="4394" w:type="dxa"/>
            <w:tcMar>
              <w:top w:w="80" w:type="dxa"/>
              <w:left w:w="100" w:type="dxa"/>
              <w:bottom w:w="80" w:type="dxa"/>
              <w:right w:w="100" w:type="dxa"/>
            </w:tcMar>
            <w:vAlign w:val="center"/>
          </w:tcPr>
          <w:p w14:paraId="1EA981E3"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7E8B6A8" w14:textId="77777777" w:rsidR="000817FF" w:rsidRDefault="00FB291E">
            <w:pPr>
              <w:jc w:val="center"/>
            </w:pPr>
            <w:r>
              <w:rPr>
                <w:sz w:val="18"/>
              </w:rPr>
              <w:t>4.73</w:t>
            </w:r>
            <w:r>
              <w:rPr>
                <w:sz w:val="18"/>
              </w:rPr>
              <w:t>（</w:t>
            </w:r>
            <w:r>
              <w:rPr>
                <w:sz w:val="18"/>
              </w:rPr>
              <w:t>4.43-5.05</w:t>
            </w:r>
            <w:r>
              <w:rPr>
                <w:sz w:val="18"/>
              </w:rPr>
              <w:t>）</w:t>
            </w:r>
          </w:p>
        </w:tc>
      </w:tr>
      <w:tr w:rsidR="000817FF" w14:paraId="5E7D7280" w14:textId="77777777">
        <w:tc>
          <w:tcPr>
            <w:tcW w:w="4394" w:type="dxa"/>
            <w:tcMar>
              <w:top w:w="80" w:type="dxa"/>
              <w:left w:w="100" w:type="dxa"/>
              <w:bottom w:w="80" w:type="dxa"/>
              <w:right w:w="100" w:type="dxa"/>
            </w:tcMar>
            <w:vAlign w:val="center"/>
          </w:tcPr>
          <w:p w14:paraId="4DFC8DE5"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6CDC678D" w14:textId="77777777" w:rsidR="000817FF" w:rsidRDefault="00FB291E">
            <w:pPr>
              <w:jc w:val="center"/>
            </w:pPr>
            <w:r>
              <w:rPr>
                <w:sz w:val="18"/>
              </w:rPr>
              <w:t>4.23</w:t>
            </w:r>
            <w:r>
              <w:rPr>
                <w:sz w:val="18"/>
              </w:rPr>
              <w:t>（</w:t>
            </w:r>
            <w:r>
              <w:rPr>
                <w:sz w:val="18"/>
              </w:rPr>
              <w:t>3.99-4.47</w:t>
            </w:r>
            <w:r>
              <w:rPr>
                <w:sz w:val="18"/>
              </w:rPr>
              <w:t>）</w:t>
            </w:r>
          </w:p>
        </w:tc>
      </w:tr>
      <w:tr w:rsidR="000817FF" w14:paraId="174F2577" w14:textId="77777777">
        <w:tc>
          <w:tcPr>
            <w:tcW w:w="4394" w:type="dxa"/>
            <w:tcMar>
              <w:top w:w="80" w:type="dxa"/>
              <w:left w:w="100" w:type="dxa"/>
              <w:bottom w:w="80" w:type="dxa"/>
              <w:right w:w="100" w:type="dxa"/>
            </w:tcMar>
            <w:vAlign w:val="center"/>
          </w:tcPr>
          <w:p w14:paraId="0D9E7018"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123F0929" w14:textId="77777777" w:rsidR="000817FF" w:rsidRDefault="00FB291E">
            <w:pPr>
              <w:jc w:val="center"/>
            </w:pPr>
            <w:r>
              <w:rPr>
                <w:sz w:val="18"/>
              </w:rPr>
              <w:t>2.07</w:t>
            </w:r>
            <w:r>
              <w:rPr>
                <w:sz w:val="18"/>
              </w:rPr>
              <w:t>（</w:t>
            </w:r>
            <w:r>
              <w:rPr>
                <w:sz w:val="18"/>
              </w:rPr>
              <w:t>1.98-2.15</w:t>
            </w:r>
            <w:r>
              <w:rPr>
                <w:sz w:val="18"/>
              </w:rPr>
              <w:t>）</w:t>
            </w:r>
          </w:p>
        </w:tc>
      </w:tr>
      <w:tr w:rsidR="000817FF" w14:paraId="2729DC5B" w14:textId="77777777">
        <w:tc>
          <w:tcPr>
            <w:tcW w:w="4394" w:type="dxa"/>
            <w:tcMar>
              <w:top w:w="80" w:type="dxa"/>
              <w:left w:w="100" w:type="dxa"/>
              <w:bottom w:w="80" w:type="dxa"/>
              <w:right w:w="100" w:type="dxa"/>
            </w:tcMar>
            <w:vAlign w:val="center"/>
          </w:tcPr>
          <w:p w14:paraId="525D0937"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56376BA7" w14:textId="77777777" w:rsidR="000817FF" w:rsidRDefault="00FB291E">
            <w:pPr>
              <w:jc w:val="center"/>
            </w:pPr>
            <w:r>
              <w:rPr>
                <w:sz w:val="18"/>
              </w:rPr>
              <w:t>4.19</w:t>
            </w:r>
            <w:r>
              <w:rPr>
                <w:sz w:val="18"/>
              </w:rPr>
              <w:t>（</w:t>
            </w:r>
            <w:r>
              <w:rPr>
                <w:sz w:val="18"/>
              </w:rPr>
              <w:t>3.98-4.40</w:t>
            </w:r>
            <w:r>
              <w:rPr>
                <w:sz w:val="18"/>
              </w:rPr>
              <w:t>）</w:t>
            </w:r>
          </w:p>
        </w:tc>
      </w:tr>
      <w:tr w:rsidR="000817FF" w14:paraId="1D862735" w14:textId="77777777">
        <w:tc>
          <w:tcPr>
            <w:tcW w:w="4394" w:type="dxa"/>
            <w:tcMar>
              <w:top w:w="80" w:type="dxa"/>
              <w:left w:w="100" w:type="dxa"/>
              <w:bottom w:w="80" w:type="dxa"/>
              <w:right w:w="100" w:type="dxa"/>
            </w:tcMar>
            <w:vAlign w:val="center"/>
          </w:tcPr>
          <w:p w14:paraId="0BF75E1D"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2BE223DA" w14:textId="77777777" w:rsidR="000817FF" w:rsidRDefault="00FB291E">
            <w:pPr>
              <w:jc w:val="center"/>
            </w:pPr>
            <w:r>
              <w:rPr>
                <w:sz w:val="18"/>
              </w:rPr>
              <w:t>检测到信号</w:t>
            </w:r>
          </w:p>
        </w:tc>
      </w:tr>
    </w:tbl>
    <w:p w14:paraId="3E9ADAE5" w14:textId="77777777" w:rsidR="000817FF" w:rsidRDefault="000817FF"/>
    <w:p w14:paraId="55CC5756" w14:textId="77777777" w:rsidR="000817FF" w:rsidRDefault="00FB291E">
      <w:pPr>
        <w:spacing w:after="120" w:line="360" w:lineRule="auto" w:before="0"/>
        <w:ind w:firstLine="420"/>
      </w:pPr>
      <w:r>
        <w:t>该结果提示，在 FAERS 老年病例报告中，唑吡坦 suspect 暴露病例中严格 PT 跌倒事件的报告比例高于非唑吡坦 suspect 参照组病例。需要强调的是，这一结果表示报告信号增强，而不是直接证明唑吡坦导致跌倒。既往指南、FDA 安全警示和观察性研究已提示 Z-drugs 在老年人中存在跌倒、骨折、次日损害和复杂睡眠行为等安全问题，本研究结果与这些外部证据方向一致[1,9-22,69-70]。</w:t>
      </w:r>
    </w:p>
    <w:p>
      <w:pPr>
        <w:pStyle w:val="31"/>
        <w:spacing w:before="160" w:after="80"/>
        <w:jc w:val="left"/>
      </w:pPr>
      <w:r/>
      <w:r>
        <w:rPr>
          <w:rFonts w:ascii="Times New Roman" w:hAnsi="Times New Roman" w:eastAsia="黑体"/>
          <w:b/>
          <w:sz w:val="24"/>
        </w:rPr>
        <w:t>4.1.1 年度趋势与监管节点前后分层分析</w:t>
      </w:r>
    </w:p>
    <w:p>
      <w:pPr>
        <w:spacing w:line="360" w:lineRule="auto" w:before="0" w:after="120"/>
        <w:ind w:firstLine="420"/>
      </w:pPr>
      <w:r>
        <w:t>在主分析口径下，本研究进一步观察 2004-2025 年唑吡坦相关严格 PT 跌倒报告的年度变化和监管节点前后分层结果。全周期中，唑吡坦 suspect 暴露组严格 PT 跌倒报告比例为 13.38%，非唑吡坦 suspect 参照组为 3.16%，全周期 ROR 为 4.73（95%CI：4.43-5.05）。</w:t>
      </w:r>
    </w:p>
    <w:p>
      <w:pPr>
        <w:spacing w:line="360" w:lineRule="auto" w:before="0" w:after="120"/>
        <w:ind w:firstLine="420"/>
      </w:pPr>
      <w:r>
        <w:t>以 2013 年 FDA 唑吡坦剂量安全沟通为节点，2013 年前唑吡坦 suspect 暴露组严格 PT 跌倒报告比例为 15.46%，ROR 为 4.84（95%CI：4.23-5.54）；2013 年后报告比例为 12.83%，ROR 为 4.63（95%CI：4.29-4.99）。这一结果提示，2013 年后唑吡坦相关跌倒报告比例有所降低，但不成比例报告信号仍持续存在。</w:t>
      </w:r>
    </w:p>
    <w:p>
      <w:pPr>
        <w:spacing w:line="360" w:lineRule="auto" w:before="0" w:after="120"/>
        <w:ind w:firstLine="420"/>
      </w:pPr>
      <w:r>
        <w:t>以 2019 年 Z-drugs 黑框警告为节点，2019 年前唑吡坦 suspect 暴露组严格 PT 跌倒报告比例为 13.41%，ROR 为 4.44（95%CI：4.07-4.84）；2019 年后报告比例为 13.32%，ROR 为 5.02（95%CI：4.54-5.55）。这说明在 2019 年后时期，FAERS 中唑吡坦相关严格 PT 跌倒报告信号仍保持较高水平。</w:t>
      </w:r>
    </w:p>
    <w:p>
      <w:pPr>
        <w:spacing w:line="360" w:lineRule="auto" w:before="0" w:after="120"/>
        <w:ind w:firstLine="420"/>
      </w:pPr>
      <w:r>
        <w:rPr>
          <w:rFonts w:ascii="Times New Roman" w:hAnsi="Times New Roman" w:eastAsia="宋体"/>
          <w:sz w:val="21"/>
        </w:rPr>
        <w:t>表 4-1-1 显示 2013 年和 2019 年监管节点前后的主要分层结果。</w:t>
      </w:r>
    </w:p>
    <w:p>
      <w:r/>
    </w:p>
    <w:p>
      <w:pPr>
        <w:spacing w:line="360" w:lineRule="auto" w:before="0" w:after="120"/>
        <w:ind w:firstLine="420"/>
      </w:pPr>
      <w:r>
        <w:t>年度分析显示，2004-2025 年间唑吡坦相关严格 PT 跌倒报告比例和年度 ROR 存在一定波动。单年结果中，2007 年和 2025 年的跌倒报告比例及 ROR 相对较高。3 年滚动窗口分析进一步显示，该信号并非由单一年份驱动；例如 2023-2025 年窗口中唑吡坦 suspect 暴露组严格 PT 跌倒报告比例为 13.85%，ROR 为 5.51（95%CI：4.69-6.48）。需要强调的是，年度趋势和监管节点分层只能反映 FAERS 报告模式变化，不能直接解释为真实临床发生率变化或 FDA 警示的因果影响。</w:t>
      </w:r>
    </w:p>
    <w:tbl>
      <w:tblPr>
        <w:tblStyle w:val="aff1"/>
        <w:tblW w:type="auto" w:w="0"/>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监管节点</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时期</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唑吡坦suspect病例</w:t>
            </w:r>
          </w:p>
        </w:tc>
        <w:tc>
          <w:tcPr>
            <w:tcW w:type="dxa" w:w="1296"/>
            <w:vAlign w:val="center"/>
            <w:tcMar>
              <w:top w:w="80" w:type="dxa"/>
              <w:start w:w="100" w:type="dxa"/>
              <w:bottom w:w="80" w:type="dxa"/>
              <w:end w:w="100" w:type="dxa"/>
            </w:tcMar>
            <w:shd w:fill="EDEDED"/>
          </w:tcPr>
          <w:p>
            <w:pPr>
              <w:spacing w:after="0" w:line="288" w:lineRule="auto"/>
              <w:jc w:val="center"/>
            </w:pPr>
            <w:r>
              <w:t>严格 PT 跌倒</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暴露组报告比例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参照组报告比例</w:t>
            </w:r>
          </w:p>
        </w:tc>
        <w:tc>
          <w:tcPr>
            <w:tcW w:type="dxa" w:w="1296"/>
            <w:vAlign w:val="center"/>
            <w:tcMar>
              <w:top w:w="80" w:type="dxa"/>
              <w:start w:w="100" w:type="dxa"/>
              <w:bottom w:w="80" w:type="dxa"/>
              <w:end w:w="100" w:type="dxa"/>
            </w:tcMar>
            <w:shd w:fill="EDEDED"/>
          </w:tcPr>
          <w:p>
            <w:pPr>
              <w:spacing w:after="0" w:line="288" w:lineRule="auto"/>
              <w:jc w:val="center"/>
            </w:pPr>
            <w:r>
              <w:rPr>
                <w:rFonts w:ascii="Times New Roman" w:hAnsi="Times New Roman" w:eastAsia="宋体"/>
                <w:b/>
                <w:sz w:val="17"/>
              </w:rPr>
              <w:t>ROR（95%CI）</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1,624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251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15.46%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3.64%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4.84 (4.23–5.54)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 FDA剂量安全沟通</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2013-2025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6,174</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792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12.83%</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3.08%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4.63 (4.29–4.99)</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2004-2018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4,518</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606</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13.41%</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4.44 (4.07–4.84)</w:t>
            </w:r>
          </w:p>
        </w:tc>
      </w:tr>
      <w:tr>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 Z-drugs黑框警告</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2019-2025</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3,280</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437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13.32%</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2.97%</w:t>
            </w:r>
          </w:p>
        </w:tc>
        <w:tc>
          <w:tcPr>
            <w:tcW w:type="dxa" w:w="1296"/>
            <w:vAlign w:val="center"/>
            <w:tcMar>
              <w:top w:w="80" w:type="dxa"/>
              <w:start w:w="100" w:type="dxa"/>
              <w:bottom w:w="80" w:type="dxa"/>
              <w:end w:w="100" w:type="dxa"/>
            </w:tcMar>
          </w:tcPr>
          <w:p>
            <w:pPr>
              <w:spacing w:after="0" w:line="288" w:lineRule="auto"/>
              <w:jc w:val="center"/>
            </w:pPr>
            <w:r>
              <w:rPr>
                <w:rFonts w:ascii="Times New Roman" w:hAnsi="Times New Roman" w:eastAsia="宋体"/>
                <w:b w:val="0"/>
                <w:sz w:val="17"/>
              </w:rPr>
              <w:t>5.02 (4.54–5.55)</w:t>
            </w:r>
          </w:p>
        </w:tc>
      </w:tr>
    </w:tbl>
    <w:p w14:paraId="1B3F5769" w14:textId="77777777" w:rsidR="000817FF" w:rsidRDefault="00FB291E">
      <w:pPr>
        <w:pStyle w:val="21"/>
        <w:spacing w:before="160" w:after="80"/>
      </w:pPr>
      <w:r>
        <w:t>4.2 广义跌倒相关事件（补充）补充分析</w:t>
      </w:r>
    </w:p>
    <w:p w14:paraId="68091076" w14:textId="77777777" w:rsidR="000817FF" w:rsidRDefault="00FB291E">
      <w:pPr>
        <w:spacing w:after="120" w:line="360" w:lineRule="auto"/>
        <w:ind w:firstLine="420"/>
      </w:pPr>
      <w:r>
        <w:t>在广义跌倒相关事件（补充）分析中，仍采用 PS+SS 暴露口径。结果显示，唑吡坦 suspect 暴露组中发生广义跌倒相关事件（补充） 1,448 例，未发生广义跌倒相关事件（补充） 6,350 例；参照组中发生广义跌倒相关事件（补充） 297,438 例，未发生广义跌倒相关事件（补充） 3,849,437 例。唑吡坦 suspect 暴露组广义跌倒相关事件（补充）报告比例为 18.57%，参照组为 7.17%。</w:t>
      </w:r>
    </w:p>
    <w:p w14:paraId="3EC97D59" w14:textId="77777777" w:rsidR="000817FF" w:rsidRDefault="00FB291E">
      <w:pPr>
        <w:spacing w:after="120" w:line="360" w:lineRule="auto"/>
        <w:ind w:firstLine="420"/>
      </w:pPr>
      <w:r>
        <w:t>不成比例分析显示，唑吡坦 suspect 暴露与广义跌倒相关事件（补充）之间同样存在阳性报告信号。ROR 为 2.95，95%CI 为 2.79-3.12；PRR 为 2.59，95%CI 为 2.47-2.71；IC 为 1.37，IC025 为 1.29；EBGM 为 2.58，EB05 为 2.47。四种方法均达到阳性信号标准。</w:t>
      </w:r>
    </w:p>
    <w:p w14:paraId="52DA8A2F" w14:textId="77777777" w:rsidR="000817FF" w:rsidRDefault="00FB291E">
      <w:pPr>
        <w:spacing w:after="120" w:line="360" w:lineRule="auto"/>
        <w:ind w:firstLine="420"/>
      </w:pPr>
      <w:r>
        <w:t>表 4-2 显示广义跌倒相关事件（补充）补充分析结果。</w:t>
      </w:r>
    </w:p>
    <w:p w14:paraId="24F41886" w14:textId="77777777" w:rsidR="000817FF" w:rsidRDefault="00FB291E">
      <w:pPr>
        <w:spacing w:after="120" w:line="360" w:lineRule="auto"/>
        <w:ind w:firstLine="420"/>
      </w:pPr>
      <w:r>
        <w:t>表 4-2 唑吡坦 suspect 暴露与广义跌倒相关事件（补充）的不成比例分析结果</w:t>
      </w:r>
    </w:p>
    <w:tbl>
      <w:tblPr>
        <w:tblStyle w:val="aff1"/>
        <w:tblW w:w="8788" w:type="dxa"/>
        <w:tblLayout w:type="fixed"/>
        <w:tblLook w:val="04A0" w:firstRow="1" w:lastRow="0" w:firstColumn="1" w:lastColumn="0" w:noHBand="0" w:noVBand="1"/>
      </w:tblPr>
      <w:tblGrid>
        <w:gridCol w:w="4394"/>
        <w:gridCol w:w="4394"/>
      </w:tblGrid>
      <w:tr w:rsidR="000817FF" w14:paraId="6643CDD2" w14:textId="77777777">
        <w:tc>
          <w:tcPr>
            <w:tcW w:w="4394" w:type="dxa"/>
            <w:shd w:val="clear" w:color="auto" w:fill="EDEDED"/>
            <w:tcMar>
              <w:top w:w="80" w:type="dxa"/>
              <w:left w:w="100" w:type="dxa"/>
              <w:bottom w:w="80" w:type="dxa"/>
              <w:right w:w="100" w:type="dxa"/>
            </w:tcMar>
            <w:vAlign w:val="center"/>
          </w:tcPr>
          <w:p w14:paraId="435D924A" w14:textId="77777777" w:rsidR="000817FF" w:rsidRDefault="00FB291E">
            <w:pPr>
              <w:jc w:val="center"/>
            </w:pPr>
            <w:r>
              <w:rPr>
                <w:b/>
                <w:sz w:val="18"/>
              </w:rPr>
              <w:t>指标</w:t>
            </w:r>
          </w:p>
        </w:tc>
        <w:tc>
          <w:tcPr>
            <w:tcW w:w="4394" w:type="dxa"/>
            <w:shd w:val="clear" w:color="auto" w:fill="EDEDED"/>
            <w:tcMar>
              <w:top w:w="80" w:type="dxa"/>
              <w:left w:w="100" w:type="dxa"/>
              <w:bottom w:w="80" w:type="dxa"/>
              <w:right w:w="100" w:type="dxa"/>
            </w:tcMar>
            <w:vAlign w:val="center"/>
          </w:tcPr>
          <w:p w14:paraId="77C1F0E7" w14:textId="77777777" w:rsidR="000817FF" w:rsidRDefault="00FB291E">
            <w:pPr>
              <w:jc w:val="center"/>
            </w:pPr>
            <w:r>
              <w:rPr>
                <w:b/>
                <w:sz w:val="18"/>
              </w:rPr>
              <w:t>结果</w:t>
            </w:r>
          </w:p>
        </w:tc>
      </w:tr>
      <w:tr w:rsidR="000817FF" w14:paraId="072AA34A" w14:textId="77777777">
        <w:tc>
          <w:tcPr>
            <w:tcW w:w="4394" w:type="dxa"/>
            <w:tcMar>
              <w:top w:w="80" w:type="dxa"/>
              <w:left w:w="100" w:type="dxa"/>
              <w:bottom w:w="80" w:type="dxa"/>
              <w:right w:w="100" w:type="dxa"/>
            </w:tcMar>
            <w:vAlign w:val="center"/>
          </w:tcPr>
          <w:p w14:paraId="523BCD86" w14:textId="77777777" w:rsidR="000817FF" w:rsidRDefault="00FB291E">
            <w:pPr>
              <w:jc w:val="center"/>
            </w:pPr>
            <w:r>
              <w:t>暴露且发生广义跌倒相关事件（补充）（a）</w:t>
            </w:r>
          </w:p>
        </w:tc>
        <w:tc>
          <w:tcPr>
            <w:tcW w:w="4394" w:type="dxa"/>
            <w:tcMar>
              <w:top w:w="80" w:type="dxa"/>
              <w:left w:w="100" w:type="dxa"/>
              <w:bottom w:w="80" w:type="dxa"/>
              <w:right w:w="100" w:type="dxa"/>
            </w:tcMar>
            <w:vAlign w:val="center"/>
          </w:tcPr>
          <w:p w14:paraId="5B487E85" w14:textId="77777777" w:rsidR="000817FF" w:rsidRDefault="00FB291E">
            <w:pPr>
              <w:jc w:val="center"/>
            </w:pPr>
            <w:r>
              <w:rPr>
                <w:sz w:val="18"/>
              </w:rPr>
              <w:t>1,448</w:t>
            </w:r>
          </w:p>
        </w:tc>
      </w:tr>
      <w:tr w:rsidR="000817FF" w14:paraId="66199B8F" w14:textId="77777777">
        <w:tc>
          <w:tcPr>
            <w:tcW w:w="4394" w:type="dxa"/>
            <w:tcMar>
              <w:top w:w="80" w:type="dxa"/>
              <w:left w:w="100" w:type="dxa"/>
              <w:bottom w:w="80" w:type="dxa"/>
              <w:right w:w="100" w:type="dxa"/>
            </w:tcMar>
            <w:vAlign w:val="center"/>
          </w:tcPr>
          <w:p w14:paraId="09C701BD" w14:textId="77777777" w:rsidR="000817FF" w:rsidRDefault="00FB291E">
            <w:pPr>
              <w:jc w:val="center"/>
            </w:pPr>
            <w:r>
              <w:t>暴露但未发生广义跌倒相关事件（补充）（b）</w:t>
            </w:r>
          </w:p>
        </w:tc>
        <w:tc>
          <w:tcPr>
            <w:tcW w:w="4394" w:type="dxa"/>
            <w:tcMar>
              <w:top w:w="80" w:type="dxa"/>
              <w:left w:w="100" w:type="dxa"/>
              <w:bottom w:w="80" w:type="dxa"/>
              <w:right w:w="100" w:type="dxa"/>
            </w:tcMar>
            <w:vAlign w:val="center"/>
          </w:tcPr>
          <w:p w14:paraId="329A5773" w14:textId="77777777" w:rsidR="000817FF" w:rsidRDefault="00FB291E">
            <w:pPr>
              <w:jc w:val="center"/>
            </w:pPr>
            <w:r>
              <w:rPr>
                <w:sz w:val="18"/>
              </w:rPr>
              <w:t>6,350</w:t>
            </w:r>
          </w:p>
        </w:tc>
      </w:tr>
      <w:tr w:rsidR="000817FF" w14:paraId="421F15B5" w14:textId="77777777">
        <w:tc>
          <w:tcPr>
            <w:tcW w:w="4394" w:type="dxa"/>
            <w:tcMar>
              <w:top w:w="80" w:type="dxa"/>
              <w:left w:w="100" w:type="dxa"/>
              <w:bottom w:w="80" w:type="dxa"/>
              <w:right w:w="100" w:type="dxa"/>
            </w:tcMar>
            <w:vAlign w:val="center"/>
          </w:tcPr>
          <w:p w14:paraId="7F71B368" w14:textId="77777777" w:rsidR="000817FF" w:rsidRDefault="00FB291E">
            <w:pPr>
              <w:jc w:val="center"/>
            </w:pPr>
            <w:r>
              <w:t>未暴露但发生广义跌倒相关事件（补充）（c）</w:t>
            </w:r>
          </w:p>
        </w:tc>
        <w:tc>
          <w:tcPr>
            <w:tcW w:w="4394" w:type="dxa"/>
            <w:tcMar>
              <w:top w:w="80" w:type="dxa"/>
              <w:left w:w="100" w:type="dxa"/>
              <w:bottom w:w="80" w:type="dxa"/>
              <w:right w:w="100" w:type="dxa"/>
            </w:tcMar>
            <w:vAlign w:val="center"/>
          </w:tcPr>
          <w:p w14:paraId="47FCA3A7" w14:textId="77777777" w:rsidR="000817FF" w:rsidRDefault="00FB291E">
            <w:pPr>
              <w:jc w:val="center"/>
            </w:pPr>
            <w:r>
              <w:rPr>
                <w:sz w:val="18"/>
              </w:rPr>
              <w:t>297,438</w:t>
            </w:r>
          </w:p>
        </w:tc>
      </w:tr>
      <w:tr w:rsidR="000817FF" w14:paraId="1424BC47" w14:textId="77777777">
        <w:tc>
          <w:tcPr>
            <w:tcW w:w="4394" w:type="dxa"/>
            <w:tcMar>
              <w:top w:w="80" w:type="dxa"/>
              <w:left w:w="100" w:type="dxa"/>
              <w:bottom w:w="80" w:type="dxa"/>
              <w:right w:w="100" w:type="dxa"/>
            </w:tcMar>
            <w:vAlign w:val="center"/>
          </w:tcPr>
          <w:p w14:paraId="3D90AB01" w14:textId="77777777" w:rsidR="000817FF" w:rsidRDefault="00FB291E">
            <w:r>
              <w:t>未暴露且未发生广义跌倒相关事件（补充）（d）</w:t>
            </w:r>
          </w:p>
        </w:tc>
        <w:tc>
          <w:tcPr>
            <w:tcW w:w="4394" w:type="dxa"/>
            <w:tcMar>
              <w:top w:w="80" w:type="dxa"/>
              <w:left w:w="100" w:type="dxa"/>
              <w:bottom w:w="80" w:type="dxa"/>
              <w:right w:w="100" w:type="dxa"/>
            </w:tcMar>
            <w:vAlign w:val="center"/>
          </w:tcPr>
          <w:p w14:paraId="71FD0E91" w14:textId="77777777" w:rsidR="000817FF" w:rsidRDefault="00FB291E">
            <w:pPr>
              <w:jc w:val="center"/>
            </w:pPr>
            <w:r>
              <w:rPr>
                <w:sz w:val="18"/>
              </w:rPr>
              <w:t>3,849,437</w:t>
            </w:r>
          </w:p>
        </w:tc>
      </w:tr>
      <w:tr w:rsidR="000817FF" w14:paraId="288DF03C" w14:textId="77777777">
        <w:tc>
          <w:tcPr>
            <w:tcW w:w="4394" w:type="dxa"/>
            <w:tcMar>
              <w:top w:w="80" w:type="dxa"/>
              <w:left w:w="100" w:type="dxa"/>
              <w:bottom w:w="80" w:type="dxa"/>
              <w:right w:w="100" w:type="dxa"/>
            </w:tcMar>
            <w:vAlign w:val="center"/>
          </w:tcPr>
          <w:p w14:paraId="60579CF9" w14:textId="77777777" w:rsidR="000817FF" w:rsidRDefault="00FB291E">
            <w:pPr>
              <w:jc w:val="center"/>
            </w:pPr>
            <w:r>
              <w:rPr>
                <w:sz w:val="18"/>
              </w:rPr>
              <w:t>暴露组病例数</w:t>
            </w:r>
          </w:p>
        </w:tc>
        <w:tc>
          <w:tcPr>
            <w:tcW w:w="4394" w:type="dxa"/>
            <w:tcMar>
              <w:top w:w="80" w:type="dxa"/>
              <w:left w:w="100" w:type="dxa"/>
              <w:bottom w:w="80" w:type="dxa"/>
              <w:right w:w="100" w:type="dxa"/>
            </w:tcMar>
            <w:vAlign w:val="center"/>
          </w:tcPr>
          <w:p w14:paraId="1C2DEA9B" w14:textId="77777777" w:rsidR="000817FF" w:rsidRDefault="00FB291E">
            <w:pPr>
              <w:jc w:val="center"/>
            </w:pPr>
            <w:r>
              <w:rPr>
                <w:sz w:val="18"/>
              </w:rPr>
              <w:t>7,798</w:t>
            </w:r>
          </w:p>
        </w:tc>
      </w:tr>
      <w:tr w:rsidR="000817FF" w14:paraId="26BCD3BF" w14:textId="77777777">
        <w:tc>
          <w:tcPr>
            <w:tcW w:w="4394" w:type="dxa"/>
            <w:tcMar>
              <w:top w:w="80" w:type="dxa"/>
              <w:left w:w="100" w:type="dxa"/>
              <w:bottom w:w="80" w:type="dxa"/>
              <w:right w:w="100" w:type="dxa"/>
            </w:tcMar>
            <w:vAlign w:val="center"/>
          </w:tcPr>
          <w:p w14:paraId="684602EA" w14:textId="77777777" w:rsidR="000817FF" w:rsidRDefault="00FB291E">
            <w:pPr>
              <w:jc w:val="center"/>
            </w:pPr>
            <w:r>
              <w:rPr>
                <w:sz w:val="18"/>
              </w:rPr>
              <w:t>暴露组报告比例</w:t>
            </w:r>
          </w:p>
        </w:tc>
        <w:tc>
          <w:tcPr>
            <w:tcW w:w="4394" w:type="dxa"/>
            <w:tcMar>
              <w:top w:w="80" w:type="dxa"/>
              <w:left w:w="100" w:type="dxa"/>
              <w:bottom w:w="80" w:type="dxa"/>
              <w:right w:w="100" w:type="dxa"/>
            </w:tcMar>
            <w:vAlign w:val="center"/>
          </w:tcPr>
          <w:p w14:paraId="60EAB208" w14:textId="77777777" w:rsidR="000817FF" w:rsidRDefault="00FB291E">
            <w:pPr>
              <w:jc w:val="center"/>
            </w:pPr>
            <w:r>
              <w:rPr>
                <w:sz w:val="18"/>
              </w:rPr>
              <w:t>18.57%</w:t>
            </w:r>
          </w:p>
        </w:tc>
      </w:tr>
      <w:tr w:rsidR="000817FF" w14:paraId="166C43CE" w14:textId="77777777">
        <w:tc>
          <w:tcPr>
            <w:tcW w:w="4394" w:type="dxa"/>
            <w:tcMar>
              <w:top w:w="80" w:type="dxa"/>
              <w:left w:w="100" w:type="dxa"/>
              <w:bottom w:w="80" w:type="dxa"/>
              <w:right w:w="100" w:type="dxa"/>
            </w:tcMar>
            <w:vAlign w:val="center"/>
          </w:tcPr>
          <w:p w14:paraId="3513FD03" w14:textId="77777777" w:rsidR="000817FF" w:rsidRDefault="00FB291E">
            <w:pPr>
              <w:jc w:val="center"/>
            </w:pPr>
            <w:r>
              <w:rPr>
                <w:sz w:val="18"/>
              </w:rPr>
              <w:t>参照组报告比例</w:t>
            </w:r>
          </w:p>
        </w:tc>
        <w:tc>
          <w:tcPr>
            <w:tcW w:w="4394" w:type="dxa"/>
            <w:tcMar>
              <w:top w:w="80" w:type="dxa"/>
              <w:left w:w="100" w:type="dxa"/>
              <w:bottom w:w="80" w:type="dxa"/>
              <w:right w:w="100" w:type="dxa"/>
            </w:tcMar>
            <w:vAlign w:val="center"/>
          </w:tcPr>
          <w:p w14:paraId="5ADE1F86" w14:textId="77777777" w:rsidR="000817FF" w:rsidRDefault="00FB291E">
            <w:pPr>
              <w:jc w:val="center"/>
            </w:pPr>
            <w:r>
              <w:rPr>
                <w:sz w:val="18"/>
              </w:rPr>
              <w:t>7.17%</w:t>
            </w:r>
          </w:p>
        </w:tc>
      </w:tr>
      <w:tr w:rsidR="000817FF" w14:paraId="7E558CAB" w14:textId="77777777">
        <w:tc>
          <w:tcPr>
            <w:tcW w:w="4394" w:type="dxa"/>
            <w:tcMar>
              <w:top w:w="80" w:type="dxa"/>
              <w:left w:w="100" w:type="dxa"/>
              <w:bottom w:w="80" w:type="dxa"/>
              <w:right w:w="100" w:type="dxa"/>
            </w:tcMar>
            <w:vAlign w:val="center"/>
          </w:tcPr>
          <w:p w14:paraId="5271ED6F" w14:textId="77777777" w:rsidR="000817FF" w:rsidRDefault="00FB291E">
            <w:pPr>
              <w:jc w:val="center"/>
            </w:pPr>
            <w:r>
              <w:rPr>
                <w:sz w:val="18"/>
              </w:rPr>
              <w:t>ROR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77AE8C9E" w14:textId="77777777" w:rsidR="000817FF" w:rsidRDefault="00FB291E">
            <w:pPr>
              <w:jc w:val="center"/>
            </w:pPr>
            <w:r>
              <w:rPr>
                <w:sz w:val="18"/>
              </w:rPr>
              <w:t>2.95</w:t>
            </w:r>
            <w:r>
              <w:rPr>
                <w:sz w:val="18"/>
              </w:rPr>
              <w:t>（</w:t>
            </w:r>
            <w:r>
              <w:rPr>
                <w:sz w:val="18"/>
              </w:rPr>
              <w:t>2.79-3.12</w:t>
            </w:r>
            <w:r>
              <w:rPr>
                <w:sz w:val="18"/>
              </w:rPr>
              <w:t>）</w:t>
            </w:r>
          </w:p>
        </w:tc>
      </w:tr>
      <w:tr w:rsidR="000817FF" w14:paraId="4A82F3CB" w14:textId="77777777">
        <w:tc>
          <w:tcPr>
            <w:tcW w:w="4394" w:type="dxa"/>
            <w:tcMar>
              <w:top w:w="80" w:type="dxa"/>
              <w:left w:w="100" w:type="dxa"/>
              <w:bottom w:w="80" w:type="dxa"/>
              <w:right w:w="100" w:type="dxa"/>
            </w:tcMar>
            <w:vAlign w:val="center"/>
          </w:tcPr>
          <w:p w14:paraId="33028551" w14:textId="77777777" w:rsidR="000817FF" w:rsidRDefault="00FB291E">
            <w:pPr>
              <w:jc w:val="center"/>
            </w:pPr>
            <w:r>
              <w:rPr>
                <w:sz w:val="18"/>
              </w:rPr>
              <w:t>PRR</w:t>
            </w:r>
            <w:r>
              <w:rPr>
                <w:sz w:val="18"/>
              </w:rPr>
              <w:t>（</w:t>
            </w:r>
            <w:r>
              <w:rPr>
                <w:sz w:val="18"/>
              </w:rPr>
              <w:t>95%CI</w:t>
            </w:r>
            <w:r>
              <w:rPr>
                <w:sz w:val="18"/>
              </w:rPr>
              <w:t>）</w:t>
            </w:r>
          </w:p>
        </w:tc>
        <w:tc>
          <w:tcPr>
            <w:tcW w:w="4394" w:type="dxa"/>
            <w:tcMar>
              <w:top w:w="80" w:type="dxa"/>
              <w:left w:w="100" w:type="dxa"/>
              <w:bottom w:w="80" w:type="dxa"/>
              <w:right w:w="100" w:type="dxa"/>
            </w:tcMar>
            <w:vAlign w:val="center"/>
          </w:tcPr>
          <w:p w14:paraId="02C13E62" w14:textId="77777777" w:rsidR="000817FF" w:rsidRDefault="00FB291E">
            <w:pPr>
              <w:jc w:val="center"/>
            </w:pPr>
            <w:r>
              <w:rPr>
                <w:sz w:val="18"/>
              </w:rPr>
              <w:t>2.59</w:t>
            </w:r>
            <w:r>
              <w:rPr>
                <w:sz w:val="18"/>
              </w:rPr>
              <w:t>（</w:t>
            </w:r>
            <w:r>
              <w:rPr>
                <w:sz w:val="18"/>
              </w:rPr>
              <w:t>2.47-2.71</w:t>
            </w:r>
            <w:r>
              <w:rPr>
                <w:sz w:val="18"/>
              </w:rPr>
              <w:t>）</w:t>
            </w:r>
          </w:p>
        </w:tc>
      </w:tr>
      <w:tr w:rsidR="000817FF" w14:paraId="7762AE48" w14:textId="77777777">
        <w:tc>
          <w:tcPr>
            <w:tcW w:w="4394" w:type="dxa"/>
            <w:tcMar>
              <w:top w:w="80" w:type="dxa"/>
              <w:left w:w="100" w:type="dxa"/>
              <w:bottom w:w="80" w:type="dxa"/>
              <w:right w:w="100" w:type="dxa"/>
            </w:tcMar>
            <w:vAlign w:val="center"/>
          </w:tcPr>
          <w:p w14:paraId="1CCF8373" w14:textId="77777777" w:rsidR="000817FF" w:rsidRDefault="00FB291E">
            <w:pPr>
              <w:jc w:val="center"/>
            </w:pPr>
            <w:r>
              <w:rPr>
                <w:sz w:val="18"/>
              </w:rPr>
              <w:t>IC</w:t>
            </w:r>
            <w:r>
              <w:rPr>
                <w:sz w:val="18"/>
              </w:rPr>
              <w:t>（</w:t>
            </w:r>
            <w:r>
              <w:rPr>
                <w:sz w:val="18"/>
              </w:rPr>
              <w:t>IC025-IC975</w:t>
            </w:r>
            <w:r>
              <w:rPr>
                <w:sz w:val="18"/>
              </w:rPr>
              <w:t>）</w:t>
            </w:r>
          </w:p>
        </w:tc>
        <w:tc>
          <w:tcPr>
            <w:tcW w:w="4394" w:type="dxa"/>
            <w:tcMar>
              <w:top w:w="80" w:type="dxa"/>
              <w:left w:w="100" w:type="dxa"/>
              <w:bottom w:w="80" w:type="dxa"/>
              <w:right w:w="100" w:type="dxa"/>
            </w:tcMar>
            <w:vAlign w:val="center"/>
          </w:tcPr>
          <w:p w14:paraId="5FF28EF1" w14:textId="77777777" w:rsidR="000817FF" w:rsidRDefault="00FB291E">
            <w:pPr>
              <w:jc w:val="center"/>
            </w:pPr>
            <w:r>
              <w:rPr>
                <w:sz w:val="18"/>
              </w:rPr>
              <w:t>1.37</w:t>
            </w:r>
            <w:r>
              <w:rPr>
                <w:sz w:val="18"/>
              </w:rPr>
              <w:t>（</w:t>
            </w:r>
            <w:r>
              <w:rPr>
                <w:sz w:val="18"/>
              </w:rPr>
              <w:t>1.29-1.44</w:t>
            </w:r>
            <w:r>
              <w:rPr>
                <w:sz w:val="18"/>
              </w:rPr>
              <w:t>）</w:t>
            </w:r>
          </w:p>
        </w:tc>
      </w:tr>
      <w:tr w:rsidR="000817FF" w14:paraId="0ADC8771" w14:textId="77777777">
        <w:tc>
          <w:tcPr>
            <w:tcW w:w="4394" w:type="dxa"/>
            <w:tcMar>
              <w:top w:w="80" w:type="dxa"/>
              <w:left w:w="100" w:type="dxa"/>
              <w:bottom w:w="80" w:type="dxa"/>
              <w:right w:w="100" w:type="dxa"/>
            </w:tcMar>
            <w:vAlign w:val="center"/>
          </w:tcPr>
          <w:p w14:paraId="1FC4EE3A" w14:textId="77777777" w:rsidR="000817FF" w:rsidRDefault="00FB291E">
            <w:pPr>
              <w:jc w:val="center"/>
            </w:pPr>
            <w:r>
              <w:rPr>
                <w:sz w:val="18"/>
              </w:rPr>
              <w:t>EBGM</w:t>
            </w:r>
            <w:r>
              <w:rPr>
                <w:sz w:val="18"/>
              </w:rPr>
              <w:t>（</w:t>
            </w:r>
            <w:r>
              <w:rPr>
                <w:sz w:val="18"/>
              </w:rPr>
              <w:t>EB05-EB95</w:t>
            </w:r>
            <w:r>
              <w:rPr>
                <w:sz w:val="18"/>
              </w:rPr>
              <w:t>）</w:t>
            </w:r>
          </w:p>
        </w:tc>
        <w:tc>
          <w:tcPr>
            <w:tcW w:w="4394" w:type="dxa"/>
            <w:tcMar>
              <w:top w:w="80" w:type="dxa"/>
              <w:left w:w="100" w:type="dxa"/>
              <w:bottom w:w="80" w:type="dxa"/>
              <w:right w:w="100" w:type="dxa"/>
            </w:tcMar>
            <w:vAlign w:val="center"/>
          </w:tcPr>
          <w:p w14:paraId="60F3FA77" w14:textId="77777777" w:rsidR="000817FF" w:rsidRDefault="00FB291E">
            <w:pPr>
              <w:jc w:val="center"/>
            </w:pPr>
            <w:r>
              <w:rPr>
                <w:sz w:val="18"/>
              </w:rPr>
              <w:t>2.58</w:t>
            </w:r>
            <w:r>
              <w:rPr>
                <w:sz w:val="18"/>
              </w:rPr>
              <w:t>（</w:t>
            </w:r>
            <w:r>
              <w:rPr>
                <w:sz w:val="18"/>
              </w:rPr>
              <w:t>2.47-2.69</w:t>
            </w:r>
            <w:r>
              <w:rPr>
                <w:sz w:val="18"/>
              </w:rPr>
              <w:t>）</w:t>
            </w:r>
          </w:p>
        </w:tc>
      </w:tr>
      <w:tr w:rsidR="000817FF" w14:paraId="237E7230" w14:textId="77777777">
        <w:tc>
          <w:tcPr>
            <w:tcW w:w="4394" w:type="dxa"/>
            <w:tcMar>
              <w:top w:w="80" w:type="dxa"/>
              <w:left w:w="100" w:type="dxa"/>
              <w:bottom w:w="80" w:type="dxa"/>
              <w:right w:w="100" w:type="dxa"/>
            </w:tcMar>
            <w:vAlign w:val="center"/>
          </w:tcPr>
          <w:p w14:paraId="4944B638" w14:textId="77777777" w:rsidR="000817FF" w:rsidRDefault="00FB291E">
            <w:pPr>
              <w:jc w:val="center"/>
            </w:pPr>
            <w:r>
              <w:rPr>
                <w:sz w:val="18"/>
              </w:rPr>
              <w:t>信号结论</w:t>
            </w:r>
          </w:p>
        </w:tc>
        <w:tc>
          <w:tcPr>
            <w:tcW w:w="4394" w:type="dxa"/>
            <w:tcMar>
              <w:top w:w="80" w:type="dxa"/>
              <w:left w:w="100" w:type="dxa"/>
              <w:bottom w:w="80" w:type="dxa"/>
              <w:right w:w="100" w:type="dxa"/>
            </w:tcMar>
            <w:vAlign w:val="center"/>
          </w:tcPr>
          <w:p w14:paraId="6C0F56B6" w14:textId="77777777" w:rsidR="000817FF" w:rsidRDefault="00FB291E">
            <w:pPr>
              <w:jc w:val="center"/>
            </w:pPr>
            <w:r>
              <w:rPr>
                <w:sz w:val="18"/>
              </w:rPr>
              <w:t>检测到信号</w:t>
            </w:r>
          </w:p>
        </w:tc>
      </w:tr>
    </w:tbl>
    <w:p w14:paraId="44EF6ED5" w14:textId="77777777" w:rsidR="000817FF" w:rsidRDefault="000817FF"/>
    <w:p w14:paraId="307BC197" w14:textId="77777777" w:rsidR="000817FF" w:rsidRDefault="00FB291E">
      <w:pPr>
        <w:spacing w:after="120" w:line="360" w:lineRule="auto"/>
        <w:ind w:firstLine="420"/>
      </w:pPr>
      <w:r>
        <w:t>与严格 PT 跌倒结局相比，广义跌倒相关事件（补充）的信号强度较低，但方向一致。这可能与广义结局包含低血压、步态异常、视觉障碍、平衡障碍和眩晕等多类相关临床表现有关。这些事件与跌倒风险有关，但特异性低于直接跌倒事件，因此信号强度有所下降是可以理解的。</w:t>
      </w:r>
    </w:p>
    <w:p w14:paraId="16BE7A07" w14:textId="77777777" w:rsidR="000817FF" w:rsidRDefault="00FB291E">
      <w:pPr>
        <w:pStyle w:val="21"/>
        <w:spacing w:before="160" w:after="80"/>
      </w:pPr>
      <w:bookmarkStart w:id="62" w:name="_Toc230281361"/>
      <w:r>
        <w:rPr>
          <w:rFonts w:ascii="Times New Roman" w:eastAsia="宋体" w:hAnsi="Times New Roman"/>
        </w:rPr>
        <w:lastRenderedPageBreak/>
        <w:t xml:space="preserve">4.3 PS only </w:t>
      </w:r>
      <w:r>
        <w:rPr>
          <w:rFonts w:ascii="Times New Roman" w:eastAsia="宋体" w:hAnsi="Times New Roman"/>
        </w:rPr>
        <w:t>敏感性分析</w:t>
      </w:r>
      <w:bookmarkEnd w:id="62"/>
    </w:p>
    <w:p w14:paraId="245C0C8D" w14:textId="77777777" w:rsidR="000817FF" w:rsidRDefault="00FB291E">
      <w:pPr>
        <w:spacing w:after="120" w:line="360" w:lineRule="auto"/>
        <w:ind w:firstLine="420"/>
      </w:pPr>
      <w:r>
        <w:rPr>
          <w:sz w:val="21"/>
        </w:rPr>
        <w:t>为了验证主分析结果是否受到暴露定义影响，本研究进一步采用更严格的</w:t>
      </w:r>
      <w:r>
        <w:rPr>
          <w:sz w:val="21"/>
        </w:rPr>
        <w:t xml:space="preserve"> PS only </w:t>
      </w:r>
      <w:r>
        <w:rPr>
          <w:sz w:val="21"/>
        </w:rPr>
        <w:t>暴露口径进行敏感性分析。</w:t>
      </w:r>
      <w:r>
        <w:rPr>
          <w:sz w:val="21"/>
        </w:rPr>
        <w:t xml:space="preserve">PS only </w:t>
      </w:r>
      <w:r>
        <w:rPr>
          <w:sz w:val="21"/>
        </w:rPr>
        <w:t>口径下，仅当唑吡坦被报告为</w:t>
      </w:r>
      <w:r>
        <w:rPr>
          <w:sz w:val="21"/>
        </w:rPr>
        <w:t xml:space="preserve"> primary suspect </w:t>
      </w:r>
      <w:r>
        <w:rPr>
          <w:sz w:val="21"/>
        </w:rPr>
        <w:t>时才定义为暴露。</w:t>
      </w:r>
    </w:p>
    <w:p w14:paraId="7A5A44ED" w14:textId="77777777" w:rsidR="000817FF" w:rsidRDefault="00FB291E">
      <w:pPr>
        <w:spacing w:after="120" w:line="360" w:lineRule="auto"/>
        <w:ind w:firstLine="420"/>
      </w:pPr>
      <w:r>
        <w:t>严格 PT 跌倒结局分析显示，唑吡坦 primary suspect 暴露组共有 4,314 例，其中严格 PT 跌倒事件 465 例，未发生严格 PT 跌倒事件 3,849 例；参照组中严格 PT 跌倒事件 131,798 例，非严格 PT 跌倒事件 4,018,121 例。暴露组报告比例为 10.78%，参照组为 3.18%。</w:t>
      </w:r>
    </w:p>
    <w:p w14:paraId="741331C7" w14:textId="77777777" w:rsidR="000817FF" w:rsidRDefault="00FB291E">
      <w:pPr>
        <w:spacing w:after="120" w:line="360" w:lineRule="auto"/>
        <w:ind w:firstLine="420"/>
      </w:pPr>
      <w:r>
        <w:rPr>
          <w:sz w:val="21"/>
        </w:rPr>
        <w:t>不成比例分析显示，</w:t>
      </w:r>
      <w:r>
        <w:rPr>
          <w:sz w:val="21"/>
        </w:rPr>
        <w:t xml:space="preserve">PS only </w:t>
      </w:r>
      <w:r>
        <w:rPr>
          <w:sz w:val="21"/>
        </w:rPr>
        <w:t>口径下仍存在阳性信号。</w:t>
      </w:r>
      <w:r>
        <w:rPr>
          <w:sz w:val="21"/>
        </w:rPr>
        <w:t xml:space="preserve">ROR </w:t>
      </w:r>
      <w:r>
        <w:rPr>
          <w:sz w:val="21"/>
        </w:rPr>
        <w:t>为</w:t>
      </w:r>
      <w:r>
        <w:rPr>
          <w:sz w:val="21"/>
        </w:rPr>
        <w:t xml:space="preserve"> 3.68</w:t>
      </w:r>
      <w:r>
        <w:rPr>
          <w:sz w:val="21"/>
        </w:rPr>
        <w:t>，</w:t>
      </w:r>
      <w:r>
        <w:rPr>
          <w:sz w:val="21"/>
        </w:rPr>
        <w:t xml:space="preserve">95%CI </w:t>
      </w:r>
      <w:r>
        <w:rPr>
          <w:sz w:val="21"/>
        </w:rPr>
        <w:t>为</w:t>
      </w:r>
      <w:r>
        <w:rPr>
          <w:sz w:val="21"/>
        </w:rPr>
        <w:t xml:space="preserve"> 3.34-4.06</w:t>
      </w:r>
      <w:r>
        <w:rPr>
          <w:sz w:val="21"/>
        </w:rPr>
        <w:t>；</w:t>
      </w:r>
      <w:r>
        <w:rPr>
          <w:sz w:val="21"/>
        </w:rPr>
        <w:t xml:space="preserve">PRR </w:t>
      </w:r>
      <w:r>
        <w:rPr>
          <w:sz w:val="21"/>
        </w:rPr>
        <w:t>为</w:t>
      </w:r>
      <w:r>
        <w:rPr>
          <w:sz w:val="21"/>
        </w:rPr>
        <w:t xml:space="preserve"> 3.39</w:t>
      </w:r>
      <w:r>
        <w:rPr>
          <w:sz w:val="21"/>
        </w:rPr>
        <w:t>，</w:t>
      </w:r>
      <w:r>
        <w:rPr>
          <w:sz w:val="21"/>
        </w:rPr>
        <w:t xml:space="preserve">95%CI </w:t>
      </w:r>
      <w:r>
        <w:rPr>
          <w:sz w:val="21"/>
        </w:rPr>
        <w:t>为</w:t>
      </w:r>
      <w:r>
        <w:rPr>
          <w:sz w:val="21"/>
        </w:rPr>
        <w:t xml:space="preserve"> 3.11-3.70</w:t>
      </w:r>
      <w:r>
        <w:rPr>
          <w:sz w:val="21"/>
        </w:rPr>
        <w:t>；</w:t>
      </w:r>
      <w:r>
        <w:rPr>
          <w:sz w:val="21"/>
        </w:rPr>
        <w:t xml:space="preserve">IC </w:t>
      </w:r>
      <w:r>
        <w:rPr>
          <w:sz w:val="21"/>
        </w:rPr>
        <w:t>为</w:t>
      </w:r>
      <w:r>
        <w:rPr>
          <w:sz w:val="21"/>
        </w:rPr>
        <w:t xml:space="preserve"> 1.76</w:t>
      </w:r>
      <w:r>
        <w:rPr>
          <w:sz w:val="21"/>
        </w:rPr>
        <w:t>，</w:t>
      </w:r>
      <w:r>
        <w:rPr>
          <w:sz w:val="21"/>
        </w:rPr>
        <w:t xml:space="preserve">IC025 </w:t>
      </w:r>
      <w:r>
        <w:rPr>
          <w:sz w:val="21"/>
        </w:rPr>
        <w:t>为</w:t>
      </w:r>
      <w:r>
        <w:rPr>
          <w:sz w:val="21"/>
        </w:rPr>
        <w:t xml:space="preserve"> 1.62</w:t>
      </w:r>
      <w:r>
        <w:rPr>
          <w:sz w:val="21"/>
        </w:rPr>
        <w:t>；</w:t>
      </w:r>
      <w:r>
        <w:rPr>
          <w:sz w:val="21"/>
        </w:rPr>
        <w:t xml:space="preserve">EBGM </w:t>
      </w:r>
      <w:r>
        <w:rPr>
          <w:sz w:val="21"/>
        </w:rPr>
        <w:t>为</w:t>
      </w:r>
      <w:r>
        <w:rPr>
          <w:sz w:val="21"/>
        </w:rPr>
        <w:t xml:space="preserve"> 3.36</w:t>
      </w:r>
      <w:r>
        <w:rPr>
          <w:sz w:val="21"/>
        </w:rPr>
        <w:t>，</w:t>
      </w:r>
      <w:r>
        <w:rPr>
          <w:sz w:val="21"/>
        </w:rPr>
        <w:t xml:space="preserve">EB05 </w:t>
      </w:r>
      <w:r>
        <w:rPr>
          <w:sz w:val="21"/>
        </w:rPr>
        <w:t>为</w:t>
      </w:r>
      <w:r>
        <w:rPr>
          <w:sz w:val="21"/>
        </w:rPr>
        <w:t xml:space="preserve"> 3.12</w:t>
      </w:r>
      <w:r>
        <w:rPr>
          <w:sz w:val="21"/>
        </w:rPr>
        <w:t>。四种方法均提示阳性信号。</w:t>
      </w:r>
    </w:p>
    <w:p w14:paraId="1F699EE6" w14:textId="77777777" w:rsidR="000817FF" w:rsidRDefault="00FB291E">
      <w:pPr>
        <w:spacing w:after="120" w:line="360" w:lineRule="auto"/>
        <w:ind w:firstLine="420"/>
      </w:pPr>
      <w:r>
        <w:t>广义跌倒相关事件（补充）分析中，唑吡坦 primary suspect 暴露组发生广义跌倒相关事件（补充） 661 例，暴露组报告比例为 15.32%，参照组为 7.19%。ROR 为 2.34，95%CI 为 2.15-2.54；PRR 为 2.13，95%CI 为 1.99-2.29；IC 为 1.09，IC025 为 0.98；EBGM 为 2.12，EB05 为 1.99。该分析中 ROR、PRR 和 IC 均达到阳性标准，EBGM 下限略低于 2，但综合判定仍为检测到信号。</w:t>
      </w:r>
    </w:p>
    <w:p w14:paraId="32019DEB" w14:textId="77777777" w:rsidR="000817FF" w:rsidRDefault="00FB291E">
      <w:pPr>
        <w:spacing w:after="120" w:line="360" w:lineRule="auto"/>
        <w:ind w:firstLine="420"/>
      </w:pPr>
      <w:r>
        <w:rPr>
          <w:sz w:val="21"/>
        </w:rPr>
        <w:t>表</w:t>
      </w:r>
      <w:r>
        <w:rPr>
          <w:sz w:val="21"/>
        </w:rPr>
        <w:t xml:space="preserve"> 4-3 </w:t>
      </w:r>
      <w:r>
        <w:rPr>
          <w:sz w:val="21"/>
        </w:rPr>
        <w:t>显示</w:t>
      </w:r>
      <w:r>
        <w:rPr>
          <w:sz w:val="21"/>
        </w:rPr>
        <w:t xml:space="preserve"> PS only </w:t>
      </w:r>
      <w:r>
        <w:rPr>
          <w:sz w:val="21"/>
        </w:rPr>
        <w:t>敏感性分析结果。</w:t>
      </w:r>
    </w:p>
    <w:p w14:paraId="03141B57" w14:textId="77777777" w:rsidR="000817FF" w:rsidRDefault="00FB291E">
      <w:pPr>
        <w:spacing w:after="120" w:line="360" w:lineRule="auto"/>
        <w:ind w:firstLine="420"/>
      </w:pPr>
      <w:r>
        <w:rPr>
          <w:sz w:val="21"/>
        </w:rPr>
        <w:t>表</w:t>
      </w:r>
      <w:r>
        <w:rPr>
          <w:sz w:val="21"/>
        </w:rPr>
        <w:t xml:space="preserve"> 4-3 PS only </w:t>
      </w:r>
      <w:r>
        <w:rPr>
          <w:sz w:val="21"/>
        </w:rPr>
        <w:t>口径下唑吡坦暴露与跌倒相关事件分析结果</w:t>
      </w:r>
    </w:p>
    <w:tbl>
      <w:tblPr>
        <w:tblStyle w:val="aff1"/>
        <w:tblW w:w="8788" w:type="dxa"/>
        <w:tblLayout w:type="fixed"/>
        <w:tblLook w:val="04A0" w:firstRow="1" w:lastRow="0" w:firstColumn="1" w:lastColumn="0" w:noHBand="0" w:noVBand="1"/>
      </w:tblPr>
      <w:tblGrid>
        <w:gridCol w:w="976"/>
        <w:gridCol w:w="976"/>
        <w:gridCol w:w="976"/>
        <w:gridCol w:w="976"/>
        <w:gridCol w:w="976"/>
        <w:gridCol w:w="976"/>
        <w:gridCol w:w="976"/>
        <w:gridCol w:w="976"/>
        <w:gridCol w:w="980"/>
      </w:tblGrid>
      <w:tr w:rsidR="000817FF" w14:paraId="77082660" w14:textId="77777777">
        <w:tc>
          <w:tcPr>
            <w:tcW w:w="976" w:type="dxa"/>
            <w:shd w:val="clear" w:color="auto" w:fill="EDEDED"/>
            <w:tcMar>
              <w:top w:w="80" w:type="dxa"/>
              <w:left w:w="100" w:type="dxa"/>
              <w:bottom w:w="80" w:type="dxa"/>
              <w:right w:w="100" w:type="dxa"/>
            </w:tcMar>
            <w:vAlign w:val="center"/>
          </w:tcPr>
          <w:p w14:paraId="3569795A" w14:textId="77777777" w:rsidR="000817FF" w:rsidRDefault="00FB291E">
            <w:pPr>
              <w:jc w:val="center"/>
            </w:pPr>
            <w:r>
              <w:rPr>
                <w:b/>
                <w:sz w:val="18"/>
              </w:rPr>
              <w:t>结局</w:t>
            </w:r>
          </w:p>
        </w:tc>
        <w:tc>
          <w:tcPr>
            <w:tcW w:w="976" w:type="dxa"/>
            <w:shd w:val="clear" w:color="auto" w:fill="EDEDED"/>
            <w:tcMar>
              <w:top w:w="80" w:type="dxa"/>
              <w:left w:w="100" w:type="dxa"/>
              <w:bottom w:w="80" w:type="dxa"/>
              <w:right w:w="100" w:type="dxa"/>
            </w:tcMar>
            <w:vAlign w:val="center"/>
          </w:tcPr>
          <w:p w14:paraId="2A6133A3" w14:textId="77777777" w:rsidR="000817FF" w:rsidRDefault="00FB291E">
            <w:pPr>
              <w:jc w:val="center"/>
            </w:pPr>
            <w:r>
              <w:rPr>
                <w:b/>
                <w:sz w:val="18"/>
              </w:rPr>
              <w:t>暴露且发生结局</w:t>
            </w:r>
          </w:p>
        </w:tc>
        <w:tc>
          <w:tcPr>
            <w:tcW w:w="976" w:type="dxa"/>
            <w:shd w:val="clear" w:color="auto" w:fill="EDEDED"/>
            <w:tcMar>
              <w:top w:w="80" w:type="dxa"/>
              <w:left w:w="100" w:type="dxa"/>
              <w:bottom w:w="80" w:type="dxa"/>
              <w:right w:w="100" w:type="dxa"/>
            </w:tcMar>
            <w:vAlign w:val="center"/>
          </w:tcPr>
          <w:p w14:paraId="6E06B8B2" w14:textId="77777777" w:rsidR="000817FF" w:rsidRDefault="00FB291E">
            <w:pPr>
              <w:jc w:val="center"/>
            </w:pPr>
            <w:r>
              <w:rPr>
                <w:b/>
                <w:sz w:val="18"/>
              </w:rPr>
              <w:t>暴露组病例数</w:t>
            </w:r>
          </w:p>
        </w:tc>
        <w:tc>
          <w:tcPr>
            <w:tcW w:w="976" w:type="dxa"/>
            <w:shd w:val="clear" w:color="auto" w:fill="EDEDED"/>
            <w:tcMar>
              <w:top w:w="80" w:type="dxa"/>
              <w:left w:w="100" w:type="dxa"/>
              <w:bottom w:w="80" w:type="dxa"/>
              <w:right w:w="100" w:type="dxa"/>
            </w:tcMar>
            <w:vAlign w:val="center"/>
          </w:tcPr>
          <w:p w14:paraId="12E8859E" w14:textId="77777777" w:rsidR="000817FF" w:rsidRDefault="00FB291E">
            <w:pPr>
              <w:jc w:val="center"/>
            </w:pPr>
            <w:r>
              <w:rPr>
                <w:b/>
                <w:sz w:val="18"/>
              </w:rPr>
              <w:t>暴露组报告比例</w:t>
            </w:r>
          </w:p>
        </w:tc>
        <w:tc>
          <w:tcPr>
            <w:tcW w:w="976" w:type="dxa"/>
            <w:shd w:val="clear" w:color="auto" w:fill="EDEDED"/>
            <w:tcMar>
              <w:top w:w="80" w:type="dxa"/>
              <w:left w:w="100" w:type="dxa"/>
              <w:bottom w:w="80" w:type="dxa"/>
              <w:right w:w="100" w:type="dxa"/>
            </w:tcMar>
            <w:vAlign w:val="center"/>
          </w:tcPr>
          <w:p w14:paraId="7D5AC919" w14:textId="77777777" w:rsidR="000817FF" w:rsidRDefault="00FB291E">
            <w:pPr>
              <w:jc w:val="center"/>
            </w:pPr>
            <w:r>
              <w:rPr>
                <w:b/>
                <w:sz w:val="18"/>
              </w:rPr>
              <w:t>ROR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1EE1C7F5" w14:textId="77777777" w:rsidR="000817FF" w:rsidRDefault="00FB291E">
            <w:pPr>
              <w:jc w:val="center"/>
            </w:pPr>
            <w:r>
              <w:rPr>
                <w:b/>
                <w:sz w:val="18"/>
              </w:rPr>
              <w:t>PRR</w:t>
            </w:r>
            <w:r>
              <w:rPr>
                <w:b/>
                <w:sz w:val="18"/>
              </w:rPr>
              <w:t>（</w:t>
            </w:r>
            <w:r>
              <w:rPr>
                <w:b/>
                <w:sz w:val="18"/>
              </w:rPr>
              <w:t>95%CI</w:t>
            </w:r>
            <w:r>
              <w:rPr>
                <w:b/>
                <w:sz w:val="18"/>
              </w:rPr>
              <w:t>）</w:t>
            </w:r>
          </w:p>
        </w:tc>
        <w:tc>
          <w:tcPr>
            <w:tcW w:w="976" w:type="dxa"/>
            <w:shd w:val="clear" w:color="auto" w:fill="EDEDED"/>
            <w:tcMar>
              <w:top w:w="80" w:type="dxa"/>
              <w:left w:w="100" w:type="dxa"/>
              <w:bottom w:w="80" w:type="dxa"/>
              <w:right w:w="100" w:type="dxa"/>
            </w:tcMar>
            <w:vAlign w:val="center"/>
          </w:tcPr>
          <w:p w14:paraId="56C0CFDA" w14:textId="77777777" w:rsidR="000817FF" w:rsidRDefault="00FB291E">
            <w:pPr>
              <w:jc w:val="center"/>
            </w:pPr>
            <w:r>
              <w:rPr>
                <w:b/>
                <w:sz w:val="18"/>
              </w:rPr>
              <w:t>IC</w:t>
            </w:r>
            <w:r>
              <w:rPr>
                <w:b/>
                <w:sz w:val="18"/>
              </w:rPr>
              <w:t>（</w:t>
            </w:r>
            <w:r>
              <w:rPr>
                <w:b/>
                <w:sz w:val="18"/>
              </w:rPr>
              <w:t>IC025</w:t>
            </w:r>
            <w:r>
              <w:rPr>
                <w:b/>
                <w:sz w:val="18"/>
              </w:rPr>
              <w:t>）</w:t>
            </w:r>
          </w:p>
        </w:tc>
        <w:tc>
          <w:tcPr>
            <w:tcW w:w="976" w:type="dxa"/>
            <w:shd w:val="clear" w:color="auto" w:fill="EDEDED"/>
            <w:tcMar>
              <w:top w:w="80" w:type="dxa"/>
              <w:left w:w="100" w:type="dxa"/>
              <w:bottom w:w="80" w:type="dxa"/>
              <w:right w:w="100" w:type="dxa"/>
            </w:tcMar>
            <w:vAlign w:val="center"/>
          </w:tcPr>
          <w:p w14:paraId="3DF2D3D5" w14:textId="77777777" w:rsidR="000817FF" w:rsidRDefault="00FB291E">
            <w:pPr>
              <w:jc w:val="center"/>
            </w:pPr>
            <w:r>
              <w:rPr>
                <w:b/>
                <w:sz w:val="18"/>
              </w:rPr>
              <w:t>EBGM</w:t>
            </w:r>
            <w:r>
              <w:rPr>
                <w:b/>
                <w:sz w:val="18"/>
              </w:rPr>
              <w:t>（</w:t>
            </w:r>
            <w:r>
              <w:rPr>
                <w:b/>
                <w:sz w:val="18"/>
              </w:rPr>
              <w:t>EB05</w:t>
            </w:r>
            <w:r>
              <w:rPr>
                <w:b/>
                <w:sz w:val="18"/>
              </w:rPr>
              <w:t>）</w:t>
            </w:r>
          </w:p>
        </w:tc>
        <w:tc>
          <w:tcPr>
            <w:tcW w:w="980" w:type="dxa"/>
            <w:shd w:val="clear" w:color="auto" w:fill="EDEDED"/>
            <w:tcMar>
              <w:top w:w="80" w:type="dxa"/>
              <w:left w:w="100" w:type="dxa"/>
              <w:bottom w:w="80" w:type="dxa"/>
              <w:right w:w="100" w:type="dxa"/>
            </w:tcMar>
            <w:vAlign w:val="center"/>
          </w:tcPr>
          <w:p w14:paraId="27B572F7" w14:textId="77777777" w:rsidR="000817FF" w:rsidRDefault="00FB291E">
            <w:pPr>
              <w:jc w:val="center"/>
            </w:pPr>
            <w:r>
              <w:rPr>
                <w:b/>
                <w:sz w:val="18"/>
              </w:rPr>
              <w:t>结论</w:t>
            </w:r>
          </w:p>
        </w:tc>
      </w:tr>
      <w:tr w:rsidR="000817FF" w14:paraId="2A2A1BCC" w14:textId="77777777">
        <w:tc>
          <w:tcPr>
            <w:tcW w:w="976" w:type="dxa"/>
            <w:tcMar>
              <w:top w:w="80" w:type="dxa"/>
              <w:left w:w="100" w:type="dxa"/>
              <w:bottom w:w="80" w:type="dxa"/>
              <w:right w:w="100" w:type="dxa"/>
            </w:tcMar>
            <w:vAlign w:val="center"/>
          </w:tcPr>
          <w:p w14:paraId="0EB51701" w14:textId="77777777" w:rsidR="000817FF" w:rsidRDefault="00FB291E">
            <w:pPr>
              <w:jc w:val="center"/>
            </w:pPr>
            <w:r>
              <w:t>严格 PT 跌倒</w:t>
            </w:r>
          </w:p>
        </w:tc>
        <w:tc>
          <w:tcPr>
            <w:tcW w:w="976" w:type="dxa"/>
            <w:tcMar>
              <w:top w:w="80" w:type="dxa"/>
              <w:left w:w="100" w:type="dxa"/>
              <w:bottom w:w="80" w:type="dxa"/>
              <w:right w:w="100" w:type="dxa"/>
            </w:tcMar>
            <w:vAlign w:val="center"/>
          </w:tcPr>
          <w:p w14:paraId="54404B04" w14:textId="77777777" w:rsidR="000817FF" w:rsidRDefault="00FB291E">
            <w:pPr>
              <w:jc w:val="center"/>
            </w:pPr>
            <w:r>
              <w:rPr>
                <w:sz w:val="18"/>
              </w:rPr>
              <w:t>465</w:t>
            </w:r>
          </w:p>
        </w:tc>
        <w:tc>
          <w:tcPr>
            <w:tcW w:w="976" w:type="dxa"/>
            <w:tcMar>
              <w:top w:w="80" w:type="dxa"/>
              <w:left w:w="100" w:type="dxa"/>
              <w:bottom w:w="80" w:type="dxa"/>
              <w:right w:w="100" w:type="dxa"/>
            </w:tcMar>
            <w:vAlign w:val="center"/>
          </w:tcPr>
          <w:p w14:paraId="418AC77F"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04143453" w14:textId="77777777" w:rsidR="000817FF" w:rsidRDefault="00FB291E">
            <w:pPr>
              <w:jc w:val="center"/>
            </w:pPr>
            <w:r>
              <w:rPr>
                <w:sz w:val="18"/>
              </w:rPr>
              <w:t>10.78%</w:t>
            </w:r>
          </w:p>
        </w:tc>
        <w:tc>
          <w:tcPr>
            <w:tcW w:w="976" w:type="dxa"/>
            <w:tcMar>
              <w:top w:w="80" w:type="dxa"/>
              <w:left w:w="100" w:type="dxa"/>
              <w:bottom w:w="80" w:type="dxa"/>
              <w:right w:w="100" w:type="dxa"/>
            </w:tcMar>
            <w:vAlign w:val="center"/>
          </w:tcPr>
          <w:p w14:paraId="1627F7D2" w14:textId="77777777" w:rsidR="000817FF" w:rsidRDefault="00FB291E">
            <w:pPr>
              <w:jc w:val="center"/>
            </w:pPr>
            <w:r>
              <w:rPr>
                <w:sz w:val="18"/>
              </w:rPr>
              <w:t>3.68</w:t>
            </w:r>
            <w:r>
              <w:rPr>
                <w:sz w:val="18"/>
              </w:rPr>
              <w:t>（</w:t>
            </w:r>
            <w:r>
              <w:rPr>
                <w:sz w:val="18"/>
              </w:rPr>
              <w:t>3.34-4.06</w:t>
            </w:r>
            <w:r>
              <w:rPr>
                <w:sz w:val="18"/>
              </w:rPr>
              <w:t>）</w:t>
            </w:r>
          </w:p>
        </w:tc>
        <w:tc>
          <w:tcPr>
            <w:tcW w:w="976" w:type="dxa"/>
            <w:tcMar>
              <w:top w:w="80" w:type="dxa"/>
              <w:left w:w="100" w:type="dxa"/>
              <w:bottom w:w="80" w:type="dxa"/>
              <w:right w:w="100" w:type="dxa"/>
            </w:tcMar>
            <w:vAlign w:val="center"/>
          </w:tcPr>
          <w:p w14:paraId="165AF873" w14:textId="77777777" w:rsidR="000817FF" w:rsidRDefault="00FB291E">
            <w:pPr>
              <w:jc w:val="center"/>
            </w:pPr>
            <w:r>
              <w:rPr>
                <w:sz w:val="18"/>
              </w:rPr>
              <w:t>3.39</w:t>
            </w:r>
            <w:r>
              <w:rPr>
                <w:sz w:val="18"/>
              </w:rPr>
              <w:t>（</w:t>
            </w:r>
            <w:r>
              <w:rPr>
                <w:sz w:val="18"/>
              </w:rPr>
              <w:t>3.11-3.70</w:t>
            </w:r>
            <w:r>
              <w:rPr>
                <w:sz w:val="18"/>
              </w:rPr>
              <w:t>）</w:t>
            </w:r>
          </w:p>
        </w:tc>
        <w:tc>
          <w:tcPr>
            <w:tcW w:w="976" w:type="dxa"/>
            <w:tcMar>
              <w:top w:w="80" w:type="dxa"/>
              <w:left w:w="100" w:type="dxa"/>
              <w:bottom w:w="80" w:type="dxa"/>
              <w:right w:w="100" w:type="dxa"/>
            </w:tcMar>
            <w:vAlign w:val="center"/>
          </w:tcPr>
          <w:p w14:paraId="3AFA205B" w14:textId="77777777" w:rsidR="000817FF" w:rsidRDefault="00FB291E">
            <w:pPr>
              <w:jc w:val="center"/>
            </w:pPr>
            <w:r>
              <w:rPr>
                <w:sz w:val="18"/>
              </w:rPr>
              <w:t>1.76</w:t>
            </w:r>
            <w:r>
              <w:rPr>
                <w:sz w:val="18"/>
              </w:rPr>
              <w:t>（</w:t>
            </w:r>
            <w:r>
              <w:rPr>
                <w:sz w:val="18"/>
              </w:rPr>
              <w:t>1.62</w:t>
            </w:r>
            <w:r>
              <w:rPr>
                <w:sz w:val="18"/>
              </w:rPr>
              <w:t>）</w:t>
            </w:r>
          </w:p>
        </w:tc>
        <w:tc>
          <w:tcPr>
            <w:tcW w:w="976" w:type="dxa"/>
            <w:tcMar>
              <w:top w:w="80" w:type="dxa"/>
              <w:left w:w="100" w:type="dxa"/>
              <w:bottom w:w="80" w:type="dxa"/>
              <w:right w:w="100" w:type="dxa"/>
            </w:tcMar>
            <w:vAlign w:val="center"/>
          </w:tcPr>
          <w:p w14:paraId="28B80EF6" w14:textId="77777777" w:rsidR="000817FF" w:rsidRDefault="00FB291E">
            <w:pPr>
              <w:jc w:val="center"/>
            </w:pPr>
            <w:r>
              <w:rPr>
                <w:sz w:val="18"/>
              </w:rPr>
              <w:t>3.36</w:t>
            </w:r>
            <w:r>
              <w:rPr>
                <w:sz w:val="18"/>
              </w:rPr>
              <w:t>（</w:t>
            </w:r>
            <w:r>
              <w:rPr>
                <w:sz w:val="18"/>
              </w:rPr>
              <w:t>3.12</w:t>
            </w:r>
            <w:r>
              <w:rPr>
                <w:sz w:val="18"/>
              </w:rPr>
              <w:t>）</w:t>
            </w:r>
          </w:p>
        </w:tc>
        <w:tc>
          <w:tcPr>
            <w:tcW w:w="980" w:type="dxa"/>
            <w:tcMar>
              <w:top w:w="80" w:type="dxa"/>
              <w:left w:w="100" w:type="dxa"/>
              <w:bottom w:w="80" w:type="dxa"/>
              <w:right w:w="100" w:type="dxa"/>
            </w:tcMar>
            <w:vAlign w:val="center"/>
          </w:tcPr>
          <w:p w14:paraId="3822CD48" w14:textId="77777777" w:rsidR="000817FF" w:rsidRDefault="00FB291E">
            <w:pPr>
              <w:jc w:val="center"/>
            </w:pPr>
            <w:r>
              <w:rPr>
                <w:sz w:val="18"/>
              </w:rPr>
              <w:t>检测到信号</w:t>
            </w:r>
          </w:p>
        </w:tc>
      </w:tr>
      <w:tr w:rsidR="000817FF" w14:paraId="2EA48C46" w14:textId="77777777">
        <w:tc>
          <w:tcPr>
            <w:tcW w:w="976" w:type="dxa"/>
            <w:tcMar>
              <w:top w:w="80" w:type="dxa"/>
              <w:left w:w="100" w:type="dxa"/>
              <w:bottom w:w="80" w:type="dxa"/>
              <w:right w:w="100" w:type="dxa"/>
            </w:tcMar>
            <w:vAlign w:val="center"/>
          </w:tcPr>
          <w:p w14:paraId="2C793661" w14:textId="77777777" w:rsidR="000817FF" w:rsidRDefault="00FB291E">
            <w:pPr>
              <w:jc w:val="center"/>
            </w:pPr>
            <w:r>
              <w:rPr>
                <w:sz w:val="18"/>
              </w:rPr>
              <w:t>广义跌倒</w:t>
            </w:r>
          </w:p>
        </w:tc>
        <w:tc>
          <w:tcPr>
            <w:tcW w:w="976" w:type="dxa"/>
            <w:tcMar>
              <w:top w:w="80" w:type="dxa"/>
              <w:left w:w="100" w:type="dxa"/>
              <w:bottom w:w="80" w:type="dxa"/>
              <w:right w:w="100" w:type="dxa"/>
            </w:tcMar>
            <w:vAlign w:val="center"/>
          </w:tcPr>
          <w:p w14:paraId="4127F5D7" w14:textId="77777777" w:rsidR="000817FF" w:rsidRDefault="00FB291E">
            <w:pPr>
              <w:jc w:val="center"/>
            </w:pPr>
            <w:r>
              <w:rPr>
                <w:sz w:val="18"/>
              </w:rPr>
              <w:t>661</w:t>
            </w:r>
          </w:p>
        </w:tc>
        <w:tc>
          <w:tcPr>
            <w:tcW w:w="976" w:type="dxa"/>
            <w:tcMar>
              <w:top w:w="80" w:type="dxa"/>
              <w:left w:w="100" w:type="dxa"/>
              <w:bottom w:w="80" w:type="dxa"/>
              <w:right w:w="100" w:type="dxa"/>
            </w:tcMar>
            <w:vAlign w:val="center"/>
          </w:tcPr>
          <w:p w14:paraId="350F0156" w14:textId="77777777" w:rsidR="000817FF" w:rsidRDefault="00FB291E">
            <w:pPr>
              <w:jc w:val="center"/>
            </w:pPr>
            <w:r>
              <w:rPr>
                <w:sz w:val="18"/>
              </w:rPr>
              <w:t>4,314</w:t>
            </w:r>
          </w:p>
        </w:tc>
        <w:tc>
          <w:tcPr>
            <w:tcW w:w="976" w:type="dxa"/>
            <w:tcMar>
              <w:top w:w="80" w:type="dxa"/>
              <w:left w:w="100" w:type="dxa"/>
              <w:bottom w:w="80" w:type="dxa"/>
              <w:right w:w="100" w:type="dxa"/>
            </w:tcMar>
            <w:vAlign w:val="center"/>
          </w:tcPr>
          <w:p w14:paraId="1BB31DFB" w14:textId="77777777" w:rsidR="000817FF" w:rsidRDefault="00FB291E">
            <w:pPr>
              <w:jc w:val="center"/>
            </w:pPr>
            <w:r>
              <w:rPr>
                <w:sz w:val="18"/>
              </w:rPr>
              <w:t>15.32%</w:t>
            </w:r>
          </w:p>
        </w:tc>
        <w:tc>
          <w:tcPr>
            <w:tcW w:w="976" w:type="dxa"/>
            <w:tcMar>
              <w:top w:w="80" w:type="dxa"/>
              <w:left w:w="100" w:type="dxa"/>
              <w:bottom w:w="80" w:type="dxa"/>
              <w:right w:w="100" w:type="dxa"/>
            </w:tcMar>
            <w:vAlign w:val="center"/>
          </w:tcPr>
          <w:p w14:paraId="4191E293" w14:textId="77777777" w:rsidR="000817FF" w:rsidRDefault="00FB291E">
            <w:pPr>
              <w:jc w:val="center"/>
            </w:pPr>
            <w:r>
              <w:rPr>
                <w:sz w:val="18"/>
              </w:rPr>
              <w:t>2.34</w:t>
            </w:r>
            <w:r>
              <w:rPr>
                <w:sz w:val="18"/>
              </w:rPr>
              <w:t>（</w:t>
            </w:r>
            <w:r>
              <w:rPr>
                <w:sz w:val="18"/>
              </w:rPr>
              <w:t>2.15-2.54</w:t>
            </w:r>
            <w:r>
              <w:rPr>
                <w:sz w:val="18"/>
              </w:rPr>
              <w:t>）</w:t>
            </w:r>
          </w:p>
        </w:tc>
        <w:tc>
          <w:tcPr>
            <w:tcW w:w="976" w:type="dxa"/>
            <w:tcMar>
              <w:top w:w="80" w:type="dxa"/>
              <w:left w:w="100" w:type="dxa"/>
              <w:bottom w:w="80" w:type="dxa"/>
              <w:right w:w="100" w:type="dxa"/>
            </w:tcMar>
            <w:vAlign w:val="center"/>
          </w:tcPr>
          <w:p w14:paraId="14AE0AAE" w14:textId="77777777" w:rsidR="000817FF" w:rsidRDefault="00FB291E">
            <w:pPr>
              <w:jc w:val="center"/>
            </w:pPr>
            <w:r>
              <w:rPr>
                <w:sz w:val="18"/>
              </w:rPr>
              <w:t>2.13</w:t>
            </w:r>
            <w:r>
              <w:rPr>
                <w:sz w:val="18"/>
              </w:rPr>
              <w:t>（</w:t>
            </w:r>
            <w:r>
              <w:rPr>
                <w:sz w:val="18"/>
              </w:rPr>
              <w:t>1.99-2.29</w:t>
            </w:r>
            <w:r>
              <w:rPr>
                <w:sz w:val="18"/>
              </w:rPr>
              <w:t>）</w:t>
            </w:r>
          </w:p>
        </w:tc>
        <w:tc>
          <w:tcPr>
            <w:tcW w:w="976" w:type="dxa"/>
            <w:tcMar>
              <w:top w:w="80" w:type="dxa"/>
              <w:left w:w="100" w:type="dxa"/>
              <w:bottom w:w="80" w:type="dxa"/>
              <w:right w:w="100" w:type="dxa"/>
            </w:tcMar>
            <w:vAlign w:val="center"/>
          </w:tcPr>
          <w:p w14:paraId="73DC708D" w14:textId="77777777" w:rsidR="000817FF" w:rsidRDefault="00FB291E">
            <w:pPr>
              <w:jc w:val="center"/>
            </w:pPr>
            <w:r>
              <w:rPr>
                <w:sz w:val="18"/>
              </w:rPr>
              <w:t>1.09</w:t>
            </w:r>
            <w:r>
              <w:rPr>
                <w:sz w:val="18"/>
              </w:rPr>
              <w:t>（</w:t>
            </w:r>
            <w:r>
              <w:rPr>
                <w:sz w:val="18"/>
              </w:rPr>
              <w:t>0.98</w:t>
            </w:r>
            <w:r>
              <w:rPr>
                <w:sz w:val="18"/>
              </w:rPr>
              <w:t>）</w:t>
            </w:r>
          </w:p>
        </w:tc>
        <w:tc>
          <w:tcPr>
            <w:tcW w:w="976" w:type="dxa"/>
            <w:tcMar>
              <w:top w:w="80" w:type="dxa"/>
              <w:left w:w="100" w:type="dxa"/>
              <w:bottom w:w="80" w:type="dxa"/>
              <w:right w:w="100" w:type="dxa"/>
            </w:tcMar>
            <w:vAlign w:val="center"/>
          </w:tcPr>
          <w:p w14:paraId="6AD6CC07" w14:textId="77777777" w:rsidR="000817FF" w:rsidRDefault="00FB291E">
            <w:pPr>
              <w:jc w:val="center"/>
            </w:pPr>
            <w:r>
              <w:rPr>
                <w:sz w:val="18"/>
              </w:rPr>
              <w:t>2.12</w:t>
            </w:r>
            <w:r>
              <w:rPr>
                <w:sz w:val="18"/>
              </w:rPr>
              <w:t>（</w:t>
            </w:r>
            <w:r>
              <w:rPr>
                <w:sz w:val="18"/>
              </w:rPr>
              <w:t>1.99</w:t>
            </w:r>
            <w:r>
              <w:rPr>
                <w:sz w:val="18"/>
              </w:rPr>
              <w:t>）</w:t>
            </w:r>
          </w:p>
        </w:tc>
        <w:tc>
          <w:tcPr>
            <w:tcW w:w="980" w:type="dxa"/>
            <w:tcMar>
              <w:top w:w="80" w:type="dxa"/>
              <w:left w:w="100" w:type="dxa"/>
              <w:bottom w:w="80" w:type="dxa"/>
              <w:right w:w="100" w:type="dxa"/>
            </w:tcMar>
            <w:vAlign w:val="center"/>
          </w:tcPr>
          <w:p w14:paraId="4D5E1DA8" w14:textId="77777777" w:rsidR="000817FF" w:rsidRDefault="00FB291E">
            <w:pPr>
              <w:jc w:val="center"/>
            </w:pPr>
            <w:r>
              <w:rPr>
                <w:sz w:val="18"/>
              </w:rPr>
              <w:t>检测到信号</w:t>
            </w:r>
          </w:p>
        </w:tc>
      </w:tr>
    </w:tbl>
    <w:p w14:paraId="79A635E3" w14:textId="77777777" w:rsidR="000817FF" w:rsidRDefault="000817FF"/>
    <w:p w14:paraId="786E4B35" w14:textId="77777777" w:rsidR="000817FF" w:rsidRDefault="00FB291E">
      <w:pPr>
        <w:spacing w:after="120" w:line="360" w:lineRule="auto"/>
        <w:ind w:firstLine="420"/>
      </w:pPr>
      <w:r>
        <w:rPr>
          <w:sz w:val="21"/>
        </w:rPr>
        <w:t xml:space="preserve">PS only </w:t>
      </w:r>
      <w:r>
        <w:rPr>
          <w:sz w:val="21"/>
        </w:rPr>
        <w:t>敏感性分析结果与</w:t>
      </w:r>
      <w:r>
        <w:rPr>
          <w:sz w:val="21"/>
        </w:rPr>
        <w:t xml:space="preserve"> PS+SS </w:t>
      </w:r>
      <w:r>
        <w:rPr>
          <w:sz w:val="21"/>
        </w:rPr>
        <w:t>主分析方向一致，说明唑吡坦相关跌倒信号不完全依赖于较宽松的</w:t>
      </w:r>
      <w:r>
        <w:rPr>
          <w:sz w:val="21"/>
        </w:rPr>
        <w:t xml:space="preserve"> suspect </w:t>
      </w:r>
      <w:r>
        <w:rPr>
          <w:sz w:val="21"/>
        </w:rPr>
        <w:t>暴露定义。即使仅保留</w:t>
      </w:r>
      <w:r>
        <w:rPr>
          <w:sz w:val="21"/>
        </w:rPr>
        <w:t xml:space="preserve"> primary suspect </w:t>
      </w:r>
      <w:r>
        <w:rPr>
          <w:sz w:val="21"/>
        </w:rPr>
        <w:t>报告，唑吡坦与跌倒相关事件之间仍存在较稳定的不成比例报告信号。</w:t>
      </w:r>
    </w:p>
    <w:p w14:paraId="3A48394C" w14:textId="77777777" w:rsidR="000817FF" w:rsidRDefault="00FB291E">
      <w:pPr>
        <w:pStyle w:val="21"/>
        <w:spacing w:before="160" w:after="80"/>
      </w:pPr>
      <w:bookmarkStart w:id="63" w:name="_Toc230281362"/>
      <w:r>
        <w:rPr>
          <w:rFonts w:ascii="Times New Roman" w:eastAsia="宋体" w:hAnsi="Times New Roman"/>
        </w:rPr>
        <w:t xml:space="preserve">4.4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的比较分析</w:t>
      </w:r>
      <w:bookmarkEnd w:id="63"/>
    </w:p>
    <w:p w14:paraId="7FCAFAFD" w14:textId="77777777" w:rsidR="000817FF" w:rsidRDefault="00FB291E">
      <w:pPr>
        <w:spacing w:after="120" w:line="360" w:lineRule="auto"/>
        <w:ind w:firstLine="420"/>
      </w:pPr>
      <w:r>
        <w:t>本研究进一步比较 zolpidem only 与 other zdrug only 病例中的跌倒事件报告比例。PS+SS 口径下，zolpidem only 组共有 7,798 例，严格 PT 跌倒事件 1,043 例，报告比例为 13.38%；other zdrug only 组共有 6,799 例，严格 PT 跌倒事件 628 例，报告比例为 9.24%。</w:t>
      </w:r>
    </w:p>
    <w:p w14:paraId="290BA8B5" w14:textId="77777777" w:rsidR="000817FF" w:rsidRDefault="00FB291E">
      <w:pPr>
        <w:spacing w:after="120" w:line="360" w:lineRule="auto"/>
        <w:ind w:firstLine="420"/>
      </w:pPr>
      <w:r>
        <w:t>不成比例比较显示，zolpidem only 组相较于 other zdrug only 组的严格 PT 跌倒报告比例更高。ROR 为 1.52，95%CI 为 1.37-1.68；PRR 为 1.45，95%CI 为 1.32-1.59；IC 为 0.22，IC025 为 0.14。ROR 与 IC 指标提示阳性信号，但 PRR 未达到 MHRA 标准，EBGM 也未达到 EB05 大于或等于 2 的标准。因此，该比较结果提示唑吡坦相较其他 Z-drugs 可能存在更高的跌倒报告比例，但信号强度弱于唑吡坦与所有其他可疑药物的主分析比较。</w:t>
      </w:r>
    </w:p>
    <w:p w14:paraId="3F53F7B4" w14:textId="77777777" w:rsidR="000817FF" w:rsidRDefault="00FB291E">
      <w:pPr>
        <w:spacing w:after="120" w:line="360" w:lineRule="auto"/>
        <w:ind w:firstLine="420"/>
      </w:pPr>
      <w:r>
        <w:t>广义跌倒相关事件（补充）中，zolpidem only 组发生事件 1,448 例，报告比例为 18.57%；other zdrug only 组发生事件 913 例，报告比例为 13.43%。ROR 为 1.47，95%CI 为 1.34-1.61；PRR 为 1.38，95%CI 为 1.28-1.49；IC 为 0.20，IC025 为 0.12。</w:t>
      </w:r>
    </w:p>
    <w:p w14:paraId="135286F7" w14:textId="77777777" w:rsidR="000817FF" w:rsidRDefault="00FB291E">
      <w:pPr>
        <w:spacing w:after="120" w:line="360" w:lineRule="auto"/>
        <w:ind w:firstLine="420"/>
      </w:pPr>
      <w:r>
        <w:rPr>
          <w:sz w:val="21"/>
        </w:rPr>
        <w:t>表</w:t>
      </w:r>
      <w:r>
        <w:rPr>
          <w:sz w:val="21"/>
        </w:rPr>
        <w:t xml:space="preserve"> 4-4 </w:t>
      </w:r>
      <w:r>
        <w:rPr>
          <w:sz w:val="21"/>
        </w:rPr>
        <w:t>显示</w:t>
      </w:r>
      <w:r>
        <w:rPr>
          <w:sz w:val="21"/>
        </w:rPr>
        <w:t xml:space="preserve"> zolpidem only </w:t>
      </w:r>
      <w:r>
        <w:rPr>
          <w:sz w:val="21"/>
        </w:rPr>
        <w:t>与</w:t>
      </w:r>
      <w:r>
        <w:rPr>
          <w:sz w:val="21"/>
        </w:rPr>
        <w:t xml:space="preserve"> other zdrug only </w:t>
      </w:r>
      <w:r>
        <w:rPr>
          <w:sz w:val="21"/>
        </w:rPr>
        <w:t>的比较分析结果。</w:t>
      </w:r>
    </w:p>
    <w:p w14:paraId="60106BA6" w14:textId="77777777" w:rsidR="000817FF" w:rsidRDefault="00FB291E">
      <w:pPr>
        <w:spacing w:after="120" w:line="360" w:lineRule="auto"/>
        <w:ind w:firstLine="420"/>
      </w:pPr>
      <w:r>
        <w:rPr>
          <w:sz w:val="21"/>
        </w:rPr>
        <w:t>表</w:t>
      </w:r>
      <w:r>
        <w:rPr>
          <w:sz w:val="21"/>
        </w:rPr>
        <w:t xml:space="preserve"> 4-4 </w:t>
      </w:r>
      <w:r>
        <w:rPr>
          <w:sz w:val="21"/>
        </w:rPr>
        <w:t>唑吡坦与其他</w:t>
      </w:r>
      <w:r>
        <w:rPr>
          <w:sz w:val="21"/>
        </w:rPr>
        <w:t xml:space="preserve"> Z-drugs </w:t>
      </w:r>
      <w:r>
        <w:rPr>
          <w:sz w:val="21"/>
        </w:rPr>
        <w:t>的比较分析结果</w:t>
      </w:r>
    </w:p>
    <w:tbl>
      <w:tblPr>
        <w:tblStyle w:val="aff1"/>
        <w:tblW w:w="8788" w:type="dxa"/>
        <w:tblLayout w:type="fixed"/>
        <w:tblLook w:val="04A0" w:firstRow="1" w:lastRow="0" w:firstColumn="1" w:lastColumn="0" w:noHBand="0" w:noVBand="1"/>
      </w:tblPr>
      <w:tblGrid>
        <w:gridCol w:w="1098"/>
        <w:gridCol w:w="1098"/>
        <w:gridCol w:w="1098"/>
        <w:gridCol w:w="1098"/>
        <w:gridCol w:w="1098"/>
        <w:gridCol w:w="1098"/>
        <w:gridCol w:w="1098"/>
        <w:gridCol w:w="1102"/>
      </w:tblGrid>
      <w:tr w:rsidR="000817FF" w14:paraId="2F8FEB81" w14:textId="77777777">
        <w:tc>
          <w:tcPr>
            <w:tcW w:w="1098" w:type="dxa"/>
            <w:shd w:val="clear" w:color="auto" w:fill="EDEDED"/>
            <w:tcMar>
              <w:top w:w="80" w:type="dxa"/>
              <w:left w:w="100" w:type="dxa"/>
              <w:bottom w:w="80" w:type="dxa"/>
              <w:right w:w="100" w:type="dxa"/>
            </w:tcMar>
            <w:vAlign w:val="center"/>
          </w:tcPr>
          <w:p w14:paraId="70FEA8CD" w14:textId="77777777" w:rsidR="000817FF" w:rsidRDefault="00FB291E">
            <w:pPr>
              <w:jc w:val="center"/>
            </w:pPr>
            <w:r>
              <w:rPr>
                <w:b/>
                <w:sz w:val="18"/>
              </w:rPr>
              <w:t>暴露口径</w:t>
            </w:r>
          </w:p>
        </w:tc>
        <w:tc>
          <w:tcPr>
            <w:tcW w:w="1098" w:type="dxa"/>
            <w:shd w:val="clear" w:color="auto" w:fill="EDEDED"/>
            <w:tcMar>
              <w:top w:w="80" w:type="dxa"/>
              <w:left w:w="100" w:type="dxa"/>
              <w:bottom w:w="80" w:type="dxa"/>
              <w:right w:w="100" w:type="dxa"/>
            </w:tcMar>
            <w:vAlign w:val="center"/>
          </w:tcPr>
          <w:p w14:paraId="749EB715" w14:textId="77777777" w:rsidR="000817FF" w:rsidRDefault="00FB291E">
            <w:pPr>
              <w:jc w:val="center"/>
            </w:pPr>
            <w:r>
              <w:rPr>
                <w:b/>
                <w:sz w:val="18"/>
              </w:rPr>
              <w:t>结局</w:t>
            </w:r>
          </w:p>
        </w:tc>
        <w:tc>
          <w:tcPr>
            <w:tcW w:w="1098" w:type="dxa"/>
            <w:shd w:val="clear" w:color="auto" w:fill="EDEDED"/>
            <w:tcMar>
              <w:top w:w="80" w:type="dxa"/>
              <w:left w:w="100" w:type="dxa"/>
              <w:bottom w:w="80" w:type="dxa"/>
              <w:right w:w="100" w:type="dxa"/>
            </w:tcMar>
            <w:vAlign w:val="center"/>
          </w:tcPr>
          <w:p w14:paraId="07E28F27" w14:textId="77777777" w:rsidR="000817FF" w:rsidRDefault="00FB291E">
            <w:r>
              <w:rPr>
                <w:b/>
                <w:sz w:val="18"/>
              </w:rPr>
              <w:t xml:space="preserve">zolpidem only </w:t>
            </w:r>
            <w:r>
              <w:rPr>
                <w:b/>
                <w:sz w:val="18"/>
              </w:rPr>
              <w:t>报告比例</w:t>
            </w:r>
          </w:p>
        </w:tc>
        <w:tc>
          <w:tcPr>
            <w:tcW w:w="1098" w:type="dxa"/>
            <w:shd w:val="clear" w:color="auto" w:fill="EDEDED"/>
            <w:tcMar>
              <w:top w:w="80" w:type="dxa"/>
              <w:left w:w="100" w:type="dxa"/>
              <w:bottom w:w="80" w:type="dxa"/>
              <w:right w:w="100" w:type="dxa"/>
            </w:tcMar>
            <w:vAlign w:val="center"/>
          </w:tcPr>
          <w:p w14:paraId="199A7BA6" w14:textId="77777777" w:rsidR="000817FF" w:rsidRDefault="00FB291E">
            <w:r>
              <w:rPr>
                <w:b/>
                <w:sz w:val="18"/>
              </w:rPr>
              <w:t xml:space="preserve">other zdrug only </w:t>
            </w:r>
            <w:r>
              <w:rPr>
                <w:b/>
                <w:sz w:val="18"/>
              </w:rPr>
              <w:t>报告比例</w:t>
            </w:r>
          </w:p>
        </w:tc>
        <w:tc>
          <w:tcPr>
            <w:tcW w:w="1098" w:type="dxa"/>
            <w:shd w:val="clear" w:color="auto" w:fill="EDEDED"/>
            <w:tcMar>
              <w:top w:w="80" w:type="dxa"/>
              <w:left w:w="100" w:type="dxa"/>
              <w:bottom w:w="80" w:type="dxa"/>
              <w:right w:w="100" w:type="dxa"/>
            </w:tcMar>
            <w:vAlign w:val="center"/>
          </w:tcPr>
          <w:p w14:paraId="568656C9" w14:textId="77777777" w:rsidR="000817FF" w:rsidRDefault="00FB291E">
            <w:pPr>
              <w:jc w:val="center"/>
            </w:pPr>
            <w:r>
              <w:rPr>
                <w:b/>
                <w:sz w:val="18"/>
              </w:rPr>
              <w:t>ROR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7ABC41CB" w14:textId="77777777" w:rsidR="000817FF" w:rsidRDefault="00FB291E">
            <w:pPr>
              <w:jc w:val="center"/>
            </w:pPr>
            <w:r>
              <w:rPr>
                <w:b/>
                <w:sz w:val="18"/>
              </w:rPr>
              <w:t>PRR</w:t>
            </w:r>
            <w:r>
              <w:rPr>
                <w:b/>
                <w:sz w:val="18"/>
              </w:rPr>
              <w:t>（</w:t>
            </w:r>
            <w:r>
              <w:rPr>
                <w:b/>
                <w:sz w:val="18"/>
              </w:rPr>
              <w:t>95%CI</w:t>
            </w:r>
            <w:r>
              <w:rPr>
                <w:b/>
                <w:sz w:val="18"/>
              </w:rPr>
              <w:t>）</w:t>
            </w:r>
          </w:p>
        </w:tc>
        <w:tc>
          <w:tcPr>
            <w:tcW w:w="1098" w:type="dxa"/>
            <w:shd w:val="clear" w:color="auto" w:fill="EDEDED"/>
            <w:tcMar>
              <w:top w:w="80" w:type="dxa"/>
              <w:left w:w="100" w:type="dxa"/>
              <w:bottom w:w="80" w:type="dxa"/>
              <w:right w:w="100" w:type="dxa"/>
            </w:tcMar>
            <w:vAlign w:val="center"/>
          </w:tcPr>
          <w:p w14:paraId="233514B7" w14:textId="77777777" w:rsidR="000817FF" w:rsidRDefault="00FB291E">
            <w:pPr>
              <w:jc w:val="center"/>
            </w:pPr>
            <w:r>
              <w:rPr>
                <w:b/>
                <w:sz w:val="18"/>
              </w:rPr>
              <w:t>IC</w:t>
            </w:r>
            <w:r>
              <w:rPr>
                <w:b/>
                <w:sz w:val="18"/>
              </w:rPr>
              <w:t>（</w:t>
            </w:r>
            <w:r>
              <w:rPr>
                <w:b/>
                <w:sz w:val="18"/>
              </w:rPr>
              <w:t>IC025</w:t>
            </w:r>
            <w:r>
              <w:rPr>
                <w:b/>
                <w:sz w:val="18"/>
              </w:rPr>
              <w:t>）</w:t>
            </w:r>
          </w:p>
        </w:tc>
        <w:tc>
          <w:tcPr>
            <w:tcW w:w="1102" w:type="dxa"/>
            <w:shd w:val="clear" w:color="auto" w:fill="EDEDED"/>
            <w:tcMar>
              <w:top w:w="80" w:type="dxa"/>
              <w:left w:w="100" w:type="dxa"/>
              <w:bottom w:w="80" w:type="dxa"/>
              <w:right w:w="100" w:type="dxa"/>
            </w:tcMar>
            <w:vAlign w:val="center"/>
          </w:tcPr>
          <w:p w14:paraId="46686FA5" w14:textId="77777777" w:rsidR="000817FF" w:rsidRDefault="00FB291E">
            <w:pPr>
              <w:jc w:val="center"/>
            </w:pPr>
            <w:r>
              <w:rPr>
                <w:b/>
                <w:sz w:val="18"/>
              </w:rPr>
              <w:t>结论</w:t>
            </w:r>
          </w:p>
        </w:tc>
      </w:tr>
      <w:tr w:rsidR="000817FF" w14:paraId="3764667D" w14:textId="77777777">
        <w:tc>
          <w:tcPr>
            <w:tcW w:w="1098" w:type="dxa"/>
            <w:tcMar>
              <w:top w:w="80" w:type="dxa"/>
              <w:left w:w="100" w:type="dxa"/>
              <w:bottom w:w="80" w:type="dxa"/>
              <w:right w:w="100" w:type="dxa"/>
            </w:tcMar>
            <w:vAlign w:val="center"/>
          </w:tcPr>
          <w:p w14:paraId="3F4A702E"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25BE7705"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16E8BA49" w14:textId="77777777" w:rsidR="000817FF" w:rsidRDefault="00FB291E">
            <w:pPr>
              <w:jc w:val="center"/>
            </w:pPr>
            <w:r>
              <w:rPr>
                <w:sz w:val="18"/>
              </w:rPr>
              <w:t>13.38%</w:t>
            </w:r>
          </w:p>
        </w:tc>
        <w:tc>
          <w:tcPr>
            <w:tcW w:w="1098" w:type="dxa"/>
            <w:tcMar>
              <w:top w:w="80" w:type="dxa"/>
              <w:left w:w="100" w:type="dxa"/>
              <w:bottom w:w="80" w:type="dxa"/>
              <w:right w:w="100" w:type="dxa"/>
            </w:tcMar>
            <w:vAlign w:val="center"/>
          </w:tcPr>
          <w:p w14:paraId="793F3039" w14:textId="77777777" w:rsidR="000817FF" w:rsidRDefault="00FB291E">
            <w:pPr>
              <w:jc w:val="center"/>
            </w:pPr>
            <w:r>
              <w:rPr>
                <w:sz w:val="18"/>
              </w:rPr>
              <w:t>9.24%</w:t>
            </w:r>
          </w:p>
        </w:tc>
        <w:tc>
          <w:tcPr>
            <w:tcW w:w="1098" w:type="dxa"/>
            <w:tcMar>
              <w:top w:w="80" w:type="dxa"/>
              <w:left w:w="100" w:type="dxa"/>
              <w:bottom w:w="80" w:type="dxa"/>
              <w:right w:w="100" w:type="dxa"/>
            </w:tcMar>
            <w:vAlign w:val="center"/>
          </w:tcPr>
          <w:p w14:paraId="0829F345" w14:textId="77777777" w:rsidR="000817FF" w:rsidRDefault="00FB291E">
            <w:pPr>
              <w:jc w:val="center"/>
            </w:pPr>
            <w:r>
              <w:rPr>
                <w:sz w:val="18"/>
              </w:rPr>
              <w:t>1.52</w:t>
            </w:r>
            <w:r>
              <w:rPr>
                <w:sz w:val="18"/>
              </w:rPr>
              <w:t>（</w:t>
            </w:r>
            <w:r>
              <w:rPr>
                <w:sz w:val="18"/>
              </w:rPr>
              <w:t>1.37-1.68</w:t>
            </w:r>
            <w:r>
              <w:rPr>
                <w:sz w:val="18"/>
              </w:rPr>
              <w:t>）</w:t>
            </w:r>
          </w:p>
        </w:tc>
        <w:tc>
          <w:tcPr>
            <w:tcW w:w="1098" w:type="dxa"/>
            <w:tcMar>
              <w:top w:w="80" w:type="dxa"/>
              <w:left w:w="100" w:type="dxa"/>
              <w:bottom w:w="80" w:type="dxa"/>
              <w:right w:w="100" w:type="dxa"/>
            </w:tcMar>
            <w:vAlign w:val="center"/>
          </w:tcPr>
          <w:p w14:paraId="4C665B95" w14:textId="77777777" w:rsidR="000817FF" w:rsidRDefault="00FB291E">
            <w:pPr>
              <w:jc w:val="center"/>
            </w:pPr>
            <w:r>
              <w:rPr>
                <w:sz w:val="18"/>
              </w:rPr>
              <w:t>1.45</w:t>
            </w:r>
            <w:r>
              <w:rPr>
                <w:sz w:val="18"/>
              </w:rPr>
              <w:t>（</w:t>
            </w:r>
            <w:r>
              <w:rPr>
                <w:sz w:val="18"/>
              </w:rPr>
              <w:t>1.32-1.59</w:t>
            </w:r>
            <w:r>
              <w:rPr>
                <w:sz w:val="18"/>
              </w:rPr>
              <w:t>）</w:t>
            </w:r>
          </w:p>
        </w:tc>
        <w:tc>
          <w:tcPr>
            <w:tcW w:w="1098" w:type="dxa"/>
            <w:tcMar>
              <w:top w:w="80" w:type="dxa"/>
              <w:left w:w="100" w:type="dxa"/>
              <w:bottom w:w="80" w:type="dxa"/>
              <w:right w:w="100" w:type="dxa"/>
            </w:tcMar>
            <w:vAlign w:val="center"/>
          </w:tcPr>
          <w:p w14:paraId="0DD441D7" w14:textId="77777777" w:rsidR="000817FF" w:rsidRDefault="00FB291E">
            <w:pPr>
              <w:jc w:val="center"/>
            </w:pPr>
            <w:r>
              <w:rPr>
                <w:sz w:val="18"/>
              </w:rPr>
              <w:t>0.22</w:t>
            </w:r>
            <w:r>
              <w:rPr>
                <w:sz w:val="18"/>
              </w:rPr>
              <w:t>（</w:t>
            </w:r>
            <w:r>
              <w:rPr>
                <w:sz w:val="18"/>
              </w:rPr>
              <w:t>0.14</w:t>
            </w:r>
            <w:r>
              <w:rPr>
                <w:sz w:val="18"/>
              </w:rPr>
              <w:t>）</w:t>
            </w:r>
          </w:p>
        </w:tc>
        <w:tc>
          <w:tcPr>
            <w:tcW w:w="1102" w:type="dxa"/>
            <w:tcMar>
              <w:top w:w="80" w:type="dxa"/>
              <w:left w:w="100" w:type="dxa"/>
              <w:bottom w:w="80" w:type="dxa"/>
              <w:right w:w="100" w:type="dxa"/>
            </w:tcMar>
            <w:vAlign w:val="center"/>
          </w:tcPr>
          <w:p w14:paraId="22EE9F5D" w14:textId="77777777" w:rsidR="000817FF" w:rsidRDefault="00FB291E">
            <w:pPr>
              <w:jc w:val="center"/>
            </w:pPr>
            <w:r>
              <w:rPr>
                <w:sz w:val="18"/>
              </w:rPr>
              <w:t>检测到信号</w:t>
            </w:r>
          </w:p>
        </w:tc>
      </w:tr>
      <w:tr w:rsidR="000817FF" w14:paraId="449070D1" w14:textId="77777777">
        <w:tc>
          <w:tcPr>
            <w:tcW w:w="1098" w:type="dxa"/>
            <w:tcMar>
              <w:top w:w="80" w:type="dxa"/>
              <w:left w:w="100" w:type="dxa"/>
              <w:bottom w:w="80" w:type="dxa"/>
              <w:right w:w="100" w:type="dxa"/>
            </w:tcMar>
            <w:vAlign w:val="center"/>
          </w:tcPr>
          <w:p w14:paraId="21BC89A0" w14:textId="77777777" w:rsidR="000817FF" w:rsidRDefault="00FB291E">
            <w:pPr>
              <w:jc w:val="center"/>
            </w:pPr>
            <w:r>
              <w:rPr>
                <w:sz w:val="18"/>
              </w:rPr>
              <w:t>PS+SS</w:t>
            </w:r>
          </w:p>
        </w:tc>
        <w:tc>
          <w:tcPr>
            <w:tcW w:w="1098" w:type="dxa"/>
            <w:tcMar>
              <w:top w:w="80" w:type="dxa"/>
              <w:left w:w="100" w:type="dxa"/>
              <w:bottom w:w="80" w:type="dxa"/>
              <w:right w:w="100" w:type="dxa"/>
            </w:tcMar>
            <w:vAlign w:val="center"/>
          </w:tcPr>
          <w:p w14:paraId="58F88C2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52258384" w14:textId="77777777" w:rsidR="000817FF" w:rsidRDefault="00FB291E">
            <w:pPr>
              <w:jc w:val="center"/>
            </w:pPr>
            <w:r>
              <w:rPr>
                <w:sz w:val="18"/>
              </w:rPr>
              <w:t>18.57%</w:t>
            </w:r>
          </w:p>
        </w:tc>
        <w:tc>
          <w:tcPr>
            <w:tcW w:w="1098" w:type="dxa"/>
            <w:tcMar>
              <w:top w:w="80" w:type="dxa"/>
              <w:left w:w="100" w:type="dxa"/>
              <w:bottom w:w="80" w:type="dxa"/>
              <w:right w:w="100" w:type="dxa"/>
            </w:tcMar>
            <w:vAlign w:val="center"/>
          </w:tcPr>
          <w:p w14:paraId="04334682" w14:textId="77777777" w:rsidR="000817FF" w:rsidRDefault="00FB291E">
            <w:pPr>
              <w:jc w:val="center"/>
            </w:pPr>
            <w:r>
              <w:rPr>
                <w:sz w:val="18"/>
              </w:rPr>
              <w:t>13.43%</w:t>
            </w:r>
          </w:p>
        </w:tc>
        <w:tc>
          <w:tcPr>
            <w:tcW w:w="1098" w:type="dxa"/>
            <w:tcMar>
              <w:top w:w="80" w:type="dxa"/>
              <w:left w:w="100" w:type="dxa"/>
              <w:bottom w:w="80" w:type="dxa"/>
              <w:right w:w="100" w:type="dxa"/>
            </w:tcMar>
            <w:vAlign w:val="center"/>
          </w:tcPr>
          <w:p w14:paraId="3E249DC0" w14:textId="77777777" w:rsidR="000817FF" w:rsidRDefault="00FB291E">
            <w:pPr>
              <w:jc w:val="center"/>
            </w:pPr>
            <w:r>
              <w:rPr>
                <w:sz w:val="18"/>
              </w:rPr>
              <w:t>1.47</w:t>
            </w:r>
            <w:r>
              <w:rPr>
                <w:sz w:val="18"/>
              </w:rPr>
              <w:t>（</w:t>
            </w:r>
            <w:r>
              <w:rPr>
                <w:sz w:val="18"/>
              </w:rPr>
              <w:t>1.34-1.61</w:t>
            </w:r>
            <w:r>
              <w:rPr>
                <w:sz w:val="18"/>
              </w:rPr>
              <w:t>）</w:t>
            </w:r>
          </w:p>
        </w:tc>
        <w:tc>
          <w:tcPr>
            <w:tcW w:w="1098" w:type="dxa"/>
            <w:tcMar>
              <w:top w:w="80" w:type="dxa"/>
              <w:left w:w="100" w:type="dxa"/>
              <w:bottom w:w="80" w:type="dxa"/>
              <w:right w:w="100" w:type="dxa"/>
            </w:tcMar>
            <w:vAlign w:val="center"/>
          </w:tcPr>
          <w:p w14:paraId="1DC4B541" w14:textId="77777777" w:rsidR="000817FF" w:rsidRDefault="00FB291E">
            <w:pPr>
              <w:jc w:val="center"/>
            </w:pPr>
            <w:r>
              <w:rPr>
                <w:sz w:val="18"/>
              </w:rPr>
              <w:t>1.38</w:t>
            </w:r>
            <w:r>
              <w:rPr>
                <w:sz w:val="18"/>
              </w:rPr>
              <w:t>（</w:t>
            </w:r>
            <w:r>
              <w:rPr>
                <w:sz w:val="18"/>
              </w:rPr>
              <w:t>1.28-1.49</w:t>
            </w:r>
            <w:r>
              <w:rPr>
                <w:sz w:val="18"/>
              </w:rPr>
              <w:t>）</w:t>
            </w:r>
          </w:p>
        </w:tc>
        <w:tc>
          <w:tcPr>
            <w:tcW w:w="1098" w:type="dxa"/>
            <w:tcMar>
              <w:top w:w="80" w:type="dxa"/>
              <w:left w:w="100" w:type="dxa"/>
              <w:bottom w:w="80" w:type="dxa"/>
              <w:right w:w="100" w:type="dxa"/>
            </w:tcMar>
            <w:vAlign w:val="center"/>
          </w:tcPr>
          <w:p w14:paraId="1E6A44AC" w14:textId="77777777" w:rsidR="000817FF" w:rsidRDefault="00FB291E">
            <w:pPr>
              <w:jc w:val="center"/>
            </w:pPr>
            <w:r>
              <w:rPr>
                <w:sz w:val="18"/>
              </w:rPr>
              <w:t>0.20</w:t>
            </w:r>
            <w:r>
              <w:rPr>
                <w:sz w:val="18"/>
              </w:rPr>
              <w:t>（</w:t>
            </w:r>
            <w:r>
              <w:rPr>
                <w:sz w:val="18"/>
              </w:rPr>
              <w:t>0.12</w:t>
            </w:r>
            <w:r>
              <w:rPr>
                <w:sz w:val="18"/>
              </w:rPr>
              <w:t>）</w:t>
            </w:r>
          </w:p>
        </w:tc>
        <w:tc>
          <w:tcPr>
            <w:tcW w:w="1102" w:type="dxa"/>
            <w:tcMar>
              <w:top w:w="80" w:type="dxa"/>
              <w:left w:w="100" w:type="dxa"/>
              <w:bottom w:w="80" w:type="dxa"/>
              <w:right w:w="100" w:type="dxa"/>
            </w:tcMar>
            <w:vAlign w:val="center"/>
          </w:tcPr>
          <w:p w14:paraId="6DD94DF4" w14:textId="77777777" w:rsidR="000817FF" w:rsidRDefault="00FB291E">
            <w:pPr>
              <w:jc w:val="center"/>
            </w:pPr>
            <w:r>
              <w:rPr>
                <w:sz w:val="18"/>
              </w:rPr>
              <w:t>检测到信号</w:t>
            </w:r>
          </w:p>
        </w:tc>
      </w:tr>
      <w:tr w:rsidR="000817FF" w14:paraId="3DABB0E5" w14:textId="77777777">
        <w:tc>
          <w:tcPr>
            <w:tcW w:w="1098" w:type="dxa"/>
            <w:tcMar>
              <w:top w:w="80" w:type="dxa"/>
              <w:left w:w="100" w:type="dxa"/>
              <w:bottom w:w="80" w:type="dxa"/>
              <w:right w:w="100" w:type="dxa"/>
            </w:tcMar>
            <w:vAlign w:val="center"/>
          </w:tcPr>
          <w:p w14:paraId="7444E068"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1161F7DC" w14:textId="77777777" w:rsidR="000817FF" w:rsidRDefault="00FB291E">
            <w:pPr>
              <w:jc w:val="center"/>
            </w:pPr>
            <w:r>
              <w:t>严格 PT 跌倒</w:t>
            </w:r>
          </w:p>
        </w:tc>
        <w:tc>
          <w:tcPr>
            <w:tcW w:w="1098" w:type="dxa"/>
            <w:tcMar>
              <w:top w:w="80" w:type="dxa"/>
              <w:left w:w="100" w:type="dxa"/>
              <w:bottom w:w="80" w:type="dxa"/>
              <w:right w:w="100" w:type="dxa"/>
            </w:tcMar>
            <w:vAlign w:val="center"/>
          </w:tcPr>
          <w:p w14:paraId="766E72FC" w14:textId="77777777" w:rsidR="000817FF" w:rsidRDefault="00FB291E">
            <w:pPr>
              <w:jc w:val="center"/>
            </w:pPr>
            <w:r>
              <w:rPr>
                <w:sz w:val="18"/>
              </w:rPr>
              <w:t>10.78%</w:t>
            </w:r>
          </w:p>
        </w:tc>
        <w:tc>
          <w:tcPr>
            <w:tcW w:w="1098" w:type="dxa"/>
            <w:tcMar>
              <w:top w:w="80" w:type="dxa"/>
              <w:left w:w="100" w:type="dxa"/>
              <w:bottom w:w="80" w:type="dxa"/>
              <w:right w:w="100" w:type="dxa"/>
            </w:tcMar>
            <w:vAlign w:val="center"/>
          </w:tcPr>
          <w:p w14:paraId="063E1301" w14:textId="77777777" w:rsidR="000817FF" w:rsidRDefault="00FB291E">
            <w:pPr>
              <w:jc w:val="center"/>
            </w:pPr>
            <w:r>
              <w:rPr>
                <w:sz w:val="18"/>
              </w:rPr>
              <w:t>1.40%</w:t>
            </w:r>
          </w:p>
        </w:tc>
        <w:tc>
          <w:tcPr>
            <w:tcW w:w="1098" w:type="dxa"/>
            <w:tcMar>
              <w:top w:w="80" w:type="dxa"/>
              <w:left w:w="100" w:type="dxa"/>
              <w:bottom w:w="80" w:type="dxa"/>
              <w:right w:w="100" w:type="dxa"/>
            </w:tcMar>
            <w:vAlign w:val="center"/>
          </w:tcPr>
          <w:p w14:paraId="166BBEBE" w14:textId="77777777" w:rsidR="000817FF" w:rsidRDefault="00FB291E">
            <w:pPr>
              <w:jc w:val="center"/>
            </w:pPr>
            <w:r>
              <w:rPr>
                <w:sz w:val="18"/>
              </w:rPr>
              <w:t>8.50</w:t>
            </w:r>
            <w:r>
              <w:rPr>
                <w:sz w:val="18"/>
              </w:rPr>
              <w:t>（</w:t>
            </w:r>
            <w:r>
              <w:rPr>
                <w:sz w:val="18"/>
              </w:rPr>
              <w:t>6.15-11.74</w:t>
            </w:r>
            <w:r>
              <w:rPr>
                <w:sz w:val="18"/>
              </w:rPr>
              <w:t>）</w:t>
            </w:r>
          </w:p>
        </w:tc>
        <w:tc>
          <w:tcPr>
            <w:tcW w:w="1098" w:type="dxa"/>
            <w:tcMar>
              <w:top w:w="80" w:type="dxa"/>
              <w:left w:w="100" w:type="dxa"/>
              <w:bottom w:w="80" w:type="dxa"/>
              <w:right w:w="100" w:type="dxa"/>
            </w:tcMar>
            <w:vAlign w:val="center"/>
          </w:tcPr>
          <w:p w14:paraId="3E814D66" w14:textId="77777777" w:rsidR="000817FF" w:rsidRDefault="00FB291E">
            <w:pPr>
              <w:jc w:val="center"/>
            </w:pPr>
            <w:r>
              <w:rPr>
                <w:sz w:val="18"/>
              </w:rPr>
              <w:t>7.69</w:t>
            </w:r>
            <w:r>
              <w:rPr>
                <w:sz w:val="18"/>
              </w:rPr>
              <w:t>（</w:t>
            </w:r>
            <w:r>
              <w:rPr>
                <w:sz w:val="18"/>
              </w:rPr>
              <w:t>5.61-10.55</w:t>
            </w:r>
            <w:r>
              <w:rPr>
                <w:sz w:val="18"/>
              </w:rPr>
              <w:t>）</w:t>
            </w:r>
          </w:p>
        </w:tc>
        <w:tc>
          <w:tcPr>
            <w:tcW w:w="1098" w:type="dxa"/>
            <w:tcMar>
              <w:top w:w="80" w:type="dxa"/>
              <w:left w:w="100" w:type="dxa"/>
              <w:bottom w:w="80" w:type="dxa"/>
              <w:right w:w="100" w:type="dxa"/>
            </w:tcMar>
            <w:vAlign w:val="center"/>
          </w:tcPr>
          <w:p w14:paraId="01831BBF" w14:textId="77777777" w:rsidR="000817FF" w:rsidRDefault="00FB291E">
            <w:pPr>
              <w:jc w:val="center"/>
            </w:pPr>
            <w:r>
              <w:rPr>
                <w:sz w:val="18"/>
              </w:rPr>
              <w:t>0.62</w:t>
            </w:r>
            <w:r>
              <w:rPr>
                <w:sz w:val="18"/>
              </w:rPr>
              <w:t>（</w:t>
            </w:r>
            <w:r>
              <w:rPr>
                <w:sz w:val="18"/>
              </w:rPr>
              <w:t>0.49</w:t>
            </w:r>
            <w:r>
              <w:rPr>
                <w:sz w:val="18"/>
              </w:rPr>
              <w:t>）</w:t>
            </w:r>
          </w:p>
        </w:tc>
        <w:tc>
          <w:tcPr>
            <w:tcW w:w="1102" w:type="dxa"/>
            <w:tcMar>
              <w:top w:w="80" w:type="dxa"/>
              <w:left w:w="100" w:type="dxa"/>
              <w:bottom w:w="80" w:type="dxa"/>
              <w:right w:w="100" w:type="dxa"/>
            </w:tcMar>
            <w:vAlign w:val="center"/>
          </w:tcPr>
          <w:p w14:paraId="1DCC3220" w14:textId="77777777" w:rsidR="000817FF" w:rsidRDefault="00FB291E">
            <w:pPr>
              <w:jc w:val="center"/>
            </w:pPr>
            <w:r>
              <w:rPr>
                <w:sz w:val="18"/>
              </w:rPr>
              <w:t>检测到信号</w:t>
            </w:r>
          </w:p>
        </w:tc>
      </w:tr>
      <w:tr w:rsidR="000817FF" w14:paraId="28D29E3A" w14:textId="77777777">
        <w:tc>
          <w:tcPr>
            <w:tcW w:w="1098" w:type="dxa"/>
            <w:tcMar>
              <w:top w:w="80" w:type="dxa"/>
              <w:left w:w="100" w:type="dxa"/>
              <w:bottom w:w="80" w:type="dxa"/>
              <w:right w:w="100" w:type="dxa"/>
            </w:tcMar>
            <w:vAlign w:val="center"/>
          </w:tcPr>
          <w:p w14:paraId="7EAE1A2A" w14:textId="77777777" w:rsidR="000817FF" w:rsidRDefault="00FB291E">
            <w:pPr>
              <w:jc w:val="center"/>
            </w:pPr>
            <w:r>
              <w:rPr>
                <w:sz w:val="18"/>
              </w:rPr>
              <w:t>PS only</w:t>
            </w:r>
          </w:p>
        </w:tc>
        <w:tc>
          <w:tcPr>
            <w:tcW w:w="1098" w:type="dxa"/>
            <w:tcMar>
              <w:top w:w="80" w:type="dxa"/>
              <w:left w:w="100" w:type="dxa"/>
              <w:bottom w:w="80" w:type="dxa"/>
              <w:right w:w="100" w:type="dxa"/>
            </w:tcMar>
            <w:vAlign w:val="center"/>
          </w:tcPr>
          <w:p w14:paraId="782EC506" w14:textId="77777777" w:rsidR="000817FF" w:rsidRDefault="00FB291E">
            <w:pPr>
              <w:jc w:val="center"/>
            </w:pPr>
            <w:r>
              <w:rPr>
                <w:sz w:val="18"/>
              </w:rPr>
              <w:t>广义跌倒</w:t>
            </w:r>
          </w:p>
        </w:tc>
        <w:tc>
          <w:tcPr>
            <w:tcW w:w="1098" w:type="dxa"/>
            <w:tcMar>
              <w:top w:w="80" w:type="dxa"/>
              <w:left w:w="100" w:type="dxa"/>
              <w:bottom w:w="80" w:type="dxa"/>
              <w:right w:w="100" w:type="dxa"/>
            </w:tcMar>
            <w:vAlign w:val="center"/>
          </w:tcPr>
          <w:p w14:paraId="35497C7A" w14:textId="77777777" w:rsidR="000817FF" w:rsidRDefault="00FB291E">
            <w:pPr>
              <w:jc w:val="center"/>
            </w:pPr>
            <w:r>
              <w:rPr>
                <w:sz w:val="18"/>
              </w:rPr>
              <w:t>15.32%</w:t>
            </w:r>
          </w:p>
        </w:tc>
        <w:tc>
          <w:tcPr>
            <w:tcW w:w="1098" w:type="dxa"/>
            <w:tcMar>
              <w:top w:w="80" w:type="dxa"/>
              <w:left w:w="100" w:type="dxa"/>
              <w:bottom w:w="80" w:type="dxa"/>
              <w:right w:w="100" w:type="dxa"/>
            </w:tcMar>
            <w:vAlign w:val="center"/>
          </w:tcPr>
          <w:p w14:paraId="5F39338D" w14:textId="77777777" w:rsidR="000817FF" w:rsidRDefault="00FB291E">
            <w:pPr>
              <w:jc w:val="center"/>
            </w:pPr>
            <w:r>
              <w:rPr>
                <w:sz w:val="18"/>
              </w:rPr>
              <w:t>2.80%</w:t>
            </w:r>
          </w:p>
        </w:tc>
        <w:tc>
          <w:tcPr>
            <w:tcW w:w="1098" w:type="dxa"/>
            <w:tcMar>
              <w:top w:w="80" w:type="dxa"/>
              <w:left w:w="100" w:type="dxa"/>
              <w:bottom w:w="80" w:type="dxa"/>
              <w:right w:w="100" w:type="dxa"/>
            </w:tcMar>
            <w:vAlign w:val="center"/>
          </w:tcPr>
          <w:p w14:paraId="307BA342" w14:textId="77777777" w:rsidR="000817FF" w:rsidRDefault="00FB291E">
            <w:pPr>
              <w:jc w:val="center"/>
            </w:pPr>
            <w:r>
              <w:rPr>
                <w:sz w:val="18"/>
              </w:rPr>
              <w:t>6.27</w:t>
            </w:r>
            <w:r>
              <w:rPr>
                <w:sz w:val="18"/>
              </w:rPr>
              <w:t>（</w:t>
            </w:r>
            <w:r>
              <w:rPr>
                <w:sz w:val="18"/>
              </w:rPr>
              <w:t>4.96-7.93</w:t>
            </w:r>
            <w:r>
              <w:rPr>
                <w:sz w:val="18"/>
              </w:rPr>
              <w:t>）</w:t>
            </w:r>
          </w:p>
        </w:tc>
        <w:tc>
          <w:tcPr>
            <w:tcW w:w="1098" w:type="dxa"/>
            <w:tcMar>
              <w:top w:w="80" w:type="dxa"/>
              <w:left w:w="100" w:type="dxa"/>
              <w:bottom w:w="80" w:type="dxa"/>
              <w:right w:w="100" w:type="dxa"/>
            </w:tcMar>
            <w:vAlign w:val="center"/>
          </w:tcPr>
          <w:p w14:paraId="1232D832" w14:textId="77777777" w:rsidR="000817FF" w:rsidRDefault="00FB291E">
            <w:pPr>
              <w:jc w:val="center"/>
            </w:pPr>
            <w:r>
              <w:rPr>
                <w:sz w:val="18"/>
              </w:rPr>
              <w:t>5.47</w:t>
            </w:r>
            <w:r>
              <w:rPr>
                <w:sz w:val="18"/>
              </w:rPr>
              <w:t>（</w:t>
            </w:r>
            <w:r>
              <w:rPr>
                <w:sz w:val="18"/>
              </w:rPr>
              <w:t>4.37-6.84</w:t>
            </w:r>
            <w:r>
              <w:rPr>
                <w:sz w:val="18"/>
              </w:rPr>
              <w:t>）</w:t>
            </w:r>
          </w:p>
        </w:tc>
        <w:tc>
          <w:tcPr>
            <w:tcW w:w="1098" w:type="dxa"/>
            <w:tcMar>
              <w:top w:w="80" w:type="dxa"/>
              <w:left w:w="100" w:type="dxa"/>
              <w:bottom w:w="80" w:type="dxa"/>
              <w:right w:w="100" w:type="dxa"/>
            </w:tcMar>
            <w:vAlign w:val="center"/>
          </w:tcPr>
          <w:p w14:paraId="439CB900" w14:textId="77777777" w:rsidR="000817FF" w:rsidRDefault="00FB291E">
            <w:pPr>
              <w:jc w:val="center"/>
            </w:pPr>
            <w:r>
              <w:rPr>
                <w:sz w:val="18"/>
              </w:rPr>
              <w:t>0.58</w:t>
            </w:r>
            <w:r>
              <w:rPr>
                <w:sz w:val="18"/>
              </w:rPr>
              <w:t>（</w:t>
            </w:r>
            <w:r>
              <w:rPr>
                <w:sz w:val="18"/>
              </w:rPr>
              <w:t>0.47</w:t>
            </w:r>
            <w:r>
              <w:rPr>
                <w:sz w:val="18"/>
              </w:rPr>
              <w:t>）</w:t>
            </w:r>
          </w:p>
        </w:tc>
        <w:tc>
          <w:tcPr>
            <w:tcW w:w="1102" w:type="dxa"/>
            <w:tcMar>
              <w:top w:w="80" w:type="dxa"/>
              <w:left w:w="100" w:type="dxa"/>
              <w:bottom w:w="80" w:type="dxa"/>
              <w:right w:w="100" w:type="dxa"/>
            </w:tcMar>
            <w:vAlign w:val="center"/>
          </w:tcPr>
          <w:p w14:paraId="6E720FBC" w14:textId="77777777" w:rsidR="000817FF" w:rsidRDefault="00FB291E">
            <w:pPr>
              <w:jc w:val="center"/>
            </w:pPr>
            <w:r>
              <w:rPr>
                <w:sz w:val="18"/>
              </w:rPr>
              <w:t>检测到信号</w:t>
            </w:r>
          </w:p>
        </w:tc>
      </w:tr>
    </w:tbl>
    <w:p w14:paraId="330CE585" w14:textId="77777777" w:rsidR="000817FF" w:rsidRDefault="000817FF"/>
    <w:p w14:paraId="10CDFFFA" w14:textId="77777777" w:rsidR="000817FF" w:rsidRDefault="00FB291E">
      <w:pPr>
        <w:spacing w:after="120" w:line="360" w:lineRule="auto"/>
        <w:ind w:firstLine="420"/>
      </w:pPr>
      <w:r>
        <w:rPr>
          <w:sz w:val="21"/>
        </w:rPr>
        <w:t xml:space="preserve">PS only </w:t>
      </w:r>
      <w:r>
        <w:rPr>
          <w:sz w:val="21"/>
        </w:rPr>
        <w:t>口径下，</w:t>
      </w:r>
      <w:r>
        <w:rPr>
          <w:sz w:val="21"/>
        </w:rPr>
        <w:t xml:space="preserve">zolpidem only </w:t>
      </w:r>
      <w:r>
        <w:rPr>
          <w:sz w:val="21"/>
        </w:rPr>
        <w:t>与</w:t>
      </w:r>
      <w:r>
        <w:rPr>
          <w:sz w:val="21"/>
        </w:rPr>
        <w:t xml:space="preserve"> other zdrug only </w:t>
      </w:r>
      <w:r>
        <w:rPr>
          <w:sz w:val="21"/>
        </w:rPr>
        <w:t>的差异更明显。但该结果需要谨慎解释，因为</w:t>
      </w:r>
      <w:r>
        <w:rPr>
          <w:sz w:val="21"/>
        </w:rPr>
        <w:t xml:space="preserve"> PS only </w:t>
      </w:r>
      <w:r>
        <w:rPr>
          <w:sz w:val="21"/>
        </w:rPr>
        <w:t>口径下</w:t>
      </w:r>
      <w:r>
        <w:rPr>
          <w:sz w:val="21"/>
        </w:rPr>
        <w:t xml:space="preserve"> other zdrug only </w:t>
      </w:r>
      <w:r>
        <w:rPr>
          <w:sz w:val="21"/>
        </w:rPr>
        <w:t>病例数相对较少，且事件数较低，容易受到报告结构差异影响。因此，本文将该比较作为敏感性和补充分析，不作为核心结论。</w:t>
      </w:r>
    </w:p>
    <w:p w14:paraId="49E1D96F" w14:textId="77777777" w:rsidR="000817FF" w:rsidRDefault="00FB291E">
      <w:pPr>
        <w:pStyle w:val="21"/>
        <w:spacing w:before="160" w:after="80"/>
      </w:pPr>
      <w:bookmarkStart w:id="64" w:name="_Toc230281363"/>
      <w:r>
        <w:rPr>
          <w:rFonts w:ascii="Times New Roman" w:eastAsia="宋体" w:hAnsi="Times New Roman"/>
        </w:rPr>
        <w:t xml:space="preserve">4.5 </w:t>
      </w:r>
      <w:r>
        <w:rPr>
          <w:rFonts w:ascii="Times New Roman" w:eastAsia="宋体" w:hAnsi="Times New Roman"/>
        </w:rPr>
        <w:t>探索性分层分析</w:t>
      </w:r>
      <w:bookmarkEnd w:id="64"/>
    </w:p>
    <w:p w14:paraId="785F5954" w14:textId="77777777" w:rsidR="000817FF" w:rsidRDefault="00FB291E">
      <w:pPr>
        <w:spacing w:after="120" w:line="360" w:lineRule="auto"/>
        <w:ind w:firstLine="420"/>
      </w:pPr>
      <w:r>
        <w:rPr>
          <w:sz w:val="21"/>
        </w:rPr>
        <w:t>本研究在唑吡坦</w:t>
      </w:r>
      <w:r>
        <w:rPr>
          <w:sz w:val="21"/>
        </w:rPr>
        <w:t xml:space="preserve"> suspect </w:t>
      </w:r>
      <w:r>
        <w:rPr>
          <w:sz w:val="21"/>
        </w:rPr>
        <w:t>暴露病例内部进一步开展探索性分层分析，观察不同人口学特征、用药负担和合并用药情况下跌倒事件报告比例的差异。</w:t>
      </w:r>
    </w:p>
    <w:p w14:paraId="7CF2DBD4" w14:textId="77777777" w:rsidR="000817FF" w:rsidRDefault="00FB291E">
      <w:pPr>
        <w:spacing w:after="120" w:line="360" w:lineRule="auto"/>
        <w:ind w:firstLine="420"/>
      </w:pPr>
      <w:r>
        <w:t>在年龄分层中，PS+SS 口径下，65-74 岁唑吡坦 suspect 病例严格 PT 跌倒报告比例为 7.95%；75-84 岁为 15.53%；85 岁及以上为 24.09%。广义跌倒相关事件（补充）中，65-74 岁报告比例为 12.54%；75-84 岁为 21.29%；85 岁及以上为 29.24%。可以看到，随着年龄升高，跌倒相关事件报告比例明显增加。</w:t>
      </w:r>
    </w:p>
    <w:p w14:paraId="0BE85F03" w14:textId="77777777" w:rsidR="000817FF" w:rsidRDefault="00FB291E">
      <w:pPr>
        <w:spacing w:after="120" w:line="360" w:lineRule="auto"/>
        <w:ind w:firstLine="420"/>
      </w:pPr>
      <w:r>
        <w:t>性别分层显示，PS+SS 口径下女性唑吡坦 suspect 病例严格 PT 跌倒报告比例为 15.08%，男性为 9.89%；广义跌倒相关事件（补充）中女性为 20.46%，男性为 14.46%。女性病例中跌倒相关事件报告比例高于男性。</w:t>
      </w:r>
    </w:p>
    <w:p w14:paraId="6C91A777" w14:textId="77777777" w:rsidR="000817FF" w:rsidRDefault="00FB291E">
      <w:pPr>
        <w:spacing w:after="120" w:line="360" w:lineRule="auto"/>
        <w:ind w:firstLine="420"/>
      </w:pPr>
      <w:r>
        <w:t>用药负担方面，多重用药病例的严格 PT 跌倒报告比例为 18.12%，广义跌倒相关事件（补充）报告比例为 23.86%，均高于唑吡坦 suspect 病例总体水平。合并用药方面，合并抗抑郁药病例严格 PT 跌倒报告比例为 21.35%，合并阿片类药物病例为 20.44%，合并抗癫痫药病例为 18.56%，均显示较高的跌倒相关报告比例。</w:t>
      </w:r>
    </w:p>
    <w:p w14:paraId="2AD274F8" w14:textId="77777777" w:rsidR="000817FF" w:rsidRDefault="00FB291E">
      <w:pPr>
        <w:spacing w:after="120" w:line="360" w:lineRule="auto"/>
        <w:ind w:firstLine="420"/>
      </w:pPr>
      <w:r>
        <w:rPr>
          <w:sz w:val="21"/>
        </w:rPr>
        <w:t>表</w:t>
      </w:r>
      <w:r>
        <w:rPr>
          <w:sz w:val="21"/>
        </w:rPr>
        <w:t xml:space="preserve"> 4-5 </w:t>
      </w:r>
      <w:r>
        <w:rPr>
          <w:sz w:val="21"/>
        </w:rPr>
        <w:t>显示</w:t>
      </w:r>
      <w:r>
        <w:rPr>
          <w:sz w:val="21"/>
        </w:rPr>
        <w:t xml:space="preserve"> PS+SS </w:t>
      </w:r>
      <w:r>
        <w:rPr>
          <w:sz w:val="21"/>
        </w:rPr>
        <w:t>口径下唑吡坦</w:t>
      </w:r>
      <w:r>
        <w:rPr>
          <w:sz w:val="21"/>
        </w:rPr>
        <w:t xml:space="preserve"> suspect </w:t>
      </w:r>
      <w:r>
        <w:rPr>
          <w:sz w:val="21"/>
        </w:rPr>
        <w:t>病例内部主要分层结果。</w:t>
      </w:r>
    </w:p>
    <w:p w14:paraId="66DE27EE" w14:textId="77777777" w:rsidR="000817FF" w:rsidRDefault="00FB291E">
      <w:pPr>
        <w:spacing w:after="120" w:line="360" w:lineRule="auto"/>
        <w:ind w:firstLine="420"/>
      </w:pPr>
      <w:r>
        <w:rPr>
          <w:sz w:val="21"/>
        </w:rPr>
        <w:t>表</w:t>
      </w:r>
      <w:r>
        <w:rPr>
          <w:sz w:val="21"/>
        </w:rPr>
        <w:t xml:space="preserve"> 4-5 </w:t>
      </w:r>
      <w:r>
        <w:rPr>
          <w:sz w:val="21"/>
        </w:rPr>
        <w:t>唑吡坦</w:t>
      </w:r>
      <w:r>
        <w:rPr>
          <w:sz w:val="21"/>
        </w:rPr>
        <w:t xml:space="preserve"> suspect </w:t>
      </w:r>
      <w:r>
        <w:rPr>
          <w:sz w:val="21"/>
        </w:rPr>
        <w:t>病例内部跌倒事件报告比例分层结果</w:t>
      </w:r>
    </w:p>
    <w:tbl>
      <w:tblPr>
        <w:tblStyle w:val="aff1"/>
        <w:tblW w:w="8788" w:type="dxa"/>
        <w:tblLayout w:type="fixed"/>
        <w:tblLook w:val="04A0" w:firstRow="1" w:lastRow="0" w:firstColumn="1" w:lastColumn="0" w:noHBand="0" w:noVBand="1"/>
      </w:tblPr>
      <w:tblGrid>
        <w:gridCol w:w="1757"/>
        <w:gridCol w:w="1757"/>
        <w:gridCol w:w="1757"/>
        <w:gridCol w:w="1757"/>
        <w:gridCol w:w="1760"/>
      </w:tblGrid>
      <w:tr w:rsidR="000817FF" w14:paraId="6E6E6EC9" w14:textId="77777777">
        <w:tc>
          <w:tcPr>
            <w:tcW w:w="1757" w:type="dxa"/>
            <w:shd w:val="clear" w:color="auto" w:fill="EDEDED"/>
            <w:tcMar>
              <w:top w:w="80" w:type="dxa"/>
              <w:left w:w="100" w:type="dxa"/>
              <w:bottom w:w="80" w:type="dxa"/>
              <w:right w:w="100" w:type="dxa"/>
            </w:tcMar>
            <w:vAlign w:val="center"/>
          </w:tcPr>
          <w:p w14:paraId="73AECD7E" w14:textId="77777777" w:rsidR="000817FF" w:rsidRDefault="00FB291E">
            <w:pPr>
              <w:jc w:val="center"/>
            </w:pPr>
            <w:r>
              <w:rPr>
                <w:b/>
                <w:sz w:val="18"/>
              </w:rPr>
              <w:t>分层变量</w:t>
            </w:r>
          </w:p>
        </w:tc>
        <w:tc>
          <w:tcPr>
            <w:tcW w:w="1757" w:type="dxa"/>
            <w:shd w:val="clear" w:color="auto" w:fill="EDEDED"/>
            <w:tcMar>
              <w:top w:w="80" w:type="dxa"/>
              <w:left w:w="100" w:type="dxa"/>
              <w:bottom w:w="80" w:type="dxa"/>
              <w:right w:w="100" w:type="dxa"/>
            </w:tcMar>
            <w:vAlign w:val="center"/>
          </w:tcPr>
          <w:p w14:paraId="140E5A87" w14:textId="77777777" w:rsidR="000817FF" w:rsidRDefault="00FB291E">
            <w:pPr>
              <w:jc w:val="center"/>
            </w:pPr>
            <w:r>
              <w:rPr>
                <w:b/>
                <w:sz w:val="18"/>
              </w:rPr>
              <w:t>分层</w:t>
            </w:r>
          </w:p>
        </w:tc>
        <w:tc>
          <w:tcPr>
            <w:tcW w:w="1757" w:type="dxa"/>
            <w:shd w:val="clear" w:color="auto" w:fill="EDEDED"/>
            <w:tcMar>
              <w:top w:w="80" w:type="dxa"/>
              <w:left w:w="100" w:type="dxa"/>
              <w:bottom w:w="80" w:type="dxa"/>
              <w:right w:w="100" w:type="dxa"/>
            </w:tcMar>
            <w:vAlign w:val="center"/>
          </w:tcPr>
          <w:p w14:paraId="05B3BB59" w14:textId="77777777" w:rsidR="000817FF" w:rsidRDefault="00FB291E">
            <w:pPr>
              <w:jc w:val="center"/>
            </w:pPr>
            <w:r>
              <w:rPr>
                <w:b/>
                <w:sz w:val="18"/>
              </w:rPr>
              <w:t>暴露病例数</w:t>
            </w:r>
          </w:p>
        </w:tc>
        <w:tc>
          <w:tcPr>
            <w:tcW w:w="1757" w:type="dxa"/>
            <w:shd w:val="clear" w:color="auto" w:fill="EDEDED"/>
            <w:tcMar>
              <w:top w:w="80" w:type="dxa"/>
              <w:left w:w="100" w:type="dxa"/>
              <w:bottom w:w="80" w:type="dxa"/>
              <w:right w:w="100" w:type="dxa"/>
            </w:tcMar>
            <w:vAlign w:val="center"/>
          </w:tcPr>
          <w:p w14:paraId="5B26F1B0" w14:textId="77777777" w:rsidR="000817FF" w:rsidRDefault="00FB291E">
            <w:pPr>
              <w:jc w:val="center"/>
            </w:pPr>
            <w:r>
              <w:t>严格 PT 跌倒报告比例</w:t>
            </w:r>
          </w:p>
        </w:tc>
        <w:tc>
          <w:tcPr>
            <w:tcW w:w="1760" w:type="dxa"/>
            <w:shd w:val="clear" w:color="auto" w:fill="EDEDED"/>
            <w:tcMar>
              <w:top w:w="80" w:type="dxa"/>
              <w:left w:w="100" w:type="dxa"/>
              <w:bottom w:w="80" w:type="dxa"/>
              <w:right w:w="100" w:type="dxa"/>
            </w:tcMar>
            <w:vAlign w:val="center"/>
          </w:tcPr>
          <w:p w14:paraId="0012DB29" w14:textId="77777777" w:rsidR="000817FF" w:rsidRDefault="00FB291E">
            <w:pPr>
              <w:jc w:val="center"/>
            </w:pPr>
            <w:r>
              <w:rPr>
                <w:b/>
                <w:sz w:val="18"/>
              </w:rPr>
              <w:t>广义跌倒报告比例</w:t>
            </w:r>
          </w:p>
        </w:tc>
      </w:tr>
      <w:tr w:rsidR="000817FF" w14:paraId="66F39457" w14:textId="77777777">
        <w:tc>
          <w:tcPr>
            <w:tcW w:w="1757" w:type="dxa"/>
            <w:tcMar>
              <w:top w:w="80" w:type="dxa"/>
              <w:left w:w="100" w:type="dxa"/>
              <w:bottom w:w="80" w:type="dxa"/>
              <w:right w:w="100" w:type="dxa"/>
            </w:tcMar>
            <w:vAlign w:val="center"/>
          </w:tcPr>
          <w:p w14:paraId="1D9D0C62"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2CF0DA5A" w14:textId="77777777" w:rsidR="000817FF" w:rsidRDefault="00FB291E">
            <w:pPr>
              <w:jc w:val="center"/>
            </w:pPr>
            <w:r>
              <w:rPr>
                <w:sz w:val="18"/>
              </w:rPr>
              <w:t xml:space="preserve">65-74 </w:t>
            </w:r>
            <w:r>
              <w:rPr>
                <w:sz w:val="18"/>
              </w:rPr>
              <w:t>岁</w:t>
            </w:r>
          </w:p>
        </w:tc>
        <w:tc>
          <w:tcPr>
            <w:tcW w:w="1757" w:type="dxa"/>
            <w:tcMar>
              <w:top w:w="80" w:type="dxa"/>
              <w:left w:w="100" w:type="dxa"/>
              <w:bottom w:w="80" w:type="dxa"/>
              <w:right w:w="100" w:type="dxa"/>
            </w:tcMar>
            <w:vAlign w:val="center"/>
          </w:tcPr>
          <w:p w14:paraId="2EF584DD" w14:textId="77777777" w:rsidR="000817FF" w:rsidRDefault="00FB291E">
            <w:pPr>
              <w:jc w:val="center"/>
            </w:pPr>
            <w:r>
              <w:rPr>
                <w:sz w:val="18"/>
              </w:rPr>
              <w:t>3,986</w:t>
            </w:r>
          </w:p>
        </w:tc>
        <w:tc>
          <w:tcPr>
            <w:tcW w:w="1757" w:type="dxa"/>
            <w:tcMar>
              <w:top w:w="80" w:type="dxa"/>
              <w:left w:w="100" w:type="dxa"/>
              <w:bottom w:w="80" w:type="dxa"/>
              <w:right w:w="100" w:type="dxa"/>
            </w:tcMar>
            <w:vAlign w:val="center"/>
          </w:tcPr>
          <w:p w14:paraId="1BF6E7C8" w14:textId="77777777" w:rsidR="000817FF" w:rsidRDefault="00FB291E">
            <w:pPr>
              <w:jc w:val="center"/>
            </w:pPr>
            <w:r>
              <w:rPr>
                <w:sz w:val="18"/>
              </w:rPr>
              <w:t>7.95%</w:t>
            </w:r>
          </w:p>
        </w:tc>
        <w:tc>
          <w:tcPr>
            <w:tcW w:w="1760" w:type="dxa"/>
            <w:tcMar>
              <w:top w:w="80" w:type="dxa"/>
              <w:left w:w="100" w:type="dxa"/>
              <w:bottom w:w="80" w:type="dxa"/>
              <w:right w:w="100" w:type="dxa"/>
            </w:tcMar>
            <w:vAlign w:val="center"/>
          </w:tcPr>
          <w:p w14:paraId="6A26A0CC" w14:textId="77777777" w:rsidR="000817FF" w:rsidRDefault="00FB291E">
            <w:pPr>
              <w:jc w:val="center"/>
            </w:pPr>
            <w:r>
              <w:rPr>
                <w:sz w:val="18"/>
              </w:rPr>
              <w:t>12.54%</w:t>
            </w:r>
          </w:p>
        </w:tc>
      </w:tr>
      <w:tr w:rsidR="000817FF" w14:paraId="4DA43446" w14:textId="77777777">
        <w:tc>
          <w:tcPr>
            <w:tcW w:w="1757" w:type="dxa"/>
            <w:tcMar>
              <w:top w:w="80" w:type="dxa"/>
              <w:left w:w="100" w:type="dxa"/>
              <w:bottom w:w="80" w:type="dxa"/>
              <w:right w:w="100" w:type="dxa"/>
            </w:tcMar>
            <w:vAlign w:val="center"/>
          </w:tcPr>
          <w:p w14:paraId="298EAC77"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17B296B" w14:textId="77777777" w:rsidR="000817FF" w:rsidRDefault="00FB291E">
            <w:pPr>
              <w:jc w:val="center"/>
            </w:pPr>
            <w:r>
              <w:rPr>
                <w:sz w:val="18"/>
              </w:rPr>
              <w:t xml:space="preserve">75-84 </w:t>
            </w:r>
            <w:r>
              <w:rPr>
                <w:sz w:val="18"/>
              </w:rPr>
              <w:t>岁</w:t>
            </w:r>
          </w:p>
        </w:tc>
        <w:tc>
          <w:tcPr>
            <w:tcW w:w="1757" w:type="dxa"/>
            <w:tcMar>
              <w:top w:w="80" w:type="dxa"/>
              <w:left w:w="100" w:type="dxa"/>
              <w:bottom w:w="80" w:type="dxa"/>
              <w:right w:w="100" w:type="dxa"/>
            </w:tcMar>
            <w:vAlign w:val="center"/>
          </w:tcPr>
          <w:p w14:paraId="4CF0E60E" w14:textId="77777777" w:rsidR="000817FF" w:rsidRDefault="00FB291E">
            <w:pPr>
              <w:jc w:val="center"/>
            </w:pPr>
            <w:r>
              <w:rPr>
                <w:sz w:val="18"/>
              </w:rPr>
              <w:t>2,705</w:t>
            </w:r>
          </w:p>
        </w:tc>
        <w:tc>
          <w:tcPr>
            <w:tcW w:w="1757" w:type="dxa"/>
            <w:tcMar>
              <w:top w:w="80" w:type="dxa"/>
              <w:left w:w="100" w:type="dxa"/>
              <w:bottom w:w="80" w:type="dxa"/>
              <w:right w:w="100" w:type="dxa"/>
            </w:tcMar>
            <w:vAlign w:val="center"/>
          </w:tcPr>
          <w:p w14:paraId="50B68E69" w14:textId="77777777" w:rsidR="000817FF" w:rsidRDefault="00FB291E">
            <w:pPr>
              <w:jc w:val="center"/>
            </w:pPr>
            <w:r>
              <w:rPr>
                <w:sz w:val="18"/>
              </w:rPr>
              <w:t>15.53%</w:t>
            </w:r>
          </w:p>
        </w:tc>
        <w:tc>
          <w:tcPr>
            <w:tcW w:w="1760" w:type="dxa"/>
            <w:tcMar>
              <w:top w:w="80" w:type="dxa"/>
              <w:left w:w="100" w:type="dxa"/>
              <w:bottom w:w="80" w:type="dxa"/>
              <w:right w:w="100" w:type="dxa"/>
            </w:tcMar>
            <w:vAlign w:val="center"/>
          </w:tcPr>
          <w:p w14:paraId="06823E7F" w14:textId="77777777" w:rsidR="000817FF" w:rsidRDefault="00FB291E">
            <w:pPr>
              <w:jc w:val="center"/>
            </w:pPr>
            <w:r>
              <w:rPr>
                <w:sz w:val="18"/>
              </w:rPr>
              <w:t>21.29%</w:t>
            </w:r>
          </w:p>
        </w:tc>
      </w:tr>
      <w:tr w:rsidR="000817FF" w14:paraId="54506515" w14:textId="77777777">
        <w:tc>
          <w:tcPr>
            <w:tcW w:w="1757" w:type="dxa"/>
            <w:tcMar>
              <w:top w:w="80" w:type="dxa"/>
              <w:left w:w="100" w:type="dxa"/>
              <w:bottom w:w="80" w:type="dxa"/>
              <w:right w:w="100" w:type="dxa"/>
            </w:tcMar>
            <w:vAlign w:val="center"/>
          </w:tcPr>
          <w:p w14:paraId="2F764CBA" w14:textId="77777777" w:rsidR="000817FF" w:rsidRDefault="00FB291E">
            <w:pPr>
              <w:jc w:val="center"/>
            </w:pPr>
            <w:r>
              <w:rPr>
                <w:sz w:val="18"/>
              </w:rPr>
              <w:t>年龄</w:t>
            </w:r>
          </w:p>
        </w:tc>
        <w:tc>
          <w:tcPr>
            <w:tcW w:w="1757" w:type="dxa"/>
            <w:tcMar>
              <w:top w:w="80" w:type="dxa"/>
              <w:left w:w="100" w:type="dxa"/>
              <w:bottom w:w="80" w:type="dxa"/>
              <w:right w:w="100" w:type="dxa"/>
            </w:tcMar>
            <w:vAlign w:val="center"/>
          </w:tcPr>
          <w:p w14:paraId="686A599A" w14:textId="77777777" w:rsidR="000817FF" w:rsidRDefault="00FB291E">
            <w:pPr>
              <w:jc w:val="center"/>
            </w:pPr>
            <w:r>
              <w:rPr>
                <w:sz w:val="18"/>
              </w:rPr>
              <w:t xml:space="preserve">&gt;=85 </w:t>
            </w:r>
            <w:r>
              <w:rPr>
                <w:sz w:val="18"/>
              </w:rPr>
              <w:t>岁</w:t>
            </w:r>
          </w:p>
        </w:tc>
        <w:tc>
          <w:tcPr>
            <w:tcW w:w="1757" w:type="dxa"/>
            <w:tcMar>
              <w:top w:w="80" w:type="dxa"/>
              <w:left w:w="100" w:type="dxa"/>
              <w:bottom w:w="80" w:type="dxa"/>
              <w:right w:w="100" w:type="dxa"/>
            </w:tcMar>
            <w:vAlign w:val="center"/>
          </w:tcPr>
          <w:p w14:paraId="52FC6793" w14:textId="77777777" w:rsidR="000817FF" w:rsidRDefault="00FB291E">
            <w:pPr>
              <w:jc w:val="center"/>
            </w:pPr>
            <w:r>
              <w:rPr>
                <w:sz w:val="18"/>
              </w:rPr>
              <w:t>1,320</w:t>
            </w:r>
          </w:p>
        </w:tc>
        <w:tc>
          <w:tcPr>
            <w:tcW w:w="1757" w:type="dxa"/>
            <w:tcMar>
              <w:top w:w="80" w:type="dxa"/>
              <w:left w:w="100" w:type="dxa"/>
              <w:bottom w:w="80" w:type="dxa"/>
              <w:right w:w="100" w:type="dxa"/>
            </w:tcMar>
            <w:vAlign w:val="center"/>
          </w:tcPr>
          <w:p w14:paraId="381E4B31" w14:textId="77777777" w:rsidR="000817FF" w:rsidRDefault="00FB291E">
            <w:pPr>
              <w:jc w:val="center"/>
            </w:pPr>
            <w:r>
              <w:rPr>
                <w:sz w:val="18"/>
              </w:rPr>
              <w:t>24.09%</w:t>
            </w:r>
          </w:p>
        </w:tc>
        <w:tc>
          <w:tcPr>
            <w:tcW w:w="1760" w:type="dxa"/>
            <w:tcMar>
              <w:top w:w="80" w:type="dxa"/>
              <w:left w:w="100" w:type="dxa"/>
              <w:bottom w:w="80" w:type="dxa"/>
              <w:right w:w="100" w:type="dxa"/>
            </w:tcMar>
            <w:vAlign w:val="center"/>
          </w:tcPr>
          <w:p w14:paraId="7D377A01" w14:textId="77777777" w:rsidR="000817FF" w:rsidRDefault="00FB291E">
            <w:pPr>
              <w:jc w:val="center"/>
            </w:pPr>
            <w:r>
              <w:rPr>
                <w:sz w:val="18"/>
              </w:rPr>
              <w:t>29.24%</w:t>
            </w:r>
          </w:p>
        </w:tc>
      </w:tr>
      <w:tr w:rsidR="000817FF" w14:paraId="404CB927" w14:textId="77777777">
        <w:tc>
          <w:tcPr>
            <w:tcW w:w="1757" w:type="dxa"/>
            <w:tcMar>
              <w:top w:w="80" w:type="dxa"/>
              <w:left w:w="100" w:type="dxa"/>
              <w:bottom w:w="80" w:type="dxa"/>
              <w:right w:w="100" w:type="dxa"/>
            </w:tcMar>
            <w:vAlign w:val="center"/>
          </w:tcPr>
          <w:p w14:paraId="2B42C60D"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3BB49805" w14:textId="77777777" w:rsidR="000817FF" w:rsidRDefault="00FB291E">
            <w:pPr>
              <w:jc w:val="center"/>
            </w:pPr>
            <w:r>
              <w:rPr>
                <w:sz w:val="18"/>
              </w:rPr>
              <w:t>女性</w:t>
            </w:r>
          </w:p>
        </w:tc>
        <w:tc>
          <w:tcPr>
            <w:tcW w:w="1757" w:type="dxa"/>
            <w:tcMar>
              <w:top w:w="80" w:type="dxa"/>
              <w:left w:w="100" w:type="dxa"/>
              <w:bottom w:w="80" w:type="dxa"/>
              <w:right w:w="100" w:type="dxa"/>
            </w:tcMar>
            <w:vAlign w:val="center"/>
          </w:tcPr>
          <w:p w14:paraId="1A38D39B" w14:textId="77777777" w:rsidR="000817FF" w:rsidRDefault="00FB291E">
            <w:pPr>
              <w:jc w:val="center"/>
            </w:pPr>
            <w:r>
              <w:rPr>
                <w:sz w:val="18"/>
              </w:rPr>
              <w:t>5,059</w:t>
            </w:r>
          </w:p>
        </w:tc>
        <w:tc>
          <w:tcPr>
            <w:tcW w:w="1757" w:type="dxa"/>
            <w:tcMar>
              <w:top w:w="80" w:type="dxa"/>
              <w:left w:w="100" w:type="dxa"/>
              <w:bottom w:w="80" w:type="dxa"/>
              <w:right w:w="100" w:type="dxa"/>
            </w:tcMar>
            <w:vAlign w:val="center"/>
          </w:tcPr>
          <w:p w14:paraId="111AA858" w14:textId="77777777" w:rsidR="000817FF" w:rsidRDefault="00FB291E">
            <w:pPr>
              <w:jc w:val="center"/>
            </w:pPr>
            <w:r>
              <w:rPr>
                <w:sz w:val="18"/>
              </w:rPr>
              <w:t>15.08%</w:t>
            </w:r>
          </w:p>
        </w:tc>
        <w:tc>
          <w:tcPr>
            <w:tcW w:w="1760" w:type="dxa"/>
            <w:tcMar>
              <w:top w:w="80" w:type="dxa"/>
              <w:left w:w="100" w:type="dxa"/>
              <w:bottom w:w="80" w:type="dxa"/>
              <w:right w:w="100" w:type="dxa"/>
            </w:tcMar>
            <w:vAlign w:val="center"/>
          </w:tcPr>
          <w:p w14:paraId="46B8F2F0" w14:textId="77777777" w:rsidR="000817FF" w:rsidRDefault="00FB291E">
            <w:pPr>
              <w:jc w:val="center"/>
            </w:pPr>
            <w:r>
              <w:rPr>
                <w:sz w:val="18"/>
              </w:rPr>
              <w:t>20.46%</w:t>
            </w:r>
          </w:p>
        </w:tc>
      </w:tr>
      <w:tr w:rsidR="000817FF" w14:paraId="04E33812" w14:textId="77777777">
        <w:tc>
          <w:tcPr>
            <w:tcW w:w="1757" w:type="dxa"/>
            <w:tcMar>
              <w:top w:w="80" w:type="dxa"/>
              <w:left w:w="100" w:type="dxa"/>
              <w:bottom w:w="80" w:type="dxa"/>
              <w:right w:w="100" w:type="dxa"/>
            </w:tcMar>
            <w:vAlign w:val="center"/>
          </w:tcPr>
          <w:p w14:paraId="5A67F072" w14:textId="77777777" w:rsidR="000817FF" w:rsidRDefault="00FB291E">
            <w:pPr>
              <w:jc w:val="center"/>
            </w:pPr>
            <w:r>
              <w:rPr>
                <w:sz w:val="18"/>
              </w:rPr>
              <w:t>性别</w:t>
            </w:r>
          </w:p>
        </w:tc>
        <w:tc>
          <w:tcPr>
            <w:tcW w:w="1757" w:type="dxa"/>
            <w:tcMar>
              <w:top w:w="80" w:type="dxa"/>
              <w:left w:w="100" w:type="dxa"/>
              <w:bottom w:w="80" w:type="dxa"/>
              <w:right w:w="100" w:type="dxa"/>
            </w:tcMar>
            <w:vAlign w:val="center"/>
          </w:tcPr>
          <w:p w14:paraId="6080391A" w14:textId="77777777" w:rsidR="000817FF" w:rsidRDefault="00FB291E">
            <w:pPr>
              <w:jc w:val="center"/>
            </w:pPr>
            <w:r>
              <w:rPr>
                <w:sz w:val="18"/>
              </w:rPr>
              <w:t>男性</w:t>
            </w:r>
          </w:p>
        </w:tc>
        <w:tc>
          <w:tcPr>
            <w:tcW w:w="1757" w:type="dxa"/>
            <w:tcMar>
              <w:top w:w="80" w:type="dxa"/>
              <w:left w:w="100" w:type="dxa"/>
              <w:bottom w:w="80" w:type="dxa"/>
              <w:right w:w="100" w:type="dxa"/>
            </w:tcMar>
            <w:vAlign w:val="center"/>
          </w:tcPr>
          <w:p w14:paraId="321B85AB" w14:textId="77777777" w:rsidR="000817FF" w:rsidRDefault="00FB291E">
            <w:pPr>
              <w:jc w:val="center"/>
            </w:pPr>
            <w:r>
              <w:rPr>
                <w:sz w:val="18"/>
              </w:rPr>
              <w:t>2,952</w:t>
            </w:r>
          </w:p>
        </w:tc>
        <w:tc>
          <w:tcPr>
            <w:tcW w:w="1757" w:type="dxa"/>
            <w:tcMar>
              <w:top w:w="80" w:type="dxa"/>
              <w:left w:w="100" w:type="dxa"/>
              <w:bottom w:w="80" w:type="dxa"/>
              <w:right w:w="100" w:type="dxa"/>
            </w:tcMar>
            <w:vAlign w:val="center"/>
          </w:tcPr>
          <w:p w14:paraId="64E3C830" w14:textId="77777777" w:rsidR="000817FF" w:rsidRDefault="00FB291E">
            <w:pPr>
              <w:jc w:val="center"/>
            </w:pPr>
            <w:r>
              <w:rPr>
                <w:sz w:val="18"/>
              </w:rPr>
              <w:t>9.89%</w:t>
            </w:r>
          </w:p>
        </w:tc>
        <w:tc>
          <w:tcPr>
            <w:tcW w:w="1760" w:type="dxa"/>
            <w:tcMar>
              <w:top w:w="80" w:type="dxa"/>
              <w:left w:w="100" w:type="dxa"/>
              <w:bottom w:w="80" w:type="dxa"/>
              <w:right w:w="100" w:type="dxa"/>
            </w:tcMar>
            <w:vAlign w:val="center"/>
          </w:tcPr>
          <w:p w14:paraId="1183B5D4" w14:textId="77777777" w:rsidR="000817FF" w:rsidRDefault="00FB291E">
            <w:pPr>
              <w:jc w:val="center"/>
            </w:pPr>
            <w:r>
              <w:rPr>
                <w:sz w:val="18"/>
              </w:rPr>
              <w:t>14.46%</w:t>
            </w:r>
          </w:p>
        </w:tc>
      </w:tr>
      <w:tr w:rsidR="000817FF" w14:paraId="68A5C29D" w14:textId="77777777">
        <w:tc>
          <w:tcPr>
            <w:tcW w:w="1757" w:type="dxa"/>
            <w:tcMar>
              <w:top w:w="80" w:type="dxa"/>
              <w:left w:w="100" w:type="dxa"/>
              <w:bottom w:w="80" w:type="dxa"/>
              <w:right w:w="100" w:type="dxa"/>
            </w:tcMar>
            <w:vAlign w:val="center"/>
          </w:tcPr>
          <w:p w14:paraId="1BEACAE8" w14:textId="77777777" w:rsidR="000817FF" w:rsidRDefault="00FB291E">
            <w:pPr>
              <w:jc w:val="center"/>
            </w:pPr>
            <w:r>
              <w:rPr>
                <w:sz w:val="18"/>
              </w:rPr>
              <w:t>用药负担</w:t>
            </w:r>
          </w:p>
        </w:tc>
        <w:tc>
          <w:tcPr>
            <w:tcW w:w="1757" w:type="dxa"/>
            <w:tcMar>
              <w:top w:w="80" w:type="dxa"/>
              <w:left w:w="100" w:type="dxa"/>
              <w:bottom w:w="80" w:type="dxa"/>
              <w:right w:w="100" w:type="dxa"/>
            </w:tcMar>
            <w:vAlign w:val="center"/>
          </w:tcPr>
          <w:p w14:paraId="1976DAE2" w14:textId="77777777" w:rsidR="000817FF" w:rsidRDefault="00FB291E">
            <w:pPr>
              <w:jc w:val="center"/>
            </w:pPr>
            <w:r>
              <w:rPr>
                <w:sz w:val="18"/>
              </w:rPr>
              <w:t>多重用药</w:t>
            </w:r>
          </w:p>
        </w:tc>
        <w:tc>
          <w:tcPr>
            <w:tcW w:w="1757" w:type="dxa"/>
            <w:tcMar>
              <w:top w:w="80" w:type="dxa"/>
              <w:left w:w="100" w:type="dxa"/>
              <w:bottom w:w="80" w:type="dxa"/>
              <w:right w:w="100" w:type="dxa"/>
            </w:tcMar>
            <w:vAlign w:val="center"/>
          </w:tcPr>
          <w:p w14:paraId="7FB7D734" w14:textId="77777777" w:rsidR="000817FF" w:rsidRDefault="00FB291E">
            <w:pPr>
              <w:jc w:val="center"/>
            </w:pPr>
            <w:r>
              <w:rPr>
                <w:sz w:val="18"/>
              </w:rPr>
              <w:t>3,935</w:t>
            </w:r>
          </w:p>
        </w:tc>
        <w:tc>
          <w:tcPr>
            <w:tcW w:w="1757" w:type="dxa"/>
            <w:tcMar>
              <w:top w:w="80" w:type="dxa"/>
              <w:left w:w="100" w:type="dxa"/>
              <w:bottom w:w="80" w:type="dxa"/>
              <w:right w:w="100" w:type="dxa"/>
            </w:tcMar>
            <w:vAlign w:val="center"/>
          </w:tcPr>
          <w:p w14:paraId="4AC7F48E" w14:textId="77777777" w:rsidR="000817FF" w:rsidRDefault="00FB291E">
            <w:pPr>
              <w:jc w:val="center"/>
            </w:pPr>
            <w:r>
              <w:rPr>
                <w:sz w:val="18"/>
              </w:rPr>
              <w:t>18.12%</w:t>
            </w:r>
          </w:p>
        </w:tc>
        <w:tc>
          <w:tcPr>
            <w:tcW w:w="1760" w:type="dxa"/>
            <w:tcMar>
              <w:top w:w="80" w:type="dxa"/>
              <w:left w:w="100" w:type="dxa"/>
              <w:bottom w:w="80" w:type="dxa"/>
              <w:right w:w="100" w:type="dxa"/>
            </w:tcMar>
            <w:vAlign w:val="center"/>
          </w:tcPr>
          <w:p w14:paraId="73FDBF6E" w14:textId="77777777" w:rsidR="000817FF" w:rsidRDefault="00FB291E">
            <w:pPr>
              <w:jc w:val="center"/>
            </w:pPr>
            <w:r>
              <w:rPr>
                <w:sz w:val="18"/>
              </w:rPr>
              <w:t>23.86%</w:t>
            </w:r>
          </w:p>
        </w:tc>
      </w:tr>
      <w:tr w:rsidR="000817FF" w14:paraId="75147E4F" w14:textId="77777777">
        <w:tc>
          <w:tcPr>
            <w:tcW w:w="1757" w:type="dxa"/>
            <w:tcMar>
              <w:top w:w="80" w:type="dxa"/>
              <w:left w:w="100" w:type="dxa"/>
              <w:bottom w:w="80" w:type="dxa"/>
              <w:right w:w="100" w:type="dxa"/>
            </w:tcMar>
            <w:vAlign w:val="center"/>
          </w:tcPr>
          <w:p w14:paraId="3A27F15A"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962EE40" w14:textId="77777777" w:rsidR="000817FF" w:rsidRDefault="00FB291E">
            <w:pPr>
              <w:jc w:val="center"/>
            </w:pPr>
            <w:r>
              <w:rPr>
                <w:sz w:val="18"/>
              </w:rPr>
              <w:t>苯二氮卓类</w:t>
            </w:r>
          </w:p>
        </w:tc>
        <w:tc>
          <w:tcPr>
            <w:tcW w:w="1757" w:type="dxa"/>
            <w:tcMar>
              <w:top w:w="80" w:type="dxa"/>
              <w:left w:w="100" w:type="dxa"/>
              <w:bottom w:w="80" w:type="dxa"/>
              <w:right w:w="100" w:type="dxa"/>
            </w:tcMar>
            <w:vAlign w:val="center"/>
          </w:tcPr>
          <w:p w14:paraId="535ADDF2" w14:textId="77777777" w:rsidR="000817FF" w:rsidRDefault="00FB291E">
            <w:pPr>
              <w:jc w:val="center"/>
            </w:pPr>
            <w:r>
              <w:rPr>
                <w:sz w:val="18"/>
              </w:rPr>
              <w:t>1,517</w:t>
            </w:r>
          </w:p>
        </w:tc>
        <w:tc>
          <w:tcPr>
            <w:tcW w:w="1757" w:type="dxa"/>
            <w:tcMar>
              <w:top w:w="80" w:type="dxa"/>
              <w:left w:w="100" w:type="dxa"/>
              <w:bottom w:w="80" w:type="dxa"/>
              <w:right w:w="100" w:type="dxa"/>
            </w:tcMar>
            <w:vAlign w:val="center"/>
          </w:tcPr>
          <w:p w14:paraId="60017ECE" w14:textId="77777777" w:rsidR="000817FF" w:rsidRDefault="00FB291E">
            <w:pPr>
              <w:jc w:val="center"/>
            </w:pPr>
            <w:r>
              <w:rPr>
                <w:sz w:val="18"/>
              </w:rPr>
              <w:t>13.71%</w:t>
            </w:r>
          </w:p>
        </w:tc>
        <w:tc>
          <w:tcPr>
            <w:tcW w:w="1760" w:type="dxa"/>
            <w:tcMar>
              <w:top w:w="80" w:type="dxa"/>
              <w:left w:w="100" w:type="dxa"/>
              <w:bottom w:w="80" w:type="dxa"/>
              <w:right w:w="100" w:type="dxa"/>
            </w:tcMar>
            <w:vAlign w:val="center"/>
          </w:tcPr>
          <w:p w14:paraId="346A8246" w14:textId="77777777" w:rsidR="000817FF" w:rsidRDefault="00FB291E">
            <w:pPr>
              <w:jc w:val="center"/>
            </w:pPr>
            <w:r>
              <w:rPr>
                <w:sz w:val="18"/>
              </w:rPr>
              <w:t>19.18%</w:t>
            </w:r>
          </w:p>
        </w:tc>
      </w:tr>
      <w:tr w:rsidR="000817FF" w14:paraId="28D53847" w14:textId="77777777">
        <w:tc>
          <w:tcPr>
            <w:tcW w:w="1757" w:type="dxa"/>
            <w:tcMar>
              <w:top w:w="80" w:type="dxa"/>
              <w:left w:w="100" w:type="dxa"/>
              <w:bottom w:w="80" w:type="dxa"/>
              <w:right w:w="100" w:type="dxa"/>
            </w:tcMar>
            <w:vAlign w:val="center"/>
          </w:tcPr>
          <w:p w14:paraId="2E3E9676"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321EE6CA" w14:textId="77777777" w:rsidR="000817FF" w:rsidRDefault="00FB291E">
            <w:pPr>
              <w:jc w:val="center"/>
            </w:pPr>
            <w:r>
              <w:rPr>
                <w:sz w:val="18"/>
              </w:rPr>
              <w:t>抗抑郁药</w:t>
            </w:r>
          </w:p>
        </w:tc>
        <w:tc>
          <w:tcPr>
            <w:tcW w:w="1757" w:type="dxa"/>
            <w:tcMar>
              <w:top w:w="80" w:type="dxa"/>
              <w:left w:w="100" w:type="dxa"/>
              <w:bottom w:w="80" w:type="dxa"/>
              <w:right w:w="100" w:type="dxa"/>
            </w:tcMar>
            <w:vAlign w:val="center"/>
          </w:tcPr>
          <w:p w14:paraId="66889684" w14:textId="77777777" w:rsidR="000817FF" w:rsidRDefault="00FB291E">
            <w:pPr>
              <w:jc w:val="center"/>
            </w:pPr>
            <w:r>
              <w:rPr>
                <w:sz w:val="18"/>
              </w:rPr>
              <w:t>1,892</w:t>
            </w:r>
          </w:p>
        </w:tc>
        <w:tc>
          <w:tcPr>
            <w:tcW w:w="1757" w:type="dxa"/>
            <w:tcMar>
              <w:top w:w="80" w:type="dxa"/>
              <w:left w:w="100" w:type="dxa"/>
              <w:bottom w:w="80" w:type="dxa"/>
              <w:right w:w="100" w:type="dxa"/>
            </w:tcMar>
            <w:vAlign w:val="center"/>
          </w:tcPr>
          <w:p w14:paraId="21033C91" w14:textId="77777777" w:rsidR="000817FF" w:rsidRDefault="00FB291E">
            <w:pPr>
              <w:jc w:val="center"/>
            </w:pPr>
            <w:r>
              <w:rPr>
                <w:sz w:val="18"/>
              </w:rPr>
              <w:t>21.35%</w:t>
            </w:r>
          </w:p>
        </w:tc>
        <w:tc>
          <w:tcPr>
            <w:tcW w:w="1760" w:type="dxa"/>
            <w:tcMar>
              <w:top w:w="80" w:type="dxa"/>
              <w:left w:w="100" w:type="dxa"/>
              <w:bottom w:w="80" w:type="dxa"/>
              <w:right w:w="100" w:type="dxa"/>
            </w:tcMar>
            <w:vAlign w:val="center"/>
          </w:tcPr>
          <w:p w14:paraId="14374EC3" w14:textId="77777777" w:rsidR="000817FF" w:rsidRDefault="00FB291E">
            <w:pPr>
              <w:jc w:val="center"/>
            </w:pPr>
            <w:r>
              <w:rPr>
                <w:sz w:val="18"/>
              </w:rPr>
              <w:t>25.37%</w:t>
            </w:r>
          </w:p>
        </w:tc>
      </w:tr>
      <w:tr w:rsidR="000817FF" w14:paraId="01C39D55" w14:textId="77777777">
        <w:tc>
          <w:tcPr>
            <w:tcW w:w="1757" w:type="dxa"/>
            <w:tcMar>
              <w:top w:w="80" w:type="dxa"/>
              <w:left w:w="100" w:type="dxa"/>
              <w:bottom w:w="80" w:type="dxa"/>
              <w:right w:w="100" w:type="dxa"/>
            </w:tcMar>
            <w:vAlign w:val="center"/>
          </w:tcPr>
          <w:p w14:paraId="16DCC06E"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DCEFE20" w14:textId="77777777" w:rsidR="000817FF" w:rsidRDefault="00FB291E">
            <w:pPr>
              <w:jc w:val="center"/>
            </w:pPr>
            <w:r>
              <w:rPr>
                <w:sz w:val="18"/>
              </w:rPr>
              <w:t>抗精神病药</w:t>
            </w:r>
          </w:p>
        </w:tc>
        <w:tc>
          <w:tcPr>
            <w:tcW w:w="1757" w:type="dxa"/>
            <w:tcMar>
              <w:top w:w="80" w:type="dxa"/>
              <w:left w:w="100" w:type="dxa"/>
              <w:bottom w:w="80" w:type="dxa"/>
              <w:right w:w="100" w:type="dxa"/>
            </w:tcMar>
            <w:vAlign w:val="center"/>
          </w:tcPr>
          <w:p w14:paraId="78F7D402" w14:textId="77777777" w:rsidR="000817FF" w:rsidRDefault="00FB291E">
            <w:pPr>
              <w:jc w:val="center"/>
            </w:pPr>
            <w:r>
              <w:rPr>
                <w:sz w:val="18"/>
              </w:rPr>
              <w:t>735</w:t>
            </w:r>
          </w:p>
        </w:tc>
        <w:tc>
          <w:tcPr>
            <w:tcW w:w="1757" w:type="dxa"/>
            <w:tcMar>
              <w:top w:w="80" w:type="dxa"/>
              <w:left w:w="100" w:type="dxa"/>
              <w:bottom w:w="80" w:type="dxa"/>
              <w:right w:w="100" w:type="dxa"/>
            </w:tcMar>
            <w:vAlign w:val="center"/>
          </w:tcPr>
          <w:p w14:paraId="568D4E61" w14:textId="77777777" w:rsidR="000817FF" w:rsidRDefault="00FB291E">
            <w:pPr>
              <w:jc w:val="center"/>
            </w:pPr>
            <w:r>
              <w:rPr>
                <w:sz w:val="18"/>
              </w:rPr>
              <w:t>15.65%</w:t>
            </w:r>
          </w:p>
        </w:tc>
        <w:tc>
          <w:tcPr>
            <w:tcW w:w="1760" w:type="dxa"/>
            <w:tcMar>
              <w:top w:w="80" w:type="dxa"/>
              <w:left w:w="100" w:type="dxa"/>
              <w:bottom w:w="80" w:type="dxa"/>
              <w:right w:w="100" w:type="dxa"/>
            </w:tcMar>
            <w:vAlign w:val="center"/>
          </w:tcPr>
          <w:p w14:paraId="0604D09C" w14:textId="77777777" w:rsidR="000817FF" w:rsidRDefault="00FB291E">
            <w:pPr>
              <w:jc w:val="center"/>
            </w:pPr>
            <w:r>
              <w:rPr>
                <w:sz w:val="18"/>
              </w:rPr>
              <w:t>22.18%</w:t>
            </w:r>
          </w:p>
        </w:tc>
      </w:tr>
      <w:tr w:rsidR="000817FF" w14:paraId="112ED027" w14:textId="77777777">
        <w:tc>
          <w:tcPr>
            <w:tcW w:w="1757" w:type="dxa"/>
            <w:tcMar>
              <w:top w:w="80" w:type="dxa"/>
              <w:left w:w="100" w:type="dxa"/>
              <w:bottom w:w="80" w:type="dxa"/>
              <w:right w:w="100" w:type="dxa"/>
            </w:tcMar>
            <w:vAlign w:val="center"/>
          </w:tcPr>
          <w:p w14:paraId="4877833F"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2BF2D8AA" w14:textId="77777777" w:rsidR="000817FF" w:rsidRDefault="00FB291E">
            <w:pPr>
              <w:jc w:val="center"/>
            </w:pPr>
            <w:r>
              <w:rPr>
                <w:sz w:val="18"/>
              </w:rPr>
              <w:t>阿片类药物</w:t>
            </w:r>
          </w:p>
        </w:tc>
        <w:tc>
          <w:tcPr>
            <w:tcW w:w="1757" w:type="dxa"/>
            <w:tcMar>
              <w:top w:w="80" w:type="dxa"/>
              <w:left w:w="100" w:type="dxa"/>
              <w:bottom w:w="80" w:type="dxa"/>
              <w:right w:w="100" w:type="dxa"/>
            </w:tcMar>
            <w:vAlign w:val="center"/>
          </w:tcPr>
          <w:p w14:paraId="1E6EB4E5" w14:textId="77777777" w:rsidR="000817FF" w:rsidRDefault="00FB291E">
            <w:pPr>
              <w:jc w:val="center"/>
            </w:pPr>
            <w:r>
              <w:rPr>
                <w:sz w:val="18"/>
              </w:rPr>
              <w:t>1,458</w:t>
            </w:r>
          </w:p>
        </w:tc>
        <w:tc>
          <w:tcPr>
            <w:tcW w:w="1757" w:type="dxa"/>
            <w:tcMar>
              <w:top w:w="80" w:type="dxa"/>
              <w:left w:w="100" w:type="dxa"/>
              <w:bottom w:w="80" w:type="dxa"/>
              <w:right w:w="100" w:type="dxa"/>
            </w:tcMar>
            <w:vAlign w:val="center"/>
          </w:tcPr>
          <w:p w14:paraId="181E8571" w14:textId="77777777" w:rsidR="000817FF" w:rsidRDefault="00FB291E">
            <w:pPr>
              <w:jc w:val="center"/>
            </w:pPr>
            <w:r>
              <w:rPr>
                <w:sz w:val="18"/>
              </w:rPr>
              <w:t>20.44%</w:t>
            </w:r>
          </w:p>
        </w:tc>
        <w:tc>
          <w:tcPr>
            <w:tcW w:w="1760" w:type="dxa"/>
            <w:tcMar>
              <w:top w:w="80" w:type="dxa"/>
              <w:left w:w="100" w:type="dxa"/>
              <w:bottom w:w="80" w:type="dxa"/>
              <w:right w:w="100" w:type="dxa"/>
            </w:tcMar>
            <w:vAlign w:val="center"/>
          </w:tcPr>
          <w:p w14:paraId="65F20821" w14:textId="77777777" w:rsidR="000817FF" w:rsidRDefault="00FB291E">
            <w:pPr>
              <w:jc w:val="center"/>
            </w:pPr>
            <w:r>
              <w:rPr>
                <w:sz w:val="18"/>
              </w:rPr>
              <w:t>25.38%</w:t>
            </w:r>
          </w:p>
        </w:tc>
      </w:tr>
      <w:tr w:rsidR="000817FF" w14:paraId="41D36644" w14:textId="77777777">
        <w:tc>
          <w:tcPr>
            <w:tcW w:w="1757" w:type="dxa"/>
            <w:tcMar>
              <w:top w:w="80" w:type="dxa"/>
              <w:left w:w="100" w:type="dxa"/>
              <w:bottom w:w="80" w:type="dxa"/>
              <w:right w:w="100" w:type="dxa"/>
            </w:tcMar>
            <w:vAlign w:val="center"/>
          </w:tcPr>
          <w:p w14:paraId="4BF42CCD" w14:textId="77777777" w:rsidR="000817FF" w:rsidRDefault="00FB291E">
            <w:pPr>
              <w:jc w:val="center"/>
            </w:pPr>
            <w:r>
              <w:rPr>
                <w:sz w:val="18"/>
              </w:rPr>
              <w:t>合并用药</w:t>
            </w:r>
          </w:p>
        </w:tc>
        <w:tc>
          <w:tcPr>
            <w:tcW w:w="1757" w:type="dxa"/>
            <w:tcMar>
              <w:top w:w="80" w:type="dxa"/>
              <w:left w:w="100" w:type="dxa"/>
              <w:bottom w:w="80" w:type="dxa"/>
              <w:right w:w="100" w:type="dxa"/>
            </w:tcMar>
            <w:vAlign w:val="center"/>
          </w:tcPr>
          <w:p w14:paraId="71679CFF" w14:textId="77777777" w:rsidR="000817FF" w:rsidRDefault="00FB291E">
            <w:pPr>
              <w:jc w:val="center"/>
            </w:pPr>
            <w:r>
              <w:rPr>
                <w:sz w:val="18"/>
              </w:rPr>
              <w:t>抗癫痫药</w:t>
            </w:r>
          </w:p>
        </w:tc>
        <w:tc>
          <w:tcPr>
            <w:tcW w:w="1757" w:type="dxa"/>
            <w:tcMar>
              <w:top w:w="80" w:type="dxa"/>
              <w:left w:w="100" w:type="dxa"/>
              <w:bottom w:w="80" w:type="dxa"/>
              <w:right w:w="100" w:type="dxa"/>
            </w:tcMar>
            <w:vAlign w:val="center"/>
          </w:tcPr>
          <w:p w14:paraId="2EFECB63" w14:textId="77777777" w:rsidR="000817FF" w:rsidRDefault="00FB291E">
            <w:pPr>
              <w:jc w:val="center"/>
            </w:pPr>
            <w:r>
              <w:rPr>
                <w:sz w:val="18"/>
              </w:rPr>
              <w:t>803</w:t>
            </w:r>
          </w:p>
        </w:tc>
        <w:tc>
          <w:tcPr>
            <w:tcW w:w="1757" w:type="dxa"/>
            <w:tcMar>
              <w:top w:w="80" w:type="dxa"/>
              <w:left w:w="100" w:type="dxa"/>
              <w:bottom w:w="80" w:type="dxa"/>
              <w:right w:w="100" w:type="dxa"/>
            </w:tcMar>
            <w:vAlign w:val="center"/>
          </w:tcPr>
          <w:p w14:paraId="7FCD6C67" w14:textId="77777777" w:rsidR="000817FF" w:rsidRDefault="00FB291E">
            <w:pPr>
              <w:jc w:val="center"/>
            </w:pPr>
            <w:r>
              <w:rPr>
                <w:sz w:val="18"/>
              </w:rPr>
              <w:t>18.56%</w:t>
            </w:r>
          </w:p>
        </w:tc>
        <w:tc>
          <w:tcPr>
            <w:tcW w:w="1760" w:type="dxa"/>
            <w:tcMar>
              <w:top w:w="80" w:type="dxa"/>
              <w:left w:w="100" w:type="dxa"/>
              <w:bottom w:w="80" w:type="dxa"/>
              <w:right w:w="100" w:type="dxa"/>
            </w:tcMar>
            <w:vAlign w:val="center"/>
          </w:tcPr>
          <w:p w14:paraId="06C4AAA6" w14:textId="77777777" w:rsidR="000817FF" w:rsidRDefault="00FB291E">
            <w:pPr>
              <w:jc w:val="center"/>
            </w:pPr>
            <w:r>
              <w:rPr>
                <w:sz w:val="18"/>
              </w:rPr>
              <w:t>24.03%</w:t>
            </w:r>
          </w:p>
        </w:tc>
      </w:tr>
    </w:tbl>
    <w:p w14:paraId="66070EE0" w14:textId="77777777" w:rsidR="000817FF" w:rsidRDefault="000817FF"/>
    <w:p w14:paraId="37D28EDA" w14:textId="77777777" w:rsidR="000817FF" w:rsidRDefault="00FB291E">
      <w:pPr>
        <w:spacing w:after="120" w:line="360" w:lineRule="auto"/>
        <w:ind w:firstLine="420"/>
      </w:pPr>
      <w:r>
        <w:rPr>
          <w:sz w:val="21"/>
        </w:rPr>
        <w:t>探索性分层结果提示，高龄、多重用药以及部分中枢神经系统相关合并用药可能与唑吡坦相关跌倒报告比例升高有关。这一发现符合老年药学中关于跌倒风险因素、药物相关跌倒和潜在不适当用药的基本认识</w:t>
      </w:r>
      <w:r>
        <w:rPr>
          <w:sz w:val="18"/>
          <w:vertAlign w:val="superscript"/>
        </w:rPr>
        <w:t>[25-43]</w:t>
      </w:r>
      <w:r>
        <w:rPr>
          <w:sz w:val="21"/>
        </w:rPr>
        <w:t>，但由于该分析仍基于自发报告数据，不能直接解释为风险因素的因果效应。</w:t>
      </w:r>
    </w:p>
    <w:p w14:paraId="23BF151E" w14:textId="77777777" w:rsidR="000817FF" w:rsidRDefault="00FB291E">
      <w:pPr>
        <w:pStyle w:val="21"/>
        <w:spacing w:before="160" w:after="80"/>
      </w:pPr>
      <w:bookmarkStart w:id="65" w:name="_Toc230281364"/>
      <w:r>
        <w:rPr>
          <w:rFonts w:ascii="Times New Roman" w:eastAsia="宋体" w:hAnsi="Times New Roman"/>
        </w:rPr>
        <w:t xml:space="preserve">4.6 </w:t>
      </w:r>
      <w:r>
        <w:rPr>
          <w:rFonts w:ascii="Times New Roman" w:eastAsia="宋体" w:hAnsi="Times New Roman"/>
        </w:rPr>
        <w:t>多因素校正分析</w:t>
      </w:r>
      <w:bookmarkEnd w:id="65"/>
    </w:p>
    <w:p w14:paraId="7499E428" w14:textId="77777777" w:rsidR="000817FF" w:rsidRDefault="00FB291E">
      <w:pPr>
        <w:spacing w:after="120" w:line="360" w:lineRule="auto"/>
        <w:ind w:firstLine="420"/>
      </w:pPr>
      <w:r>
        <w:rPr>
          <w:sz w:val="21"/>
        </w:rPr>
        <w:t>为了进一步控制可获得的病例特征，本研究构建多因素校正模型。基础模型纳入年龄组、性别、年份、季度、多重用药、苯二氮卓类药物、抗抑郁药、抗精神病药、阿片类药物和抗癫痫药等协变量。扩展模型在基础模型基础上进一步加入严重结局变量。</w:t>
      </w:r>
    </w:p>
    <w:p w14:paraId="4ED2BE94" w14:textId="77777777" w:rsidR="000817FF" w:rsidRDefault="00FB291E">
      <w:pPr>
        <w:spacing w:after="120" w:line="360" w:lineRule="auto"/>
        <w:ind w:firstLine="420"/>
      </w:pPr>
      <w:r>
        <w:t>主分析严格 PT 跌倒结局中，基础模型显示唑吡坦 suspect 暴露的校正报告优势比为 3.24，95%CI 为 3.03-3.46，P 值小于 0.001。加入严重结局变量后，校正报告优势比为 2.91，95%CI 为 2.72-3.11，P 值小于 0.001。虽然加入严重结局后效应量有所下降，但方向和统计学显著性保持稳定。</w:t>
      </w:r>
    </w:p>
    <w:p w14:paraId="05E60AE9" w14:textId="77777777" w:rsidR="000817FF" w:rsidRDefault="00FB291E">
      <w:pPr>
        <w:spacing w:after="120" w:line="360" w:lineRule="auto"/>
        <w:ind w:firstLine="420"/>
      </w:pPr>
      <w:r>
        <w:t>广义跌倒相关事件（补充）中，基础模型校正报告优势比为 2.23，95%CI 为 2.10-2.36；加入严重结局变量后为 2.07，95%CI 为 1.96-2.20。PS only 敏感性分析中，严格 PT 跌倒结局的基础模型校正报告优势比为 3.07，95%CI 为 2.78-3.39；扩展模型为 2.77，95%CI 为 2.51-3.06。广义跌倒相关事件（补充）的基础模型校正报告优势比为 2.06，95%CI 为 1.89-2.24；扩展模型为 1.93，95%CI 为 1.77-2.10。</w:t>
      </w:r>
    </w:p>
    <w:p w14:paraId="653D49A2" w14:textId="77777777" w:rsidR="000817FF" w:rsidRDefault="00FB291E">
      <w:pPr>
        <w:spacing w:after="120" w:line="360" w:lineRule="auto"/>
        <w:ind w:firstLine="420"/>
      </w:pPr>
      <w:r>
        <w:rPr>
          <w:sz w:val="21"/>
        </w:rPr>
        <w:t>表</w:t>
      </w:r>
      <w:r>
        <w:rPr>
          <w:sz w:val="21"/>
        </w:rPr>
        <w:t xml:space="preserve"> 4-6 </w:t>
      </w:r>
      <w:r>
        <w:rPr>
          <w:sz w:val="21"/>
        </w:rPr>
        <w:t>显示多因素校正分析中唑吡坦暴露项的结果。</w:t>
      </w:r>
    </w:p>
    <w:p w14:paraId="7B3EC682" w14:textId="77777777" w:rsidR="000817FF" w:rsidRDefault="00FB291E">
      <w:pPr>
        <w:spacing w:after="120" w:line="360" w:lineRule="auto"/>
        <w:ind w:firstLine="420"/>
      </w:pPr>
      <w:r>
        <w:rPr>
          <w:sz w:val="21"/>
        </w:rPr>
        <w:t>表</w:t>
      </w:r>
      <w:r>
        <w:rPr>
          <w:sz w:val="21"/>
        </w:rPr>
        <w:t xml:space="preserve"> 4-6 </w:t>
      </w:r>
      <w:r>
        <w:rPr>
          <w:sz w:val="21"/>
        </w:rPr>
        <w:t>唑吡坦暴露与跌倒相关事件的多因素校正分析结果</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6987403E" w14:textId="77777777">
        <w:tc>
          <w:tcPr>
            <w:tcW w:w="1464" w:type="dxa"/>
            <w:shd w:val="clear" w:color="auto" w:fill="EDEDED"/>
            <w:tcMar>
              <w:top w:w="80" w:type="dxa"/>
              <w:left w:w="100" w:type="dxa"/>
              <w:bottom w:w="80" w:type="dxa"/>
              <w:right w:w="100" w:type="dxa"/>
            </w:tcMar>
            <w:vAlign w:val="center"/>
          </w:tcPr>
          <w:p w14:paraId="32525054" w14:textId="77777777" w:rsidR="000817FF" w:rsidRDefault="00FB291E">
            <w:pPr>
              <w:jc w:val="center"/>
            </w:pPr>
            <w:r>
              <w:rPr>
                <w:b/>
                <w:sz w:val="18"/>
              </w:rPr>
              <w:t>暴露口径</w:t>
            </w:r>
          </w:p>
        </w:tc>
        <w:tc>
          <w:tcPr>
            <w:tcW w:w="1464" w:type="dxa"/>
            <w:shd w:val="clear" w:color="auto" w:fill="EDEDED"/>
            <w:tcMar>
              <w:top w:w="80" w:type="dxa"/>
              <w:left w:w="100" w:type="dxa"/>
              <w:bottom w:w="80" w:type="dxa"/>
              <w:right w:w="100" w:type="dxa"/>
            </w:tcMar>
            <w:vAlign w:val="center"/>
          </w:tcPr>
          <w:p w14:paraId="1AE07DF6" w14:textId="77777777" w:rsidR="000817FF" w:rsidRDefault="00FB291E">
            <w:pPr>
              <w:jc w:val="center"/>
            </w:pPr>
            <w:r>
              <w:rPr>
                <w:b/>
                <w:sz w:val="18"/>
              </w:rPr>
              <w:t>结局</w:t>
            </w:r>
          </w:p>
        </w:tc>
        <w:tc>
          <w:tcPr>
            <w:tcW w:w="1464" w:type="dxa"/>
            <w:shd w:val="clear" w:color="auto" w:fill="EDEDED"/>
            <w:tcMar>
              <w:top w:w="80" w:type="dxa"/>
              <w:left w:w="100" w:type="dxa"/>
              <w:bottom w:w="80" w:type="dxa"/>
              <w:right w:w="100" w:type="dxa"/>
            </w:tcMar>
            <w:vAlign w:val="center"/>
          </w:tcPr>
          <w:p w14:paraId="314CF8DF"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70F446D2" w14:textId="77777777" w:rsidR="000817FF" w:rsidRDefault="00FB291E">
            <w:pPr>
              <w:jc w:val="center"/>
            </w:pPr>
            <w:r>
              <w:rPr>
                <w:b/>
                <w:sz w:val="18"/>
              </w:rPr>
              <w:t>校正报告优势比</w:t>
            </w:r>
          </w:p>
        </w:tc>
        <w:tc>
          <w:tcPr>
            <w:tcW w:w="1464" w:type="dxa"/>
            <w:shd w:val="clear" w:color="auto" w:fill="EDEDED"/>
            <w:tcMar>
              <w:top w:w="80" w:type="dxa"/>
              <w:left w:w="100" w:type="dxa"/>
              <w:bottom w:w="80" w:type="dxa"/>
              <w:right w:w="100" w:type="dxa"/>
            </w:tcMar>
            <w:vAlign w:val="center"/>
          </w:tcPr>
          <w:p w14:paraId="664DCEE3" w14:textId="77777777" w:rsidR="000817FF" w:rsidRDefault="00FB291E">
            <w:pPr>
              <w:jc w:val="center"/>
            </w:pPr>
            <w:r>
              <w:rPr>
                <w:b/>
                <w:sz w:val="18"/>
              </w:rPr>
              <w:t>95%CI</w:t>
            </w:r>
          </w:p>
        </w:tc>
        <w:tc>
          <w:tcPr>
            <w:tcW w:w="1468" w:type="dxa"/>
            <w:shd w:val="clear" w:color="auto" w:fill="EDEDED"/>
            <w:tcMar>
              <w:top w:w="80" w:type="dxa"/>
              <w:left w:w="100" w:type="dxa"/>
              <w:bottom w:w="80" w:type="dxa"/>
              <w:right w:w="100" w:type="dxa"/>
            </w:tcMar>
            <w:vAlign w:val="center"/>
          </w:tcPr>
          <w:p w14:paraId="5206CA2F" w14:textId="77777777" w:rsidR="000817FF" w:rsidRDefault="00FB291E">
            <w:pPr>
              <w:jc w:val="center"/>
            </w:pPr>
            <w:r>
              <w:rPr>
                <w:b/>
                <w:sz w:val="18"/>
              </w:rPr>
              <w:t xml:space="preserve">P </w:t>
            </w:r>
            <w:r>
              <w:rPr>
                <w:b/>
                <w:sz w:val="18"/>
              </w:rPr>
              <w:t>值</w:t>
            </w:r>
          </w:p>
        </w:tc>
      </w:tr>
      <w:tr w:rsidR="000817FF" w14:paraId="17781673" w14:textId="77777777">
        <w:tc>
          <w:tcPr>
            <w:tcW w:w="1464" w:type="dxa"/>
            <w:tcMar>
              <w:top w:w="80" w:type="dxa"/>
              <w:left w:w="100" w:type="dxa"/>
              <w:bottom w:w="80" w:type="dxa"/>
              <w:right w:w="100" w:type="dxa"/>
            </w:tcMar>
            <w:vAlign w:val="center"/>
          </w:tcPr>
          <w:p w14:paraId="04B87C3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4812C5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5A8E8C1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A279E6" w14:textId="77777777" w:rsidR="000817FF" w:rsidRDefault="00FB291E">
            <w:pPr>
              <w:jc w:val="center"/>
            </w:pPr>
            <w:r>
              <w:rPr>
                <w:sz w:val="18"/>
              </w:rPr>
              <w:t>3.24</w:t>
            </w:r>
          </w:p>
        </w:tc>
        <w:tc>
          <w:tcPr>
            <w:tcW w:w="1464" w:type="dxa"/>
            <w:tcMar>
              <w:top w:w="80" w:type="dxa"/>
              <w:left w:w="100" w:type="dxa"/>
              <w:bottom w:w="80" w:type="dxa"/>
              <w:right w:w="100" w:type="dxa"/>
            </w:tcMar>
            <w:vAlign w:val="center"/>
          </w:tcPr>
          <w:p w14:paraId="592B30F7" w14:textId="77777777" w:rsidR="000817FF" w:rsidRDefault="00FB291E">
            <w:pPr>
              <w:jc w:val="center"/>
            </w:pPr>
            <w:r>
              <w:rPr>
                <w:sz w:val="18"/>
              </w:rPr>
              <w:t>3.03-3.46</w:t>
            </w:r>
          </w:p>
        </w:tc>
        <w:tc>
          <w:tcPr>
            <w:tcW w:w="1468" w:type="dxa"/>
            <w:tcMar>
              <w:top w:w="80" w:type="dxa"/>
              <w:left w:w="100" w:type="dxa"/>
              <w:bottom w:w="80" w:type="dxa"/>
              <w:right w:w="100" w:type="dxa"/>
            </w:tcMar>
            <w:vAlign w:val="center"/>
          </w:tcPr>
          <w:p w14:paraId="69024759" w14:textId="77777777" w:rsidR="000817FF" w:rsidRDefault="00FB291E">
            <w:pPr>
              <w:jc w:val="center"/>
            </w:pPr>
            <w:r>
              <w:rPr>
                <w:sz w:val="18"/>
              </w:rPr>
              <w:t>&lt;0.001</w:t>
            </w:r>
          </w:p>
        </w:tc>
      </w:tr>
      <w:tr w:rsidR="000817FF" w14:paraId="3035138C" w14:textId="77777777">
        <w:tc>
          <w:tcPr>
            <w:tcW w:w="1464" w:type="dxa"/>
            <w:tcMar>
              <w:top w:w="80" w:type="dxa"/>
              <w:left w:w="100" w:type="dxa"/>
              <w:bottom w:w="80" w:type="dxa"/>
              <w:right w:w="100" w:type="dxa"/>
            </w:tcMar>
            <w:vAlign w:val="center"/>
          </w:tcPr>
          <w:p w14:paraId="7501E994"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656ACE9F"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D858D57"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178C2BCF" w14:textId="77777777" w:rsidR="000817FF" w:rsidRDefault="00FB291E">
            <w:pPr>
              <w:jc w:val="center"/>
            </w:pPr>
            <w:r>
              <w:rPr>
                <w:sz w:val="18"/>
              </w:rPr>
              <w:t>2.91</w:t>
            </w:r>
          </w:p>
        </w:tc>
        <w:tc>
          <w:tcPr>
            <w:tcW w:w="1464" w:type="dxa"/>
            <w:tcMar>
              <w:top w:w="80" w:type="dxa"/>
              <w:left w:w="100" w:type="dxa"/>
              <w:bottom w:w="80" w:type="dxa"/>
              <w:right w:w="100" w:type="dxa"/>
            </w:tcMar>
            <w:vAlign w:val="center"/>
          </w:tcPr>
          <w:p w14:paraId="77795892" w14:textId="77777777" w:rsidR="000817FF" w:rsidRDefault="00FB291E">
            <w:pPr>
              <w:jc w:val="center"/>
            </w:pPr>
            <w:r>
              <w:rPr>
                <w:sz w:val="18"/>
              </w:rPr>
              <w:t>2.72-3.11</w:t>
            </w:r>
          </w:p>
        </w:tc>
        <w:tc>
          <w:tcPr>
            <w:tcW w:w="1468" w:type="dxa"/>
            <w:tcMar>
              <w:top w:w="80" w:type="dxa"/>
              <w:left w:w="100" w:type="dxa"/>
              <w:bottom w:w="80" w:type="dxa"/>
              <w:right w:w="100" w:type="dxa"/>
            </w:tcMar>
            <w:vAlign w:val="center"/>
          </w:tcPr>
          <w:p w14:paraId="0547D7F9" w14:textId="77777777" w:rsidR="000817FF" w:rsidRDefault="00FB291E">
            <w:pPr>
              <w:jc w:val="center"/>
            </w:pPr>
            <w:r>
              <w:rPr>
                <w:sz w:val="18"/>
              </w:rPr>
              <w:t>&lt;0.001</w:t>
            </w:r>
          </w:p>
        </w:tc>
      </w:tr>
      <w:tr w:rsidR="000817FF" w14:paraId="66A9A311" w14:textId="77777777">
        <w:tc>
          <w:tcPr>
            <w:tcW w:w="1464" w:type="dxa"/>
            <w:tcMar>
              <w:top w:w="80" w:type="dxa"/>
              <w:left w:w="100" w:type="dxa"/>
              <w:bottom w:w="80" w:type="dxa"/>
              <w:right w:w="100" w:type="dxa"/>
            </w:tcMar>
            <w:vAlign w:val="center"/>
          </w:tcPr>
          <w:p w14:paraId="7F3B9C26"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2CE26A2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050EEF87"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2907B89B" w14:textId="77777777" w:rsidR="000817FF" w:rsidRDefault="00FB291E">
            <w:pPr>
              <w:jc w:val="center"/>
            </w:pPr>
            <w:r>
              <w:rPr>
                <w:sz w:val="18"/>
              </w:rPr>
              <w:t>2.23</w:t>
            </w:r>
          </w:p>
        </w:tc>
        <w:tc>
          <w:tcPr>
            <w:tcW w:w="1464" w:type="dxa"/>
            <w:tcMar>
              <w:top w:w="80" w:type="dxa"/>
              <w:left w:w="100" w:type="dxa"/>
              <w:bottom w:w="80" w:type="dxa"/>
              <w:right w:w="100" w:type="dxa"/>
            </w:tcMar>
            <w:vAlign w:val="center"/>
          </w:tcPr>
          <w:p w14:paraId="2841CC61" w14:textId="77777777" w:rsidR="000817FF" w:rsidRDefault="00FB291E">
            <w:pPr>
              <w:jc w:val="center"/>
            </w:pPr>
            <w:r>
              <w:rPr>
                <w:sz w:val="18"/>
              </w:rPr>
              <w:t>2.10-2.36</w:t>
            </w:r>
          </w:p>
        </w:tc>
        <w:tc>
          <w:tcPr>
            <w:tcW w:w="1468" w:type="dxa"/>
            <w:tcMar>
              <w:top w:w="80" w:type="dxa"/>
              <w:left w:w="100" w:type="dxa"/>
              <w:bottom w:w="80" w:type="dxa"/>
              <w:right w:w="100" w:type="dxa"/>
            </w:tcMar>
            <w:vAlign w:val="center"/>
          </w:tcPr>
          <w:p w14:paraId="7F4A764F" w14:textId="77777777" w:rsidR="000817FF" w:rsidRDefault="00FB291E">
            <w:pPr>
              <w:jc w:val="center"/>
            </w:pPr>
            <w:r>
              <w:rPr>
                <w:sz w:val="18"/>
              </w:rPr>
              <w:t>&lt;0.001</w:t>
            </w:r>
          </w:p>
        </w:tc>
      </w:tr>
      <w:tr w:rsidR="000817FF" w14:paraId="49B149D0" w14:textId="77777777">
        <w:tc>
          <w:tcPr>
            <w:tcW w:w="1464" w:type="dxa"/>
            <w:tcMar>
              <w:top w:w="80" w:type="dxa"/>
              <w:left w:w="100" w:type="dxa"/>
              <w:bottom w:w="80" w:type="dxa"/>
              <w:right w:w="100" w:type="dxa"/>
            </w:tcMar>
            <w:vAlign w:val="center"/>
          </w:tcPr>
          <w:p w14:paraId="14E1B272" w14:textId="77777777" w:rsidR="000817FF" w:rsidRDefault="00FB291E">
            <w:pPr>
              <w:jc w:val="center"/>
            </w:pPr>
            <w:r>
              <w:rPr>
                <w:sz w:val="18"/>
              </w:rPr>
              <w:t>PS+SS</w:t>
            </w:r>
          </w:p>
        </w:tc>
        <w:tc>
          <w:tcPr>
            <w:tcW w:w="1464" w:type="dxa"/>
            <w:tcMar>
              <w:top w:w="80" w:type="dxa"/>
              <w:left w:w="100" w:type="dxa"/>
              <w:bottom w:w="80" w:type="dxa"/>
              <w:right w:w="100" w:type="dxa"/>
            </w:tcMar>
            <w:vAlign w:val="center"/>
          </w:tcPr>
          <w:p w14:paraId="31878F24"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388B15BF"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4ACE06AB" w14:textId="77777777" w:rsidR="000817FF" w:rsidRDefault="00FB291E">
            <w:pPr>
              <w:jc w:val="center"/>
            </w:pPr>
            <w:r>
              <w:rPr>
                <w:sz w:val="18"/>
              </w:rPr>
              <w:t>2.07</w:t>
            </w:r>
          </w:p>
        </w:tc>
        <w:tc>
          <w:tcPr>
            <w:tcW w:w="1464" w:type="dxa"/>
            <w:tcMar>
              <w:top w:w="80" w:type="dxa"/>
              <w:left w:w="100" w:type="dxa"/>
              <w:bottom w:w="80" w:type="dxa"/>
              <w:right w:w="100" w:type="dxa"/>
            </w:tcMar>
            <w:vAlign w:val="center"/>
          </w:tcPr>
          <w:p w14:paraId="5CE2B67F" w14:textId="77777777" w:rsidR="000817FF" w:rsidRDefault="00FB291E">
            <w:pPr>
              <w:jc w:val="center"/>
            </w:pPr>
            <w:r>
              <w:rPr>
                <w:sz w:val="18"/>
              </w:rPr>
              <w:t>1.96-2.20</w:t>
            </w:r>
          </w:p>
        </w:tc>
        <w:tc>
          <w:tcPr>
            <w:tcW w:w="1468" w:type="dxa"/>
            <w:tcMar>
              <w:top w:w="80" w:type="dxa"/>
              <w:left w:w="100" w:type="dxa"/>
              <w:bottom w:w="80" w:type="dxa"/>
              <w:right w:w="100" w:type="dxa"/>
            </w:tcMar>
            <w:vAlign w:val="center"/>
          </w:tcPr>
          <w:p w14:paraId="008000F4" w14:textId="77777777" w:rsidR="000817FF" w:rsidRDefault="00FB291E">
            <w:pPr>
              <w:jc w:val="center"/>
            </w:pPr>
            <w:r>
              <w:rPr>
                <w:sz w:val="18"/>
              </w:rPr>
              <w:t>&lt;0.001</w:t>
            </w:r>
          </w:p>
        </w:tc>
      </w:tr>
      <w:tr w:rsidR="000817FF" w14:paraId="044558B6" w14:textId="77777777">
        <w:tc>
          <w:tcPr>
            <w:tcW w:w="1464" w:type="dxa"/>
            <w:tcMar>
              <w:top w:w="80" w:type="dxa"/>
              <w:left w:w="100" w:type="dxa"/>
              <w:bottom w:w="80" w:type="dxa"/>
              <w:right w:w="100" w:type="dxa"/>
            </w:tcMar>
            <w:vAlign w:val="center"/>
          </w:tcPr>
          <w:p w14:paraId="31697AB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3696A995"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4CF49BCF"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F0A3681" w14:textId="77777777" w:rsidR="000817FF" w:rsidRDefault="00FB291E">
            <w:pPr>
              <w:jc w:val="center"/>
            </w:pPr>
            <w:r>
              <w:rPr>
                <w:sz w:val="18"/>
              </w:rPr>
              <w:t>3.07</w:t>
            </w:r>
          </w:p>
        </w:tc>
        <w:tc>
          <w:tcPr>
            <w:tcW w:w="1464" w:type="dxa"/>
            <w:tcMar>
              <w:top w:w="80" w:type="dxa"/>
              <w:left w:w="100" w:type="dxa"/>
              <w:bottom w:w="80" w:type="dxa"/>
              <w:right w:w="100" w:type="dxa"/>
            </w:tcMar>
            <w:vAlign w:val="center"/>
          </w:tcPr>
          <w:p w14:paraId="25D9D8B1" w14:textId="77777777" w:rsidR="000817FF" w:rsidRDefault="00FB291E">
            <w:pPr>
              <w:jc w:val="center"/>
            </w:pPr>
            <w:r>
              <w:rPr>
                <w:sz w:val="18"/>
              </w:rPr>
              <w:t>2.78-3.39</w:t>
            </w:r>
          </w:p>
        </w:tc>
        <w:tc>
          <w:tcPr>
            <w:tcW w:w="1468" w:type="dxa"/>
            <w:tcMar>
              <w:top w:w="80" w:type="dxa"/>
              <w:left w:w="100" w:type="dxa"/>
              <w:bottom w:w="80" w:type="dxa"/>
              <w:right w:w="100" w:type="dxa"/>
            </w:tcMar>
            <w:vAlign w:val="center"/>
          </w:tcPr>
          <w:p w14:paraId="315AD25F" w14:textId="77777777" w:rsidR="000817FF" w:rsidRDefault="00FB291E">
            <w:pPr>
              <w:jc w:val="center"/>
            </w:pPr>
            <w:r>
              <w:rPr>
                <w:sz w:val="18"/>
              </w:rPr>
              <w:t>&lt;0.001</w:t>
            </w:r>
          </w:p>
        </w:tc>
      </w:tr>
      <w:tr w:rsidR="000817FF" w14:paraId="2E4B9FC9" w14:textId="77777777">
        <w:tc>
          <w:tcPr>
            <w:tcW w:w="1464" w:type="dxa"/>
            <w:tcMar>
              <w:top w:w="80" w:type="dxa"/>
              <w:left w:w="100" w:type="dxa"/>
              <w:bottom w:w="80" w:type="dxa"/>
              <w:right w:w="100" w:type="dxa"/>
            </w:tcMar>
            <w:vAlign w:val="center"/>
          </w:tcPr>
          <w:p w14:paraId="7368FB8E"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1D8774B1" w14:textId="77777777" w:rsidR="000817FF" w:rsidRDefault="00FB291E">
            <w:pPr>
              <w:jc w:val="center"/>
            </w:pPr>
            <w:r>
              <w:t>严格 PT 跌倒</w:t>
            </w:r>
          </w:p>
        </w:tc>
        <w:tc>
          <w:tcPr>
            <w:tcW w:w="1464" w:type="dxa"/>
            <w:tcMar>
              <w:top w:w="80" w:type="dxa"/>
              <w:left w:w="100" w:type="dxa"/>
              <w:bottom w:w="80" w:type="dxa"/>
              <w:right w:w="100" w:type="dxa"/>
            </w:tcMar>
            <w:vAlign w:val="center"/>
          </w:tcPr>
          <w:p w14:paraId="709478C0"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AE93E69" w14:textId="77777777" w:rsidR="000817FF" w:rsidRDefault="00FB291E">
            <w:pPr>
              <w:jc w:val="center"/>
            </w:pPr>
            <w:r>
              <w:rPr>
                <w:sz w:val="18"/>
              </w:rPr>
              <w:t>2.77</w:t>
            </w:r>
          </w:p>
        </w:tc>
        <w:tc>
          <w:tcPr>
            <w:tcW w:w="1464" w:type="dxa"/>
            <w:tcMar>
              <w:top w:w="80" w:type="dxa"/>
              <w:left w:w="100" w:type="dxa"/>
              <w:bottom w:w="80" w:type="dxa"/>
              <w:right w:w="100" w:type="dxa"/>
            </w:tcMar>
            <w:vAlign w:val="center"/>
          </w:tcPr>
          <w:p w14:paraId="310C01E9" w14:textId="77777777" w:rsidR="000817FF" w:rsidRDefault="00FB291E">
            <w:pPr>
              <w:jc w:val="center"/>
            </w:pPr>
            <w:r>
              <w:rPr>
                <w:sz w:val="18"/>
              </w:rPr>
              <w:t>2.51-3.06</w:t>
            </w:r>
          </w:p>
        </w:tc>
        <w:tc>
          <w:tcPr>
            <w:tcW w:w="1468" w:type="dxa"/>
            <w:tcMar>
              <w:top w:w="80" w:type="dxa"/>
              <w:left w:w="100" w:type="dxa"/>
              <w:bottom w:w="80" w:type="dxa"/>
              <w:right w:w="100" w:type="dxa"/>
            </w:tcMar>
            <w:vAlign w:val="center"/>
          </w:tcPr>
          <w:p w14:paraId="34B2113A" w14:textId="77777777" w:rsidR="000817FF" w:rsidRDefault="00FB291E">
            <w:pPr>
              <w:jc w:val="center"/>
            </w:pPr>
            <w:r>
              <w:rPr>
                <w:sz w:val="18"/>
              </w:rPr>
              <w:t>&lt;0.001</w:t>
            </w:r>
          </w:p>
        </w:tc>
      </w:tr>
      <w:tr w:rsidR="000817FF" w14:paraId="5FAFA95A" w14:textId="77777777">
        <w:tc>
          <w:tcPr>
            <w:tcW w:w="1464" w:type="dxa"/>
            <w:tcMar>
              <w:top w:w="80" w:type="dxa"/>
              <w:left w:w="100" w:type="dxa"/>
              <w:bottom w:w="80" w:type="dxa"/>
              <w:right w:w="100" w:type="dxa"/>
            </w:tcMar>
            <w:vAlign w:val="center"/>
          </w:tcPr>
          <w:p w14:paraId="263DA0F6"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2554C706"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4063F9DC" w14:textId="77777777" w:rsidR="000817FF" w:rsidRDefault="00FB291E">
            <w:pPr>
              <w:jc w:val="center"/>
            </w:pPr>
            <w:r>
              <w:rPr>
                <w:sz w:val="18"/>
              </w:rPr>
              <w:t>基础模型</w:t>
            </w:r>
          </w:p>
        </w:tc>
        <w:tc>
          <w:tcPr>
            <w:tcW w:w="1464" w:type="dxa"/>
            <w:tcMar>
              <w:top w:w="80" w:type="dxa"/>
              <w:left w:w="100" w:type="dxa"/>
              <w:bottom w:w="80" w:type="dxa"/>
              <w:right w:w="100" w:type="dxa"/>
            </w:tcMar>
            <w:vAlign w:val="center"/>
          </w:tcPr>
          <w:p w14:paraId="56754E1A" w14:textId="77777777" w:rsidR="000817FF" w:rsidRDefault="00FB291E">
            <w:pPr>
              <w:jc w:val="center"/>
            </w:pPr>
            <w:r>
              <w:rPr>
                <w:sz w:val="18"/>
              </w:rPr>
              <w:t>2.06</w:t>
            </w:r>
          </w:p>
        </w:tc>
        <w:tc>
          <w:tcPr>
            <w:tcW w:w="1464" w:type="dxa"/>
            <w:tcMar>
              <w:top w:w="80" w:type="dxa"/>
              <w:left w:w="100" w:type="dxa"/>
              <w:bottom w:w="80" w:type="dxa"/>
              <w:right w:w="100" w:type="dxa"/>
            </w:tcMar>
            <w:vAlign w:val="center"/>
          </w:tcPr>
          <w:p w14:paraId="6D422BD6" w14:textId="77777777" w:rsidR="000817FF" w:rsidRDefault="00FB291E">
            <w:pPr>
              <w:jc w:val="center"/>
            </w:pPr>
            <w:r>
              <w:rPr>
                <w:sz w:val="18"/>
              </w:rPr>
              <w:t>1.89-2.24</w:t>
            </w:r>
          </w:p>
        </w:tc>
        <w:tc>
          <w:tcPr>
            <w:tcW w:w="1468" w:type="dxa"/>
            <w:tcMar>
              <w:top w:w="80" w:type="dxa"/>
              <w:left w:w="100" w:type="dxa"/>
              <w:bottom w:w="80" w:type="dxa"/>
              <w:right w:w="100" w:type="dxa"/>
            </w:tcMar>
            <w:vAlign w:val="center"/>
          </w:tcPr>
          <w:p w14:paraId="1E989C44" w14:textId="77777777" w:rsidR="000817FF" w:rsidRDefault="00FB291E">
            <w:pPr>
              <w:jc w:val="center"/>
            </w:pPr>
            <w:r>
              <w:rPr>
                <w:sz w:val="18"/>
              </w:rPr>
              <w:t>&lt;0.001</w:t>
            </w:r>
          </w:p>
        </w:tc>
      </w:tr>
      <w:tr w:rsidR="000817FF" w14:paraId="61090C35" w14:textId="77777777">
        <w:tc>
          <w:tcPr>
            <w:tcW w:w="1464" w:type="dxa"/>
            <w:tcMar>
              <w:top w:w="80" w:type="dxa"/>
              <w:left w:w="100" w:type="dxa"/>
              <w:bottom w:w="80" w:type="dxa"/>
              <w:right w:w="100" w:type="dxa"/>
            </w:tcMar>
            <w:vAlign w:val="center"/>
          </w:tcPr>
          <w:p w14:paraId="7100DAED" w14:textId="77777777" w:rsidR="000817FF" w:rsidRDefault="00FB291E">
            <w:pPr>
              <w:jc w:val="center"/>
            </w:pPr>
            <w:r>
              <w:rPr>
                <w:sz w:val="18"/>
              </w:rPr>
              <w:t>PS only</w:t>
            </w:r>
          </w:p>
        </w:tc>
        <w:tc>
          <w:tcPr>
            <w:tcW w:w="1464" w:type="dxa"/>
            <w:tcMar>
              <w:top w:w="80" w:type="dxa"/>
              <w:left w:w="100" w:type="dxa"/>
              <w:bottom w:w="80" w:type="dxa"/>
              <w:right w:w="100" w:type="dxa"/>
            </w:tcMar>
            <w:vAlign w:val="center"/>
          </w:tcPr>
          <w:p w14:paraId="48DBB241" w14:textId="77777777" w:rsidR="000817FF" w:rsidRDefault="00FB291E">
            <w:pPr>
              <w:jc w:val="center"/>
            </w:pPr>
            <w:r>
              <w:rPr>
                <w:sz w:val="18"/>
              </w:rPr>
              <w:t>广义跌倒</w:t>
            </w:r>
          </w:p>
        </w:tc>
        <w:tc>
          <w:tcPr>
            <w:tcW w:w="1464" w:type="dxa"/>
            <w:tcMar>
              <w:top w:w="80" w:type="dxa"/>
              <w:left w:w="100" w:type="dxa"/>
              <w:bottom w:w="80" w:type="dxa"/>
              <w:right w:w="100" w:type="dxa"/>
            </w:tcMar>
            <w:vAlign w:val="center"/>
          </w:tcPr>
          <w:p w14:paraId="2F5240B4" w14:textId="77777777" w:rsidR="000817FF" w:rsidRDefault="00FB291E">
            <w:pPr>
              <w:jc w:val="center"/>
            </w:pPr>
            <w:r>
              <w:rPr>
                <w:sz w:val="18"/>
              </w:rPr>
              <w:t>扩展模型</w:t>
            </w:r>
          </w:p>
        </w:tc>
        <w:tc>
          <w:tcPr>
            <w:tcW w:w="1464" w:type="dxa"/>
            <w:tcMar>
              <w:top w:w="80" w:type="dxa"/>
              <w:left w:w="100" w:type="dxa"/>
              <w:bottom w:w="80" w:type="dxa"/>
              <w:right w:w="100" w:type="dxa"/>
            </w:tcMar>
            <w:vAlign w:val="center"/>
          </w:tcPr>
          <w:p w14:paraId="0189121C" w14:textId="77777777" w:rsidR="000817FF" w:rsidRDefault="00FB291E">
            <w:pPr>
              <w:jc w:val="center"/>
            </w:pPr>
            <w:r>
              <w:rPr>
                <w:sz w:val="18"/>
              </w:rPr>
              <w:t>1.93</w:t>
            </w:r>
          </w:p>
        </w:tc>
        <w:tc>
          <w:tcPr>
            <w:tcW w:w="1464" w:type="dxa"/>
            <w:tcMar>
              <w:top w:w="80" w:type="dxa"/>
              <w:left w:w="100" w:type="dxa"/>
              <w:bottom w:w="80" w:type="dxa"/>
              <w:right w:w="100" w:type="dxa"/>
            </w:tcMar>
            <w:vAlign w:val="center"/>
          </w:tcPr>
          <w:p w14:paraId="0288720D" w14:textId="77777777" w:rsidR="000817FF" w:rsidRDefault="00FB291E">
            <w:pPr>
              <w:jc w:val="center"/>
            </w:pPr>
            <w:r>
              <w:rPr>
                <w:sz w:val="18"/>
              </w:rPr>
              <w:t>1.77-2.10</w:t>
            </w:r>
          </w:p>
        </w:tc>
        <w:tc>
          <w:tcPr>
            <w:tcW w:w="1468" w:type="dxa"/>
            <w:tcMar>
              <w:top w:w="80" w:type="dxa"/>
              <w:left w:w="100" w:type="dxa"/>
              <w:bottom w:w="80" w:type="dxa"/>
              <w:right w:w="100" w:type="dxa"/>
            </w:tcMar>
            <w:vAlign w:val="center"/>
          </w:tcPr>
          <w:p w14:paraId="478C00D7" w14:textId="77777777" w:rsidR="000817FF" w:rsidRDefault="00FB291E">
            <w:pPr>
              <w:jc w:val="center"/>
            </w:pPr>
            <w:r>
              <w:rPr>
                <w:sz w:val="18"/>
              </w:rPr>
              <w:t>&lt;0.001</w:t>
            </w:r>
          </w:p>
        </w:tc>
      </w:tr>
    </w:tbl>
    <w:p w14:paraId="33264584" w14:textId="77777777" w:rsidR="000817FF" w:rsidRDefault="000817FF"/>
    <w:p w14:paraId="5E45A0E2" w14:textId="77777777" w:rsidR="000817FF" w:rsidRDefault="00FB291E">
      <w:pPr>
        <w:spacing w:after="120" w:line="360" w:lineRule="auto"/>
        <w:ind w:firstLine="420"/>
      </w:pPr>
      <w:r>
        <w:rPr>
          <w:sz w:val="21"/>
        </w:rPr>
        <w:t>校正模型结果与不成比例分析结果方向一致。也就是说，在控制年龄、性别、年份、季度、多重用药和常见中枢神经系统合并用药后，唑吡坦</w:t>
      </w:r>
      <w:r>
        <w:rPr>
          <w:sz w:val="21"/>
        </w:rPr>
        <w:t xml:space="preserve"> suspect </w:t>
      </w:r>
      <w:r>
        <w:rPr>
          <w:sz w:val="21"/>
        </w:rPr>
        <w:t>暴露与跌倒相关事件之间仍存在较高的报告优势。该结果增强了主分析发现的稳定性。</w:t>
      </w:r>
    </w:p>
    <w:p w14:paraId="3039E654" w14:textId="77777777" w:rsidR="000817FF" w:rsidRDefault="00FB291E">
      <w:pPr>
        <w:pStyle w:val="21"/>
        <w:spacing w:before="160" w:after="80"/>
      </w:pPr>
      <w:bookmarkStart w:id="66" w:name="_Toc230281365"/>
      <w:r>
        <w:rPr>
          <w:rFonts w:ascii="Times New Roman" w:eastAsia="宋体" w:hAnsi="Times New Roman"/>
        </w:rPr>
        <w:t xml:space="preserve">4.7 </w:t>
      </w:r>
      <w:r>
        <w:rPr>
          <w:rFonts w:ascii="Times New Roman" w:eastAsia="宋体" w:hAnsi="Times New Roman"/>
        </w:rPr>
        <w:t>本章小结</w:t>
      </w:r>
      <w:bookmarkEnd w:id="66"/>
    </w:p>
    <w:p w14:paraId="3845F165" w14:textId="77777777" w:rsidR="000817FF" w:rsidRDefault="00FB291E">
      <w:pPr>
        <w:spacing w:after="120" w:line="360" w:lineRule="auto" w:before="0"/>
        <w:ind w:firstLine="420"/>
      </w:pPr>
      <w:r>
        <w:t>本章基于 2004-2025 年 FAERS 老年病例，对唑吡坦相关跌倒事件进行了信号挖掘和校正分析。主分析显示，唑吡坦 suspect 暴露与严格 PT 跌倒事件之间存在明显不成比例报告信号，ROR 为 4.73，PRR 为 4.23，IC 为 2.07，EBGM 为 4.19，四种方法均达到阳性信号标准。 年度趋势和监管节点前后分层分析进一步显示，唑吡坦相关严格 PT 跌倒报告信号在 2004-2025 年长期观察中持续存在；2013 年后报告比例有所降低但信号未消失，2019 年后 ROR 仍保持较高水平。</w:t>
      </w:r>
    </w:p>
    <w:p w14:paraId="6E4A711A" w14:textId="77777777" w:rsidR="000817FF" w:rsidRDefault="00FB291E">
      <w:pPr>
        <w:spacing w:after="120" w:line="360" w:lineRule="auto"/>
        <w:ind w:firstLine="420"/>
      </w:pPr>
      <w:r>
        <w:t>广义跌倒相关事件（补充）补充分析和 PS only 敏感性分析均显示一致方向的阳性信号。与其他 Z-drugs 比较时，唑吡坦组跌倒相关事件报告比例也相对较高，但该部分信号强度低于主分析，且部分结果受病例数影响，解释时应更加谨慎。</w:t>
      </w:r>
    </w:p>
    <w:p w14:paraId="38E1E23D" w14:textId="77777777" w:rsidR="000817FF" w:rsidRDefault="00FB291E">
      <w:pPr>
        <w:spacing w:after="120" w:line="360" w:lineRule="auto"/>
        <w:ind w:firstLine="420"/>
      </w:pPr>
      <w:r>
        <w:t>探索性分层分析显示，高龄、多重用药、合并抗抑郁药、合并阿片类药物和合并抗癫痫药等特征对应较高的跌倒事件报告比例。多因素校正分析进一步显示，在控制可获得协变量后，唑吡坦 suspect 暴露与严格 PT 跌倒及广义跌倒相关事件（补充）之间仍存在稳定关联。</w:t>
      </w:r>
    </w:p>
    <w:p w14:paraId="4CB1184C" w14:textId="77777777" w:rsidR="000817FF" w:rsidRDefault="00FB291E">
      <w:pPr>
        <w:spacing w:after="120" w:line="360" w:lineRule="auto"/>
        <w:ind w:firstLine="420"/>
      </w:pPr>
      <w:r>
        <w:rPr>
          <w:sz w:val="21"/>
        </w:rPr>
        <w:lastRenderedPageBreak/>
        <w:t>总体而言，本章结果提示，</w:t>
      </w:r>
      <w:r>
        <w:rPr>
          <w:sz w:val="21"/>
        </w:rPr>
        <w:t xml:space="preserve">FAERS </w:t>
      </w:r>
      <w:r>
        <w:rPr>
          <w:sz w:val="21"/>
        </w:rPr>
        <w:t>老年病例中唑吡坦相关报告存在跌倒相关不良事件信号，临床使用唑吡坦时应特别关注高龄、多重用药和合并中枢神经系统药物使用患者的跌倒风险。</w:t>
      </w:r>
    </w:p>
    <w:p w14:paraId="40FE0928" w14:textId="77777777" w:rsidR="000817FF" w:rsidRDefault="00FB291E">
      <w:r>
        <w:br w:type="page"/>
      </w:r>
    </w:p>
    <w:p w14:paraId="6CB20C6F" w14:textId="77777777" w:rsidR="000817FF" w:rsidRDefault="00FB291E">
      <w:pPr>
        <w:pStyle w:val="1"/>
        <w:spacing w:before="240" w:after="160"/>
        <w:jc w:val="center"/>
      </w:pPr>
      <w:bookmarkStart w:id="67" w:name="_Toc230281366"/>
      <w:r>
        <w:rPr>
          <w:rFonts w:ascii="Times New Roman" w:eastAsia="宋体" w:hAnsi="Times New Roman"/>
        </w:rPr>
        <w:lastRenderedPageBreak/>
        <w:t>第五章</w:t>
      </w:r>
      <w:r>
        <w:rPr>
          <w:rFonts w:ascii="Times New Roman" w:eastAsia="宋体" w:hAnsi="Times New Roman"/>
        </w:rPr>
        <w:t xml:space="preserve"> </w:t>
      </w:r>
      <w:r>
        <w:rPr>
          <w:rFonts w:ascii="Times New Roman" w:eastAsia="宋体" w:hAnsi="Times New Roman"/>
        </w:rPr>
        <w:t>机器学习辅助识别模型探索</w:t>
      </w:r>
      <w:bookmarkEnd w:id="67"/>
    </w:p>
    <w:p w14:paraId="0593F46A" w14:textId="77777777" w:rsidR="000817FF" w:rsidRDefault="00FB291E">
      <w:pPr>
        <w:pStyle w:val="21"/>
        <w:spacing w:before="160" w:after="80"/>
      </w:pPr>
      <w:bookmarkStart w:id="68" w:name="_Toc230281367"/>
      <w:r>
        <w:rPr>
          <w:rFonts w:ascii="Times New Roman" w:eastAsia="宋体" w:hAnsi="Times New Roman"/>
        </w:rPr>
        <w:t xml:space="preserve">5.1 </w:t>
      </w:r>
      <w:r>
        <w:rPr>
          <w:rFonts w:ascii="Times New Roman" w:eastAsia="宋体" w:hAnsi="Times New Roman"/>
        </w:rPr>
        <w:t>建模目的与总体思路</w:t>
      </w:r>
      <w:bookmarkEnd w:id="68"/>
    </w:p>
    <w:p w14:paraId="1814442D" w14:textId="77777777" w:rsidR="000817FF" w:rsidRDefault="00FB291E">
      <w:pPr>
        <w:spacing w:after="120" w:line="360" w:lineRule="auto"/>
        <w:ind w:firstLine="420"/>
      </w:pPr>
      <w:r>
        <w:t>在前述章节中，本研究已经通过不成比例分析和多因素校正分析观察到唑吡坦相关报告与老年跌倒事件之间存在报告信号。为了进一步探索 FAERS 病例报告中与跌倒事件相关的多维特征组合，本章构建机器学习模型，对严格 PT 跌倒事件进行辅助识别。</w:t>
      </w:r>
    </w:p>
    <w:p w14:paraId="5C8838A1" w14:textId="77777777" w:rsidR="000817FF" w:rsidRDefault="00FB291E">
      <w:pPr>
        <w:spacing w:after="120" w:line="360" w:lineRule="auto"/>
        <w:ind w:firstLine="420"/>
      </w:pPr>
      <w:r>
        <w:rPr>
          <w:sz w:val="21"/>
        </w:rPr>
        <w:t>需要说明的是，本章模型的定位是辅助分析，而不是临床诊断模型。</w:t>
      </w:r>
      <w:r>
        <w:rPr>
          <w:sz w:val="21"/>
        </w:rPr>
        <w:t xml:space="preserve">FAERS </w:t>
      </w:r>
      <w:r>
        <w:rPr>
          <w:sz w:val="21"/>
        </w:rPr>
        <w:t>是自发报告数据库，缺少真实用药总人数、剂量、疗程、完整病史和完整随访信息，因此不适合直接建立可用于临床个体预测的模型</w:t>
      </w:r>
      <w:r>
        <w:rPr>
          <w:sz w:val="18"/>
          <w:vertAlign w:val="superscript"/>
        </w:rPr>
        <w:t>[44-53]</w:t>
      </w:r>
      <w:r>
        <w:rPr>
          <w:sz w:val="21"/>
        </w:rPr>
        <w:t>。本章机器学习分析主要用于两个目的：第一，评价人口学、报告来源、药物暴露、合并用药和适应证等结构化特征能否对跌倒事件报告进行风险排序；第二，观察机器学习识别出的重要特征是否与药物警戒分析和老年药学认识相互印证。</w:t>
      </w:r>
    </w:p>
    <w:p w14:paraId="70F160DC" w14:textId="77777777" w:rsidR="000817FF" w:rsidRDefault="00FB291E">
      <w:pPr>
        <w:spacing w:after="120" w:line="360" w:lineRule="auto"/>
        <w:ind w:firstLine="420"/>
      </w:pPr>
      <w:r>
        <w:rPr>
          <w:sz w:val="21"/>
        </w:rPr>
        <w:t>本研究构建逻辑回归、随机森林和</w:t>
      </w:r>
      <w:r>
        <w:rPr>
          <w:sz w:val="21"/>
        </w:rPr>
        <w:t xml:space="preserve"> XGBoost </w:t>
      </w:r>
      <w:r>
        <w:rPr>
          <w:sz w:val="21"/>
        </w:rPr>
        <w:t>三类模型。其中，逻辑回归作为可解释性较强的基线模型；随机森林作为非线性集成学习模型；</w:t>
      </w:r>
      <w:r>
        <w:rPr>
          <w:sz w:val="21"/>
        </w:rPr>
        <w:t xml:space="preserve">XGBoost </w:t>
      </w:r>
      <w:r>
        <w:rPr>
          <w:sz w:val="21"/>
        </w:rPr>
        <w:t>作为梯度提升树模型，用于捕捉更复杂的非线性关系和特征交互。既往机器学习药物警戒综述显示，机器学习可用于不良事件识别、个例筛选、信号排序和多源数据整合，但应重视数据质量、模型可解释性和外部验证</w:t>
      </w:r>
      <w:r>
        <w:rPr>
          <w:sz w:val="18"/>
          <w:vertAlign w:val="superscript"/>
        </w:rPr>
        <w:t>[61-68]</w:t>
      </w:r>
      <w:r>
        <w:rPr>
          <w:sz w:val="21"/>
        </w:rPr>
        <w:t>。</w:t>
      </w:r>
    </w:p>
    <w:p w14:paraId="771DD918" w14:textId="77777777" w:rsidR="000817FF" w:rsidRDefault="00FB291E">
      <w:pPr>
        <w:pStyle w:val="21"/>
        <w:spacing w:before="160" w:after="80"/>
      </w:pPr>
      <w:bookmarkStart w:id="69" w:name="_Toc230281368"/>
      <w:r>
        <w:rPr>
          <w:rFonts w:ascii="Times New Roman" w:eastAsia="宋体" w:hAnsi="Times New Roman"/>
        </w:rPr>
        <w:t xml:space="preserve">5.2 </w:t>
      </w:r>
      <w:r>
        <w:rPr>
          <w:rFonts w:ascii="Times New Roman" w:eastAsia="宋体" w:hAnsi="Times New Roman"/>
        </w:rPr>
        <w:t>建模数据集与目标变量</w:t>
      </w:r>
      <w:bookmarkEnd w:id="69"/>
    </w:p>
    <w:p w14:paraId="4F1E739D" w14:textId="77777777" w:rsidR="000817FF" w:rsidRDefault="00FB291E">
      <w:pPr>
        <w:spacing w:after="120" w:line="360" w:lineRule="auto"/>
        <w:ind w:firstLine="420"/>
      </w:pPr>
      <w:r>
        <w:t>机器学习建模使用 2004-2025 年全周期 ML-v2 病例级特征表。目标变量为严格 PT 定义的跌倒事件，即 `is_fall`。该变量来源于 REAC 表，当前项目口径为首选语命中 FALL 或 DROP ATTACKS。</w:t>
      </w:r>
    </w:p>
    <w:p w14:paraId="5E463EA7" w14:textId="77777777" w:rsidR="000817FF" w:rsidRDefault="00FB291E">
      <w:pPr>
        <w:spacing w:after="120" w:line="360" w:lineRule="auto"/>
        <w:ind w:firstLine="420"/>
      </w:pPr>
      <w:r>
        <w:rPr>
          <w:sz w:val="21"/>
        </w:rPr>
        <w:t>本章模型采用全体符合条件的老年病例作为建模队列，而不是仅限于唑吡坦暴露病例。这样设计的原因是，模型目标并不是单独估计唑吡坦效应，而是探索</w:t>
      </w:r>
      <w:r>
        <w:rPr>
          <w:sz w:val="21"/>
        </w:rPr>
        <w:t xml:space="preserve"> FAERS </w:t>
      </w:r>
      <w:r>
        <w:rPr>
          <w:sz w:val="21"/>
        </w:rPr>
        <w:t>老年病例中跌倒事件报告的整体特征结构。唑吡坦相关变量作为模型特征之一进入模型，与年龄、性别、报告来源、合并用药和适应证等变量共同参与预测。</w:t>
      </w:r>
    </w:p>
    <w:p w14:paraId="47DE66BB" w14:textId="77777777" w:rsidR="000817FF" w:rsidRDefault="00FB291E">
      <w:pPr>
        <w:spacing w:after="120" w:line="360" w:lineRule="auto"/>
        <w:ind w:firstLine="420"/>
      </w:pPr>
      <w:r>
        <w:t>建模数据按时间划分为训练集、验证集和测试集。2023 年及以前病例用于训练，2024 年病例用于验证和阈值选择，2025 年病例作为独立测试集。测试集共 329,593 例，其中严格跌倒事件 10,366 例，阳性比例为 3.15%。这种按年份划分的方式可以减少随机划分导致的信息泄漏，更接近模型对未来数据的外推场景。</w:t>
      </w:r>
    </w:p>
    <w:p w14:paraId="3A17FA83" w14:textId="77777777" w:rsidR="000817FF" w:rsidRDefault="00FB291E">
      <w:pPr>
        <w:pStyle w:val="21"/>
        <w:spacing w:before="160" w:after="80"/>
      </w:pPr>
      <w:bookmarkStart w:id="70" w:name="_Toc230281369"/>
      <w:r>
        <w:rPr>
          <w:rFonts w:ascii="Times New Roman" w:eastAsia="宋体" w:hAnsi="Times New Roman"/>
        </w:rPr>
        <w:t xml:space="preserve">5.3 </w:t>
      </w:r>
      <w:r>
        <w:rPr>
          <w:rFonts w:ascii="Times New Roman" w:eastAsia="宋体" w:hAnsi="Times New Roman"/>
        </w:rPr>
        <w:t>特征体系</w:t>
      </w:r>
      <w:bookmarkEnd w:id="70"/>
    </w:p>
    <w:p w14:paraId="44F2409E" w14:textId="77777777" w:rsidR="000817FF" w:rsidRDefault="00FB291E">
      <w:pPr>
        <w:spacing w:after="120" w:line="360" w:lineRule="auto"/>
        <w:ind w:firstLine="420"/>
      </w:pPr>
      <w:r>
        <w:rPr>
          <w:sz w:val="21"/>
        </w:rPr>
        <w:t>本研究纳入的模型特征主要包括以下几类。</w:t>
      </w:r>
    </w:p>
    <w:p w14:paraId="1CA5BCC0" w14:textId="77777777" w:rsidR="000817FF" w:rsidRDefault="00FB291E">
      <w:pPr>
        <w:spacing w:after="120" w:line="360" w:lineRule="auto"/>
        <w:ind w:firstLine="420"/>
      </w:pPr>
      <w:r>
        <w:rPr>
          <w:sz w:val="21"/>
        </w:rPr>
        <w:t>第一，人口学特征，包括年龄、年龄组和性别。老年跌倒风险与年龄密切相关，高龄患者通常存在更高的跌倒风险</w:t>
      </w:r>
      <w:r>
        <w:rPr>
          <w:sz w:val="18"/>
          <w:vertAlign w:val="superscript"/>
        </w:rPr>
        <w:t>[25-30]</w:t>
      </w:r>
      <w:r>
        <w:rPr>
          <w:sz w:val="21"/>
        </w:rPr>
        <w:t>。</w:t>
      </w:r>
    </w:p>
    <w:p w14:paraId="1D46D2F1" w14:textId="77777777" w:rsidR="000817FF" w:rsidRDefault="00FB291E">
      <w:pPr>
        <w:spacing w:after="120" w:line="360" w:lineRule="auto"/>
        <w:ind w:firstLine="420"/>
      </w:pPr>
      <w:r>
        <w:rPr>
          <w:sz w:val="21"/>
        </w:rPr>
        <w:lastRenderedPageBreak/>
        <w:t>第二，报告时间和报告来源特征，包括年份、季度、报告类型、报告国家、发生国家和报告来源等。</w:t>
      </w:r>
      <w:r>
        <w:rPr>
          <w:sz w:val="21"/>
        </w:rPr>
        <w:t xml:space="preserve">FAERS </w:t>
      </w:r>
      <w:r>
        <w:rPr>
          <w:sz w:val="21"/>
        </w:rPr>
        <w:t>报告具有明显的报告结构差异，这些变量可反映不同报告来源和地区的报告模式。</w:t>
      </w:r>
    </w:p>
    <w:p w14:paraId="41171C13" w14:textId="77777777" w:rsidR="000817FF" w:rsidRDefault="00FB291E">
      <w:pPr>
        <w:spacing w:after="120" w:line="360" w:lineRule="auto"/>
        <w:ind w:firstLine="420"/>
      </w:pPr>
      <w:r>
        <w:rPr>
          <w:sz w:val="21"/>
        </w:rPr>
        <w:t>第三，药物暴露特征，包括是否存在唑吡坦、</w:t>
      </w:r>
      <w:r>
        <w:rPr>
          <w:sz w:val="21"/>
        </w:rPr>
        <w:t>zaleplon</w:t>
      </w:r>
      <w:r>
        <w:rPr>
          <w:sz w:val="21"/>
        </w:rPr>
        <w:t>、</w:t>
      </w:r>
      <w:r>
        <w:rPr>
          <w:sz w:val="21"/>
        </w:rPr>
        <w:t>zopiclone</w:t>
      </w:r>
      <w:r>
        <w:rPr>
          <w:sz w:val="21"/>
        </w:rPr>
        <w:t>、</w:t>
      </w:r>
      <w:r>
        <w:rPr>
          <w:sz w:val="21"/>
        </w:rPr>
        <w:t>eszopiclone</w:t>
      </w:r>
      <w:r>
        <w:rPr>
          <w:sz w:val="21"/>
        </w:rPr>
        <w:t>、其他</w:t>
      </w:r>
      <w:r>
        <w:rPr>
          <w:sz w:val="21"/>
        </w:rPr>
        <w:t xml:space="preserve"> Z-drugs </w:t>
      </w:r>
      <w:r>
        <w:rPr>
          <w:sz w:val="21"/>
        </w:rPr>
        <w:t>暴露，是否为唑吡坦</w:t>
      </w:r>
      <w:r>
        <w:rPr>
          <w:sz w:val="21"/>
        </w:rPr>
        <w:t xml:space="preserve"> suspect </w:t>
      </w:r>
      <w:r>
        <w:rPr>
          <w:sz w:val="21"/>
        </w:rPr>
        <w:t>暴露，以及是否合并苯二氮卓类、抗抑郁药、抗精神病药、阿片类药物和抗癫痫药等。这些中枢神经系统相关药物和</w:t>
      </w:r>
      <w:r>
        <w:rPr>
          <w:sz w:val="21"/>
        </w:rPr>
        <w:t xml:space="preserve"> Z-drugs </w:t>
      </w:r>
      <w:r>
        <w:rPr>
          <w:sz w:val="21"/>
        </w:rPr>
        <w:t>均是老年跌倒风险管理中需要重点关注的药物类别</w:t>
      </w:r>
      <w:r>
        <w:rPr>
          <w:sz w:val="18"/>
          <w:vertAlign w:val="superscript"/>
        </w:rPr>
        <w:t>[1,9-17,31-33,38-39,43]</w:t>
      </w:r>
      <w:r>
        <w:rPr>
          <w:sz w:val="21"/>
        </w:rPr>
        <w:t>。</w:t>
      </w:r>
    </w:p>
    <w:p w14:paraId="2E9CEB68" w14:textId="77777777" w:rsidR="000817FF" w:rsidRDefault="00FB291E">
      <w:pPr>
        <w:spacing w:after="120" w:line="360" w:lineRule="auto"/>
        <w:ind w:firstLine="420"/>
      </w:pPr>
      <w:r>
        <w:rPr>
          <w:sz w:val="21"/>
        </w:rPr>
        <w:t>第四，用药负担特征，包括药物记录数、去重药物数、多重用药、主要可疑药物数、次要可疑药物数、合并用药数和相互作用药物数等。</w:t>
      </w:r>
    </w:p>
    <w:p w14:paraId="54FFBAD7" w14:textId="77777777" w:rsidR="000817FF" w:rsidRDefault="00FB291E">
      <w:pPr>
        <w:spacing w:after="120" w:line="360" w:lineRule="auto"/>
        <w:ind w:firstLine="420"/>
      </w:pPr>
      <w:r>
        <w:t>第五，适应证、疾病系统和表型特征，包括失眠、焦虑、抑郁、疼痛、癫痫、眩晕等适应证变量，基于 MedDRA 系统器官分类构建的相关疾病系统变量，以及经泄漏筛查后的镇静/嗜睡、意识/认知、眩晕/晕厥、步态/平衡/运动、低血压和视觉障碍等表型变量。</w:t>
      </w:r>
    </w:p>
    <w:p w14:paraId="71AF9D93" w14:textId="77777777" w:rsidR="000817FF" w:rsidRDefault="00FB291E">
      <w:pPr>
        <w:spacing w:after="120" w:line="360" w:lineRule="auto"/>
        <w:ind w:firstLine="420"/>
      </w:pPr>
      <w:r>
        <w:t>分类变量采用独热编码处理，连续变量进行标准化处理，布尔变量作为二分类特征进入模型。模型调参和选择主要以 average precision 作为优化指标，因为严格跌倒事件在测试集中阳性比例仅约 3.15%，类别分布不平衡，单纯准确率不能充分反映模型识别阳性病例的能力。</w:t>
      </w:r>
    </w:p>
    <w:p w14:paraId="793CF793" w14:textId="77777777" w:rsidR="000817FF" w:rsidRDefault="00FB291E">
      <w:pPr>
        <w:pStyle w:val="21"/>
        <w:spacing w:before="160" w:after="80"/>
      </w:pPr>
      <w:bookmarkStart w:id="71" w:name="_Toc230281370"/>
      <w:r>
        <w:rPr>
          <w:rFonts w:ascii="Times New Roman" w:eastAsia="宋体" w:hAnsi="Times New Roman"/>
        </w:rPr>
        <w:t xml:space="preserve">5.4 </w:t>
      </w:r>
      <w:r>
        <w:rPr>
          <w:rFonts w:ascii="Times New Roman" w:eastAsia="宋体" w:hAnsi="Times New Roman"/>
        </w:rPr>
        <w:t>模型训练与参数选择</w:t>
      </w:r>
      <w:bookmarkEnd w:id="71"/>
    </w:p>
    <w:p w14:paraId="32F2C740" w14:textId="77777777" w:rsidR="000817FF" w:rsidRDefault="00FB291E">
      <w:pPr>
        <w:spacing w:after="120" w:line="360" w:lineRule="auto"/>
        <w:ind w:firstLine="420"/>
      </w:pPr>
      <w:r>
        <w:rPr>
          <w:sz w:val="21"/>
        </w:rPr>
        <w:t>逻辑回归模型采用</w:t>
      </w:r>
      <w:r>
        <w:rPr>
          <w:sz w:val="21"/>
        </w:rPr>
        <w:t xml:space="preserve"> L2 </w:t>
      </w:r>
      <w:r>
        <w:rPr>
          <w:sz w:val="21"/>
        </w:rPr>
        <w:t>正则化，使用</w:t>
      </w:r>
      <w:r>
        <w:rPr>
          <w:sz w:val="21"/>
        </w:rPr>
        <w:t xml:space="preserve"> `saga` </w:t>
      </w:r>
      <w:r>
        <w:rPr>
          <w:sz w:val="21"/>
        </w:rPr>
        <w:t>求解器，最大迭代次数设为</w:t>
      </w:r>
      <w:r>
        <w:rPr>
          <w:sz w:val="21"/>
        </w:rPr>
        <w:t xml:space="preserve"> 10,000</w:t>
      </w:r>
      <w:r>
        <w:rPr>
          <w:sz w:val="21"/>
        </w:rPr>
        <w:t>。最终选择的正则化参数</w:t>
      </w:r>
      <w:r>
        <w:rPr>
          <w:sz w:val="21"/>
        </w:rPr>
        <w:t xml:space="preserve"> C </w:t>
      </w:r>
      <w:r>
        <w:rPr>
          <w:sz w:val="21"/>
        </w:rPr>
        <w:t>为</w:t>
      </w:r>
      <w:r>
        <w:rPr>
          <w:sz w:val="21"/>
        </w:rPr>
        <w:t xml:space="preserve"> 0.3</w:t>
      </w:r>
      <w:r>
        <w:rPr>
          <w:sz w:val="21"/>
        </w:rPr>
        <w:t>。逻辑回归模型作为基线模型，其优点是结果容易解释，可以通过系数方向和相对大小理解不同特征与跌倒事件报告之间的预测性关系。</w:t>
      </w:r>
    </w:p>
    <w:p w14:paraId="26D2BE0A" w14:textId="77777777" w:rsidR="000817FF" w:rsidRDefault="00FB291E">
      <w:pPr>
        <w:spacing w:after="120" w:line="360" w:lineRule="auto"/>
        <w:ind w:firstLine="420"/>
      </w:pPr>
      <w:r>
        <w:rPr>
          <w:sz w:val="21"/>
        </w:rPr>
        <w:t>随机森林模型采用</w:t>
      </w:r>
      <w:r>
        <w:rPr>
          <w:sz w:val="21"/>
        </w:rPr>
        <w:t xml:space="preserve"> 400 </w:t>
      </w:r>
      <w:r>
        <w:rPr>
          <w:sz w:val="21"/>
        </w:rPr>
        <w:t>棵树，类别权重设置为</w:t>
      </w:r>
      <w:r>
        <w:rPr>
          <w:sz w:val="21"/>
        </w:rPr>
        <w:t xml:space="preserve"> balanced</w:t>
      </w:r>
      <w:r>
        <w:rPr>
          <w:sz w:val="21"/>
        </w:rPr>
        <w:t>，最大特征数为</w:t>
      </w:r>
      <w:r>
        <w:rPr>
          <w:sz w:val="21"/>
        </w:rPr>
        <w:t xml:space="preserve"> sqrt</w:t>
      </w:r>
      <w:r>
        <w:rPr>
          <w:sz w:val="21"/>
        </w:rPr>
        <w:t>，最小叶节点样本数为</w:t>
      </w:r>
      <w:r>
        <w:rPr>
          <w:sz w:val="21"/>
        </w:rPr>
        <w:t xml:space="preserve"> 10</w:t>
      </w:r>
      <w:r>
        <w:rPr>
          <w:sz w:val="21"/>
        </w:rPr>
        <w:t>。随机森林用于作为非线性模型对照，可以捕捉变量之间较复杂的关系，但其特征重要性主要是基于不纯度下降的排序，不能直接解释为因果作用。</w:t>
      </w:r>
    </w:p>
    <w:p w14:paraId="7DD14CA9" w14:textId="77777777" w:rsidR="000817FF" w:rsidRDefault="00FB291E">
      <w:pPr>
        <w:spacing w:after="120" w:line="360" w:lineRule="auto"/>
        <w:ind w:firstLine="420"/>
      </w:pPr>
      <w:r>
        <w:rPr>
          <w:sz w:val="21"/>
        </w:rPr>
        <w:t xml:space="preserve">XGBoost </w:t>
      </w:r>
      <w:r>
        <w:rPr>
          <w:sz w:val="21"/>
        </w:rPr>
        <w:t>模型采用二分类逻辑目标函数，树方法为</w:t>
      </w:r>
      <w:r>
        <w:rPr>
          <w:sz w:val="21"/>
        </w:rPr>
        <w:t xml:space="preserve"> hist</w:t>
      </w:r>
      <w:r>
        <w:rPr>
          <w:sz w:val="21"/>
        </w:rPr>
        <w:t>。最终模型设置包括学习率</w:t>
      </w:r>
      <w:r>
        <w:rPr>
          <w:sz w:val="21"/>
        </w:rPr>
        <w:t xml:space="preserve"> 0.03</w:t>
      </w:r>
      <w:r>
        <w:rPr>
          <w:sz w:val="21"/>
        </w:rPr>
        <w:t>、最大深度</w:t>
      </w:r>
      <w:r>
        <w:rPr>
          <w:sz w:val="21"/>
        </w:rPr>
        <w:t xml:space="preserve"> 7</w:t>
      </w:r>
      <w:r>
        <w:rPr>
          <w:sz w:val="21"/>
        </w:rPr>
        <w:t>、估计器数量</w:t>
      </w:r>
      <w:r>
        <w:rPr>
          <w:sz w:val="21"/>
        </w:rPr>
        <w:t xml:space="preserve"> 400</w:t>
      </w:r>
      <w:r>
        <w:rPr>
          <w:sz w:val="21"/>
        </w:rPr>
        <w:t>、子采样比例</w:t>
      </w:r>
      <w:r>
        <w:rPr>
          <w:sz w:val="21"/>
        </w:rPr>
        <w:t xml:space="preserve"> 0.8</w:t>
      </w:r>
      <w:r>
        <w:rPr>
          <w:sz w:val="21"/>
        </w:rPr>
        <w:t>、列采样比例</w:t>
      </w:r>
      <w:r>
        <w:rPr>
          <w:sz w:val="21"/>
        </w:rPr>
        <w:t xml:space="preserve"> 0.8</w:t>
      </w:r>
      <w:r>
        <w:rPr>
          <w:sz w:val="21"/>
        </w:rPr>
        <w:t>、最小子节点权重</w:t>
      </w:r>
      <w:r>
        <w:rPr>
          <w:sz w:val="21"/>
        </w:rPr>
        <w:t xml:space="preserve"> 5</w:t>
      </w:r>
      <w:r>
        <w:rPr>
          <w:sz w:val="21"/>
        </w:rPr>
        <w:t>、</w:t>
      </w:r>
      <w:r>
        <w:rPr>
          <w:sz w:val="21"/>
        </w:rPr>
        <w:t xml:space="preserve">L2 </w:t>
      </w:r>
      <w:r>
        <w:rPr>
          <w:sz w:val="21"/>
        </w:rPr>
        <w:t>正则化参数</w:t>
      </w:r>
      <w:r>
        <w:rPr>
          <w:sz w:val="21"/>
        </w:rPr>
        <w:t xml:space="preserve"> 5.0</w:t>
      </w:r>
      <w:r>
        <w:rPr>
          <w:sz w:val="21"/>
        </w:rPr>
        <w:t>，并根据训练期类别比例设置正类权重。</w:t>
      </w:r>
      <w:r>
        <w:rPr>
          <w:sz w:val="21"/>
        </w:rPr>
        <w:t xml:space="preserve">XGBoost </w:t>
      </w:r>
      <w:r>
        <w:rPr>
          <w:sz w:val="21"/>
        </w:rPr>
        <w:t>调参采用随机搜索，共评估</w:t>
      </w:r>
      <w:r>
        <w:rPr>
          <w:sz w:val="21"/>
        </w:rPr>
        <w:t xml:space="preserve"> 18 </w:t>
      </w:r>
      <w:r>
        <w:rPr>
          <w:sz w:val="21"/>
        </w:rPr>
        <w:t>组候选参数，并以</w:t>
      </w:r>
      <w:r>
        <w:rPr>
          <w:sz w:val="21"/>
        </w:rPr>
        <w:t xml:space="preserve"> average precision </w:t>
      </w:r>
      <w:r>
        <w:rPr>
          <w:sz w:val="21"/>
        </w:rPr>
        <w:t>作为主要</w:t>
      </w:r>
      <w:r>
        <w:rPr>
          <w:sz w:val="21"/>
        </w:rPr>
        <w:t xml:space="preserve"> refit </w:t>
      </w:r>
      <w:r>
        <w:rPr>
          <w:sz w:val="21"/>
        </w:rPr>
        <w:t>指标。</w:t>
      </w:r>
    </w:p>
    <w:p w14:paraId="6176F717" w14:textId="77777777" w:rsidR="000817FF" w:rsidRDefault="00FB291E">
      <w:pPr>
        <w:pStyle w:val="21"/>
        <w:spacing w:before="160" w:after="80"/>
      </w:pPr>
      <w:bookmarkStart w:id="72" w:name="_Toc230281371"/>
      <w:r>
        <w:rPr>
          <w:rFonts w:ascii="Times New Roman" w:eastAsia="宋体" w:hAnsi="Times New Roman"/>
        </w:rPr>
        <w:t xml:space="preserve">5.5 </w:t>
      </w:r>
      <w:r>
        <w:rPr>
          <w:rFonts w:ascii="Times New Roman" w:eastAsia="宋体" w:hAnsi="Times New Roman"/>
        </w:rPr>
        <w:t>模型总体性能</w:t>
      </w:r>
      <w:bookmarkEnd w:id="72"/>
    </w:p>
    <w:p w14:paraId="2BF20566" w14:textId="77777777" w:rsidR="000817FF" w:rsidRDefault="00FB291E">
      <w:pPr>
        <w:spacing w:after="120" w:line="360" w:lineRule="auto"/>
        <w:ind w:firstLine="420"/>
      </w:pPr>
      <w:r>
        <w:t>三类模型在验证集和测试集上的表现见表 5-1。总体来看，增强特征集下 XGBoost 在测试集上的 ROC-AUC 和 average precision 均最高，随机森林次之，逻辑回归略低。三类模型在 2025 年测试集上的 ROC-AUC 均接近或超过 0.80，说明 ML-v2 增强特征表对跌倒事件报告具有一定区分能力。</w:t>
      </w:r>
    </w:p>
    <w:p w14:paraId="7EC5DDF0" w14:textId="77777777" w:rsidR="000817FF" w:rsidRDefault="00FB291E">
      <w:pPr>
        <w:spacing w:after="120" w:line="360" w:lineRule="auto"/>
        <w:ind w:firstLine="420"/>
      </w:pPr>
      <w:r>
        <w:rPr>
          <w:sz w:val="21"/>
        </w:rPr>
        <w:t>表</w:t>
      </w:r>
      <w:r>
        <w:rPr>
          <w:sz w:val="21"/>
        </w:rPr>
        <w:t xml:space="preserve"> 5-1 </w:t>
      </w:r>
      <w:r>
        <w:rPr>
          <w:sz w:val="21"/>
        </w:rPr>
        <w:t>三类机器学习模型在验证集和测试集中的主要性能</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43AC9C85" w14:textId="77777777">
        <w:tc>
          <w:tcPr>
            <w:tcW w:w="1464" w:type="dxa"/>
            <w:shd w:val="clear" w:color="auto" w:fill="EDEDED"/>
            <w:tcMar>
              <w:top w:w="80" w:type="dxa"/>
              <w:left w:w="100" w:type="dxa"/>
              <w:bottom w:w="80" w:type="dxa"/>
              <w:right w:w="100" w:type="dxa"/>
            </w:tcMar>
            <w:vAlign w:val="center"/>
          </w:tcPr>
          <w:p w14:paraId="07E02FC2" w14:textId="77777777" w:rsidR="000817FF" w:rsidRDefault="00FB291E">
            <w:pPr>
              <w:jc w:val="center"/>
            </w:pPr>
            <w:r>
              <w:rPr>
                <w:b/>
                <w:sz w:val="18"/>
              </w:rPr>
              <w:lastRenderedPageBreak/>
              <w:t>模型</w:t>
            </w:r>
          </w:p>
        </w:tc>
        <w:tc>
          <w:tcPr>
            <w:tcW w:w="1464" w:type="dxa"/>
            <w:shd w:val="clear" w:color="auto" w:fill="EDEDED"/>
            <w:tcMar>
              <w:top w:w="80" w:type="dxa"/>
              <w:left w:w="100" w:type="dxa"/>
              <w:bottom w:w="80" w:type="dxa"/>
              <w:right w:w="100" w:type="dxa"/>
            </w:tcMar>
            <w:vAlign w:val="center"/>
          </w:tcPr>
          <w:p w14:paraId="3E94EAC9" w14:textId="77777777" w:rsidR="000817FF" w:rsidRDefault="00FB291E">
            <w:pPr>
              <w:jc w:val="center"/>
            </w:pPr>
            <w:r>
              <w:rPr>
                <w:b/>
                <w:sz w:val="18"/>
              </w:rPr>
              <w:t>验证集</w:t>
            </w:r>
            <w:r>
              <w:rPr>
                <w:b/>
                <w:sz w:val="18"/>
              </w:rPr>
              <w:t xml:space="preserve"> ROC-AUC</w:t>
            </w:r>
          </w:p>
        </w:tc>
        <w:tc>
          <w:tcPr>
            <w:tcW w:w="1464" w:type="dxa"/>
            <w:shd w:val="clear" w:color="auto" w:fill="EDEDED"/>
            <w:tcMar>
              <w:top w:w="80" w:type="dxa"/>
              <w:left w:w="100" w:type="dxa"/>
              <w:bottom w:w="80" w:type="dxa"/>
              <w:right w:w="100" w:type="dxa"/>
            </w:tcMar>
            <w:vAlign w:val="center"/>
          </w:tcPr>
          <w:p w14:paraId="71FFFB88" w14:textId="77777777" w:rsidR="000817FF" w:rsidRDefault="00FB291E">
            <w:pPr>
              <w:jc w:val="center"/>
            </w:pPr>
            <w:r>
              <w:rPr>
                <w:b/>
                <w:sz w:val="18"/>
              </w:rPr>
              <w:t>验证集</w:t>
            </w:r>
            <w:r>
              <w:rPr>
                <w:b/>
                <w:sz w:val="18"/>
              </w:rPr>
              <w:t xml:space="preserve"> AP</w:t>
            </w:r>
          </w:p>
        </w:tc>
        <w:tc>
          <w:tcPr>
            <w:tcW w:w="1464" w:type="dxa"/>
            <w:shd w:val="clear" w:color="auto" w:fill="EDEDED"/>
            <w:tcMar>
              <w:top w:w="80" w:type="dxa"/>
              <w:left w:w="100" w:type="dxa"/>
              <w:bottom w:w="80" w:type="dxa"/>
              <w:right w:w="100" w:type="dxa"/>
            </w:tcMar>
            <w:vAlign w:val="center"/>
          </w:tcPr>
          <w:p w14:paraId="04617A6F" w14:textId="77777777" w:rsidR="000817FF" w:rsidRDefault="00FB291E">
            <w:pPr>
              <w:jc w:val="center"/>
            </w:pPr>
            <w:r>
              <w:rPr>
                <w:b/>
                <w:sz w:val="18"/>
              </w:rPr>
              <w:t>测试集</w:t>
            </w:r>
            <w:r>
              <w:rPr>
                <w:b/>
                <w:sz w:val="18"/>
              </w:rPr>
              <w:t xml:space="preserve"> ROC-AUC</w:t>
            </w:r>
          </w:p>
        </w:tc>
        <w:tc>
          <w:tcPr>
            <w:tcW w:w="1464" w:type="dxa"/>
            <w:shd w:val="clear" w:color="auto" w:fill="EDEDED"/>
            <w:tcMar>
              <w:top w:w="80" w:type="dxa"/>
              <w:left w:w="100" w:type="dxa"/>
              <w:bottom w:w="80" w:type="dxa"/>
              <w:right w:w="100" w:type="dxa"/>
            </w:tcMar>
            <w:vAlign w:val="center"/>
          </w:tcPr>
          <w:p w14:paraId="2AA2A8B3" w14:textId="77777777" w:rsidR="000817FF" w:rsidRDefault="00FB291E">
            <w:pPr>
              <w:jc w:val="center"/>
            </w:pPr>
            <w:r>
              <w:rPr>
                <w:b/>
                <w:sz w:val="18"/>
              </w:rPr>
              <w:t>测试集</w:t>
            </w:r>
            <w:r>
              <w:rPr>
                <w:b/>
                <w:sz w:val="18"/>
              </w:rPr>
              <w:t xml:space="preserve"> AP</w:t>
            </w:r>
          </w:p>
        </w:tc>
        <w:tc>
          <w:tcPr>
            <w:tcW w:w="1468" w:type="dxa"/>
            <w:shd w:val="clear" w:color="auto" w:fill="EDEDED"/>
            <w:tcMar>
              <w:top w:w="80" w:type="dxa"/>
              <w:left w:w="100" w:type="dxa"/>
              <w:bottom w:w="80" w:type="dxa"/>
              <w:right w:w="100" w:type="dxa"/>
            </w:tcMar>
            <w:vAlign w:val="center"/>
          </w:tcPr>
          <w:p w14:paraId="3D2EB398" w14:textId="77777777" w:rsidR="000817FF" w:rsidRDefault="00FB291E">
            <w:pPr>
              <w:jc w:val="center"/>
            </w:pPr>
            <w:r>
              <w:rPr>
                <w:b/>
                <w:sz w:val="18"/>
              </w:rPr>
              <w:t>测试集</w:t>
            </w:r>
            <w:r>
              <w:rPr>
                <w:b/>
                <w:sz w:val="18"/>
              </w:rPr>
              <w:t xml:space="preserve"> Brier score</w:t>
            </w:r>
          </w:p>
        </w:tc>
      </w:tr>
      <w:tr w:rsidR="000817FF" w14:paraId="7608917A"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0.799</w:t>
            </w:r>
          </w:p>
        </w:tc>
        <w:tc>
          <w:tcPr>
            <w:tcW w:w="1464" w:type="dxa"/>
            <w:tcMar>
              <w:top w:w="80" w:type="dxa"/>
              <w:left w:w="100" w:type="dxa"/>
              <w:bottom w:w="80" w:type="dxa"/>
              <w:right w:w="100" w:type="dxa"/>
            </w:tcMar>
            <w:vAlign w:val="center"/>
          </w:tcPr>
          <w:p>
            <w:r>
              <w:t>0.146</w:t>
            </w:r>
          </w:p>
        </w:tc>
        <w:tc>
          <w:tcPr>
            <w:tcW w:w="1464" w:type="dxa"/>
            <w:tcMar>
              <w:top w:w="80" w:type="dxa"/>
              <w:left w:w="100" w:type="dxa"/>
              <w:bottom w:w="80" w:type="dxa"/>
              <w:right w:w="100" w:type="dxa"/>
            </w:tcMar>
            <w:vAlign w:val="center"/>
          </w:tcPr>
          <w:p>
            <w:r>
              <w:t>0.796</w:t>
            </w:r>
          </w:p>
        </w:tc>
        <w:tc>
          <w:tcPr>
            <w:tcW w:w="1464" w:type="dxa"/>
            <w:tcMar>
              <w:top w:w="80" w:type="dxa"/>
              <w:left w:w="100" w:type="dxa"/>
              <w:bottom w:w="80" w:type="dxa"/>
              <w:right w:w="100" w:type="dxa"/>
            </w:tcMar>
            <w:vAlign w:val="center"/>
          </w:tcPr>
          <w:p>
            <w:r>
              <w:t>0.162</w:t>
            </w:r>
          </w:p>
        </w:tc>
        <w:tc>
          <w:tcPr>
            <w:tcW w:w="1468" w:type="dxa"/>
            <w:tcMar>
              <w:top w:w="80" w:type="dxa"/>
              <w:left w:w="100" w:type="dxa"/>
              <w:bottom w:w="80" w:type="dxa"/>
              <w:right w:w="100" w:type="dxa"/>
            </w:tcMar>
            <w:vAlign w:val="center"/>
          </w:tcPr>
          <w:p>
            <w:r>
              <w:t>0.0294</w:t>
            </w:r>
          </w:p>
        </w:tc>
      </w:tr>
      <w:tr w:rsidR="000817FF" w14:paraId="0055E4D0"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0.806</w:t>
            </w:r>
          </w:p>
        </w:tc>
        <w:tc>
          <w:tcPr>
            <w:tcW w:w="1464" w:type="dxa"/>
            <w:tcMar>
              <w:top w:w="80" w:type="dxa"/>
              <w:left w:w="100" w:type="dxa"/>
              <w:bottom w:w="80" w:type="dxa"/>
              <w:right w:w="100" w:type="dxa"/>
            </w:tcMar>
            <w:vAlign w:val="center"/>
          </w:tcPr>
          <w:p>
            <w:r>
              <w:t>0.152</w:t>
            </w:r>
          </w:p>
        </w:tc>
        <w:tc>
          <w:tcPr>
            <w:tcW w:w="1464" w:type="dxa"/>
            <w:tcMar>
              <w:top w:w="80" w:type="dxa"/>
              <w:left w:w="100" w:type="dxa"/>
              <w:bottom w:w="80" w:type="dxa"/>
              <w:right w:w="100" w:type="dxa"/>
            </w:tcMar>
            <w:vAlign w:val="center"/>
          </w:tcPr>
          <w:p>
            <w:r>
              <w:t>0.801</w:t>
            </w:r>
          </w:p>
        </w:tc>
        <w:tc>
          <w:tcPr>
            <w:tcW w:w="1464" w:type="dxa"/>
            <w:tcMar>
              <w:top w:w="80" w:type="dxa"/>
              <w:left w:w="100" w:type="dxa"/>
              <w:bottom w:w="80" w:type="dxa"/>
              <w:right w:w="100" w:type="dxa"/>
            </w:tcMar>
            <w:vAlign w:val="center"/>
          </w:tcPr>
          <w:p>
            <w:r>
              <w:t>0.164</w:t>
            </w:r>
          </w:p>
        </w:tc>
        <w:tc>
          <w:tcPr>
            <w:tcW w:w="1468" w:type="dxa"/>
            <w:tcMar>
              <w:top w:w="80" w:type="dxa"/>
              <w:left w:w="100" w:type="dxa"/>
              <w:bottom w:w="80" w:type="dxa"/>
              <w:right w:w="100" w:type="dxa"/>
            </w:tcMar>
            <w:vAlign w:val="center"/>
          </w:tcPr>
          <w:p>
            <w:r>
              <w:t>0.0283</w:t>
            </w:r>
          </w:p>
        </w:tc>
      </w:tr>
      <w:tr w:rsidR="000817FF" w14:paraId="56867D0B"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0.814</w:t>
            </w:r>
          </w:p>
        </w:tc>
        <w:tc>
          <w:tcPr>
            <w:tcW w:w="1464" w:type="dxa"/>
            <w:tcMar>
              <w:top w:w="80" w:type="dxa"/>
              <w:left w:w="100" w:type="dxa"/>
              <w:bottom w:w="80" w:type="dxa"/>
              <w:right w:w="100" w:type="dxa"/>
            </w:tcMar>
            <w:vAlign w:val="center"/>
          </w:tcPr>
          <w:p>
            <w:r>
              <w:t>0.157</w:t>
            </w:r>
          </w:p>
        </w:tc>
        <w:tc>
          <w:tcPr>
            <w:tcW w:w="1464" w:type="dxa"/>
            <w:tcMar>
              <w:top w:w="80" w:type="dxa"/>
              <w:left w:w="100" w:type="dxa"/>
              <w:bottom w:w="80" w:type="dxa"/>
              <w:right w:w="100" w:type="dxa"/>
            </w:tcMar>
            <w:vAlign w:val="center"/>
          </w:tcPr>
          <w:p>
            <w:r>
              <w:t>0.805</w:t>
            </w:r>
          </w:p>
        </w:tc>
        <w:tc>
          <w:tcPr>
            <w:tcW w:w="1464" w:type="dxa"/>
            <w:tcMar>
              <w:top w:w="80" w:type="dxa"/>
              <w:left w:w="100" w:type="dxa"/>
              <w:bottom w:w="80" w:type="dxa"/>
              <w:right w:w="100" w:type="dxa"/>
            </w:tcMar>
            <w:vAlign w:val="center"/>
          </w:tcPr>
          <w:p>
            <w:r>
              <w:t>0.173</w:t>
            </w:r>
          </w:p>
        </w:tc>
        <w:tc>
          <w:tcPr>
            <w:tcW w:w="1468" w:type="dxa"/>
            <w:tcMar>
              <w:top w:w="80" w:type="dxa"/>
              <w:left w:w="100" w:type="dxa"/>
              <w:bottom w:w="80" w:type="dxa"/>
              <w:right w:w="100" w:type="dxa"/>
            </w:tcMar>
            <w:vAlign w:val="center"/>
          </w:tcPr>
          <w:p>
            <w:r>
              <w:t>0.0284</w:t>
            </w:r>
          </w:p>
        </w:tc>
      </w:tr>
    </w:tbl>
    <w:p w14:paraId="0077EA1D" w14:textId="77777777" w:rsidR="000817FF" w:rsidRDefault="000817FF"/>
    <w:p w14:paraId="135D0938" w14:textId="77777777" w:rsidR="000817FF" w:rsidRDefault="00FB291E">
      <w:pPr>
        <w:spacing w:after="120" w:line="360" w:lineRule="auto"/>
        <w:ind w:firstLine="420"/>
      </w:pPr>
      <w:r>
        <w:t>XGBoost 在验证集中的 ROC-AUC 为 0.814，average precision 为 0.157；在测试集中的 ROC-AUC 为 0.805，average precision 为 0.173，Brier score 为 0.0284。与核心特征集相比，增强特征集加入经泄漏筛查的表型和更多报告结构特征后，排序能力进一步提高。</w:t>
      </w:r>
    </w:p>
    <w:p w14:paraId="73376309" w14:textId="77777777" w:rsidR="000817FF" w:rsidRDefault="00FB291E">
      <w:pPr>
        <w:spacing w:after="120" w:line="360" w:lineRule="auto"/>
        <w:ind w:firstLine="420"/>
      </w:pPr>
      <w:r>
        <w:rPr>
          <w:sz w:val="21"/>
        </w:rPr>
        <w:t>需要注意的是，虽然</w:t>
      </w:r>
      <w:r>
        <w:rPr>
          <w:sz w:val="21"/>
        </w:rPr>
        <w:t xml:space="preserve"> ROC-AUC </w:t>
      </w:r>
      <w:r>
        <w:rPr>
          <w:sz w:val="21"/>
        </w:rPr>
        <w:t>表现尚可，但</w:t>
      </w:r>
      <w:r>
        <w:rPr>
          <w:sz w:val="21"/>
        </w:rPr>
        <w:t xml:space="preserve"> average precision </w:t>
      </w:r>
      <w:r>
        <w:rPr>
          <w:sz w:val="21"/>
        </w:rPr>
        <w:t>绝对值不高。这与测试集中阳性事件比例较低有关，也说明模型更适合作为病例风险排序工具，而不适合作为单独的临床判别工具。</w:t>
      </w:r>
    </w:p>
    <w:p w14:paraId="2EDF56BB" w14:textId="77777777" w:rsidR="000817FF" w:rsidRDefault="00FB291E">
      <w:pPr>
        <w:pStyle w:val="21"/>
        <w:spacing w:before="160" w:after="80"/>
      </w:pPr>
      <w:bookmarkStart w:id="73" w:name="_Toc230281372"/>
      <w:r>
        <w:rPr>
          <w:rFonts w:ascii="Times New Roman" w:eastAsia="宋体" w:hAnsi="Times New Roman"/>
        </w:rPr>
        <w:t xml:space="preserve">5.6 </w:t>
      </w:r>
      <w:r>
        <w:rPr>
          <w:rFonts w:ascii="Times New Roman" w:eastAsia="宋体" w:hAnsi="Times New Roman"/>
        </w:rPr>
        <w:t>阈值下分类表现</w:t>
      </w:r>
      <w:bookmarkEnd w:id="73"/>
    </w:p>
    <w:p w14:paraId="490F08F1" w14:textId="77777777" w:rsidR="000817FF" w:rsidRDefault="00FB291E">
      <w:pPr>
        <w:spacing w:after="120" w:line="360" w:lineRule="auto"/>
        <w:ind w:firstLine="420"/>
      </w:pPr>
      <w:r>
        <w:rPr>
          <w:sz w:val="21"/>
        </w:rPr>
        <w:t>本研究在验证集上选择分类阈值，并将该阈值应用于</w:t>
      </w:r>
      <w:r>
        <w:rPr>
          <w:sz w:val="21"/>
        </w:rPr>
        <w:t xml:space="preserve"> 2025 </w:t>
      </w:r>
      <w:r>
        <w:rPr>
          <w:sz w:val="21"/>
        </w:rPr>
        <w:t>年测试集。表</w:t>
      </w:r>
      <w:r>
        <w:rPr>
          <w:sz w:val="21"/>
        </w:rPr>
        <w:t xml:space="preserve"> 5-2 </w:t>
      </w:r>
      <w:r>
        <w:rPr>
          <w:sz w:val="21"/>
        </w:rPr>
        <w:t>显示三类模型在测试集阈值下的分类表现。</w:t>
      </w:r>
    </w:p>
    <w:p w14:paraId="60D6EA8D" w14:textId="77777777" w:rsidR="000817FF" w:rsidRDefault="00FB291E">
      <w:pPr>
        <w:spacing w:after="120" w:line="360" w:lineRule="auto"/>
        <w:ind w:firstLine="420"/>
      </w:pPr>
      <w:r>
        <w:rPr>
          <w:sz w:val="21"/>
        </w:rPr>
        <w:t>表</w:t>
      </w:r>
      <w:r>
        <w:rPr>
          <w:sz w:val="21"/>
        </w:rPr>
        <w:t xml:space="preserve"> 5-2 </w:t>
      </w:r>
      <w:r>
        <w:rPr>
          <w:sz w:val="21"/>
        </w:rPr>
        <w:t>三类模型在</w:t>
      </w:r>
      <w:r>
        <w:rPr>
          <w:sz w:val="21"/>
        </w:rPr>
        <w:t xml:space="preserve"> 2025 </w:t>
      </w:r>
      <w:r>
        <w:rPr>
          <w:sz w:val="21"/>
        </w:rPr>
        <w:t>年测试集中的阈值分类表现</w:t>
      </w:r>
    </w:p>
    <w:tbl>
      <w:tblPr>
        <w:tblStyle w:val="aff1"/>
        <w:tblW w:w="8788" w:type="dxa"/>
        <w:tblLayout w:type="fixed"/>
        <w:tblLook w:val="04A0" w:firstRow="1" w:lastRow="0" w:firstColumn="1" w:lastColumn="0" w:noHBand="0" w:noVBand="1"/>
      </w:tblPr>
      <w:tblGrid>
        <w:gridCol w:w="1255"/>
        <w:gridCol w:w="1255"/>
        <w:gridCol w:w="1255"/>
        <w:gridCol w:w="1255"/>
        <w:gridCol w:w="1255"/>
        <w:gridCol w:w="1255"/>
        <w:gridCol w:w="1258"/>
      </w:tblGrid>
      <w:tr w:rsidR="000817FF" w14:paraId="03C5CC16" w14:textId="77777777">
        <w:tc>
          <w:tcPr>
            <w:tcW w:w="1255" w:type="dxa"/>
            <w:shd w:val="clear" w:color="auto" w:fill="EDEDED"/>
            <w:tcMar>
              <w:top w:w="80" w:type="dxa"/>
              <w:left w:w="100" w:type="dxa"/>
              <w:bottom w:w="80" w:type="dxa"/>
              <w:right w:w="100" w:type="dxa"/>
            </w:tcMar>
            <w:vAlign w:val="center"/>
          </w:tcPr>
          <w:p w14:paraId="2FF11DBB" w14:textId="77777777" w:rsidR="000817FF" w:rsidRDefault="00FB291E">
            <w:pPr>
              <w:jc w:val="center"/>
            </w:pPr>
            <w:r>
              <w:rPr>
                <w:b/>
                <w:sz w:val="18"/>
              </w:rPr>
              <w:t>模型</w:t>
            </w:r>
          </w:p>
        </w:tc>
        <w:tc>
          <w:tcPr>
            <w:tcW w:w="1255" w:type="dxa"/>
            <w:shd w:val="clear" w:color="auto" w:fill="EDEDED"/>
            <w:tcMar>
              <w:top w:w="80" w:type="dxa"/>
              <w:left w:w="100" w:type="dxa"/>
              <w:bottom w:w="80" w:type="dxa"/>
              <w:right w:w="100" w:type="dxa"/>
            </w:tcMar>
            <w:vAlign w:val="center"/>
          </w:tcPr>
          <w:p w14:paraId="500E6819" w14:textId="77777777" w:rsidR="000817FF" w:rsidRDefault="00FB291E">
            <w:pPr>
              <w:jc w:val="center"/>
            </w:pPr>
            <w:r>
              <w:rPr>
                <w:b/>
                <w:sz w:val="18"/>
              </w:rPr>
              <w:t>阈值</w:t>
            </w:r>
          </w:p>
        </w:tc>
        <w:tc>
          <w:tcPr>
            <w:tcW w:w="1255" w:type="dxa"/>
            <w:shd w:val="clear" w:color="auto" w:fill="EDEDED"/>
            <w:tcMar>
              <w:top w:w="80" w:type="dxa"/>
              <w:left w:w="100" w:type="dxa"/>
              <w:bottom w:w="80" w:type="dxa"/>
              <w:right w:w="100" w:type="dxa"/>
            </w:tcMar>
            <w:vAlign w:val="center"/>
          </w:tcPr>
          <w:p w14:paraId="53BC66C4" w14:textId="77777777" w:rsidR="000817FF" w:rsidRDefault="00FB291E">
            <w:pPr>
              <w:jc w:val="center"/>
            </w:pPr>
            <w:r>
              <w:rPr>
                <w:b/>
                <w:sz w:val="18"/>
              </w:rPr>
              <w:t>准确率</w:t>
            </w:r>
          </w:p>
        </w:tc>
        <w:tc>
          <w:tcPr>
            <w:tcW w:w="1255" w:type="dxa"/>
            <w:shd w:val="clear" w:color="auto" w:fill="EDEDED"/>
            <w:tcMar>
              <w:top w:w="80" w:type="dxa"/>
              <w:left w:w="100" w:type="dxa"/>
              <w:bottom w:w="80" w:type="dxa"/>
              <w:right w:w="100" w:type="dxa"/>
            </w:tcMar>
            <w:vAlign w:val="center"/>
          </w:tcPr>
          <w:p w14:paraId="7DBF4551" w14:textId="77777777" w:rsidR="000817FF" w:rsidRDefault="00FB291E">
            <w:pPr>
              <w:jc w:val="center"/>
            </w:pPr>
            <w:r>
              <w:rPr>
                <w:b/>
                <w:sz w:val="18"/>
              </w:rPr>
              <w:t>精确率</w:t>
            </w:r>
          </w:p>
        </w:tc>
        <w:tc>
          <w:tcPr>
            <w:tcW w:w="1255" w:type="dxa"/>
            <w:shd w:val="clear" w:color="auto" w:fill="EDEDED"/>
            <w:tcMar>
              <w:top w:w="80" w:type="dxa"/>
              <w:left w:w="100" w:type="dxa"/>
              <w:bottom w:w="80" w:type="dxa"/>
              <w:right w:w="100" w:type="dxa"/>
            </w:tcMar>
            <w:vAlign w:val="center"/>
          </w:tcPr>
          <w:p w14:paraId="2DD325A5" w14:textId="77777777" w:rsidR="000817FF" w:rsidRDefault="00FB291E">
            <w:pPr>
              <w:jc w:val="center"/>
            </w:pPr>
            <w:r>
              <w:rPr>
                <w:b/>
                <w:sz w:val="18"/>
              </w:rPr>
              <w:t>召回率</w:t>
            </w:r>
          </w:p>
        </w:tc>
        <w:tc>
          <w:tcPr>
            <w:tcW w:w="1255" w:type="dxa"/>
            <w:shd w:val="clear" w:color="auto" w:fill="EDEDED"/>
            <w:tcMar>
              <w:top w:w="80" w:type="dxa"/>
              <w:left w:w="100" w:type="dxa"/>
              <w:bottom w:w="80" w:type="dxa"/>
              <w:right w:w="100" w:type="dxa"/>
            </w:tcMar>
            <w:vAlign w:val="center"/>
          </w:tcPr>
          <w:p w14:paraId="1857F01A" w14:textId="77777777" w:rsidR="000817FF" w:rsidRDefault="00FB291E">
            <w:pPr>
              <w:jc w:val="center"/>
            </w:pPr>
            <w:r>
              <w:rPr>
                <w:b/>
                <w:sz w:val="18"/>
              </w:rPr>
              <w:t xml:space="preserve">F1 </w:t>
            </w:r>
            <w:r>
              <w:rPr>
                <w:b/>
                <w:sz w:val="18"/>
              </w:rPr>
              <w:t>值</w:t>
            </w:r>
          </w:p>
        </w:tc>
        <w:tc>
          <w:tcPr>
            <w:tcW w:w="1258" w:type="dxa"/>
            <w:shd w:val="clear" w:color="auto" w:fill="EDEDED"/>
            <w:tcMar>
              <w:top w:w="80" w:type="dxa"/>
              <w:left w:w="100" w:type="dxa"/>
              <w:bottom w:w="80" w:type="dxa"/>
              <w:right w:w="100" w:type="dxa"/>
            </w:tcMar>
            <w:vAlign w:val="center"/>
          </w:tcPr>
          <w:p w14:paraId="00A2E207" w14:textId="77777777" w:rsidR="000817FF" w:rsidRDefault="00FB291E">
            <w:pPr>
              <w:jc w:val="center"/>
            </w:pPr>
            <w:r>
              <w:rPr>
                <w:b/>
                <w:sz w:val="18"/>
              </w:rPr>
              <w:t>特异度</w:t>
            </w:r>
          </w:p>
        </w:tc>
      </w:tr>
      <w:tr w:rsidR="000817FF" w14:paraId="374B405F" w14:textId="77777777">
        <w:tc>
          <w:tcPr>
            <w:tcW w:w="1255" w:type="dxa"/>
            <w:tcMar>
              <w:top w:w="80" w:type="dxa"/>
              <w:left w:w="100" w:type="dxa"/>
              <w:bottom w:w="80" w:type="dxa"/>
              <w:right w:w="100" w:type="dxa"/>
            </w:tcMar>
            <w:vAlign w:val="center"/>
          </w:tcPr>
          <w:p>
            <w:r>
              <w:t>逻辑回归</w:t>
            </w:r>
          </w:p>
        </w:tc>
        <w:tc>
          <w:tcPr>
            <w:tcW w:w="1255" w:type="dxa"/>
            <w:tcMar>
              <w:top w:w="80" w:type="dxa"/>
              <w:left w:w="100" w:type="dxa"/>
              <w:bottom w:w="80" w:type="dxa"/>
              <w:right w:w="100" w:type="dxa"/>
            </w:tcMar>
            <w:vAlign w:val="center"/>
          </w:tcPr>
          <w:p>
            <w:r>
              <w:t>0.0229</w:t>
            </w:r>
          </w:p>
        </w:tc>
        <w:tc>
          <w:tcPr>
            <w:tcW w:w="1255" w:type="dxa"/>
            <w:tcMar>
              <w:top w:w="80" w:type="dxa"/>
              <w:left w:w="100" w:type="dxa"/>
              <w:bottom w:w="80" w:type="dxa"/>
              <w:right w:w="100" w:type="dxa"/>
            </w:tcMar>
            <w:vAlign w:val="center"/>
          </w:tcPr>
          <w:p>
            <w:r>
              <w:t>0.720</w:t>
            </w:r>
          </w:p>
        </w:tc>
        <w:tc>
          <w:tcPr>
            <w:tcW w:w="1255" w:type="dxa"/>
            <w:tcMar>
              <w:top w:w="80" w:type="dxa"/>
              <w:left w:w="100" w:type="dxa"/>
              <w:bottom w:w="80" w:type="dxa"/>
              <w:right w:w="100" w:type="dxa"/>
            </w:tcMar>
            <w:vAlign w:val="center"/>
          </w:tcPr>
          <w:p>
            <w:r>
              <w:t>0.078</w:t>
            </w:r>
          </w:p>
        </w:tc>
        <w:tc>
          <w:tcPr>
            <w:tcW w:w="1255" w:type="dxa"/>
            <w:tcMar>
              <w:top w:w="80" w:type="dxa"/>
              <w:left w:w="100" w:type="dxa"/>
              <w:bottom w:w="80" w:type="dxa"/>
              <w:right w:w="100" w:type="dxa"/>
            </w:tcMar>
            <w:vAlign w:val="center"/>
          </w:tcPr>
          <w:p>
            <w:r>
              <w:t>0.731</w:t>
            </w:r>
          </w:p>
        </w:tc>
        <w:tc>
          <w:tcPr>
            <w:tcW w:w="1255" w:type="dxa"/>
            <w:tcMar>
              <w:top w:w="80" w:type="dxa"/>
              <w:left w:w="100" w:type="dxa"/>
              <w:bottom w:w="80" w:type="dxa"/>
              <w:right w:w="100" w:type="dxa"/>
            </w:tcMar>
            <w:vAlign w:val="center"/>
          </w:tcPr>
          <w:p>
            <w:r>
              <w:t>0.141</w:t>
            </w:r>
          </w:p>
        </w:tc>
        <w:tc>
          <w:tcPr>
            <w:tcW w:w="1258" w:type="dxa"/>
            <w:tcMar>
              <w:top w:w="80" w:type="dxa"/>
              <w:left w:w="100" w:type="dxa"/>
              <w:bottom w:w="80" w:type="dxa"/>
              <w:right w:w="100" w:type="dxa"/>
            </w:tcMar>
            <w:vAlign w:val="center"/>
          </w:tcPr>
          <w:p>
            <w:r>
              <w:t>0.719</w:t>
            </w:r>
          </w:p>
        </w:tc>
      </w:tr>
      <w:tr w:rsidR="000817FF" w14:paraId="6D32CF8E" w14:textId="77777777">
        <w:tc>
          <w:tcPr>
            <w:tcW w:w="1255" w:type="dxa"/>
            <w:tcMar>
              <w:top w:w="80" w:type="dxa"/>
              <w:left w:w="100" w:type="dxa"/>
              <w:bottom w:w="80" w:type="dxa"/>
              <w:right w:w="100" w:type="dxa"/>
            </w:tcMar>
            <w:vAlign w:val="center"/>
          </w:tcPr>
          <w:p>
            <w:r>
              <w:t>随机森林</w:t>
            </w:r>
          </w:p>
        </w:tc>
        <w:tc>
          <w:tcPr>
            <w:tcW w:w="1255" w:type="dxa"/>
            <w:tcMar>
              <w:top w:w="80" w:type="dxa"/>
              <w:left w:w="100" w:type="dxa"/>
              <w:bottom w:w="80" w:type="dxa"/>
              <w:right w:w="100" w:type="dxa"/>
            </w:tcMar>
            <w:vAlign w:val="center"/>
          </w:tcPr>
          <w:p>
            <w:r>
              <w:t>0.0250</w:t>
            </w:r>
          </w:p>
        </w:tc>
        <w:tc>
          <w:tcPr>
            <w:tcW w:w="1255" w:type="dxa"/>
            <w:tcMar>
              <w:top w:w="80" w:type="dxa"/>
              <w:left w:w="100" w:type="dxa"/>
              <w:bottom w:w="80" w:type="dxa"/>
              <w:right w:w="100" w:type="dxa"/>
            </w:tcMar>
            <w:vAlign w:val="center"/>
          </w:tcPr>
          <w:p>
            <w:r>
              <w:t>0.698</w:t>
            </w:r>
          </w:p>
        </w:tc>
        <w:tc>
          <w:tcPr>
            <w:tcW w:w="1255" w:type="dxa"/>
            <w:tcMar>
              <w:top w:w="80" w:type="dxa"/>
              <w:left w:w="100" w:type="dxa"/>
              <w:bottom w:w="80" w:type="dxa"/>
              <w:right w:w="100" w:type="dxa"/>
            </w:tcMar>
            <w:vAlign w:val="center"/>
          </w:tcPr>
          <w:p>
            <w:r>
              <w:t>0.075</w:t>
            </w:r>
          </w:p>
        </w:tc>
        <w:tc>
          <w:tcPr>
            <w:tcW w:w="1255" w:type="dxa"/>
            <w:tcMar>
              <w:top w:w="80" w:type="dxa"/>
              <w:left w:w="100" w:type="dxa"/>
              <w:bottom w:w="80" w:type="dxa"/>
              <w:right w:w="100" w:type="dxa"/>
            </w:tcMar>
            <w:vAlign w:val="center"/>
          </w:tcPr>
          <w:p>
            <w:r>
              <w:t>0.758</w:t>
            </w:r>
          </w:p>
        </w:tc>
        <w:tc>
          <w:tcPr>
            <w:tcW w:w="1255" w:type="dxa"/>
            <w:tcMar>
              <w:top w:w="80" w:type="dxa"/>
              <w:left w:w="100" w:type="dxa"/>
              <w:bottom w:w="80" w:type="dxa"/>
              <w:right w:w="100" w:type="dxa"/>
            </w:tcMar>
            <w:vAlign w:val="center"/>
          </w:tcPr>
          <w:p>
            <w:r>
              <w:t>0.136</w:t>
            </w:r>
          </w:p>
        </w:tc>
        <w:tc>
          <w:tcPr>
            <w:tcW w:w="1258" w:type="dxa"/>
            <w:tcMar>
              <w:top w:w="80" w:type="dxa"/>
              <w:left w:w="100" w:type="dxa"/>
              <w:bottom w:w="80" w:type="dxa"/>
              <w:right w:w="100" w:type="dxa"/>
            </w:tcMar>
            <w:vAlign w:val="center"/>
          </w:tcPr>
          <w:p>
            <w:r>
              <w:t>0.696</w:t>
            </w:r>
          </w:p>
        </w:tc>
      </w:tr>
      <w:tr w:rsidR="000817FF" w14:paraId="65705F73" w14:textId="77777777">
        <w:tc>
          <w:tcPr>
            <w:tcW w:w="1255" w:type="dxa"/>
            <w:tcMar>
              <w:top w:w="80" w:type="dxa"/>
              <w:left w:w="100" w:type="dxa"/>
              <w:bottom w:w="80" w:type="dxa"/>
              <w:right w:w="100" w:type="dxa"/>
            </w:tcMar>
            <w:vAlign w:val="center"/>
          </w:tcPr>
          <w:p>
            <w:r>
              <w:t>XGBoost</w:t>
            </w:r>
          </w:p>
        </w:tc>
        <w:tc>
          <w:tcPr>
            <w:tcW w:w="1255" w:type="dxa"/>
            <w:tcMar>
              <w:top w:w="80" w:type="dxa"/>
              <w:left w:w="100" w:type="dxa"/>
              <w:bottom w:w="80" w:type="dxa"/>
              <w:right w:w="100" w:type="dxa"/>
            </w:tcMar>
            <w:vAlign w:val="center"/>
          </w:tcPr>
          <w:p>
            <w:r>
              <w:t>0.0215</w:t>
            </w:r>
          </w:p>
        </w:tc>
        <w:tc>
          <w:tcPr>
            <w:tcW w:w="1255" w:type="dxa"/>
            <w:tcMar>
              <w:top w:w="80" w:type="dxa"/>
              <w:left w:w="100" w:type="dxa"/>
              <w:bottom w:w="80" w:type="dxa"/>
              <w:right w:w="100" w:type="dxa"/>
            </w:tcMar>
            <w:vAlign w:val="center"/>
          </w:tcPr>
          <w:p>
            <w:r>
              <w:t>0.683</w:t>
            </w:r>
          </w:p>
        </w:tc>
        <w:tc>
          <w:tcPr>
            <w:tcW w:w="1255" w:type="dxa"/>
            <w:tcMar>
              <w:top w:w="80" w:type="dxa"/>
              <w:left w:w="100" w:type="dxa"/>
              <w:bottom w:w="80" w:type="dxa"/>
              <w:right w:w="100" w:type="dxa"/>
            </w:tcMar>
            <w:vAlign w:val="center"/>
          </w:tcPr>
          <w:p>
            <w:r>
              <w:t>0.073</w:t>
            </w:r>
          </w:p>
        </w:tc>
        <w:tc>
          <w:tcPr>
            <w:tcW w:w="1255" w:type="dxa"/>
            <w:tcMar>
              <w:top w:w="80" w:type="dxa"/>
              <w:left w:w="100" w:type="dxa"/>
              <w:bottom w:w="80" w:type="dxa"/>
              <w:right w:w="100" w:type="dxa"/>
            </w:tcMar>
            <w:vAlign w:val="center"/>
          </w:tcPr>
          <w:p>
            <w:r>
              <w:t>0.778</w:t>
            </w:r>
          </w:p>
        </w:tc>
        <w:tc>
          <w:tcPr>
            <w:tcW w:w="1255" w:type="dxa"/>
            <w:tcMar>
              <w:top w:w="80" w:type="dxa"/>
              <w:left w:w="100" w:type="dxa"/>
              <w:bottom w:w="80" w:type="dxa"/>
              <w:right w:w="100" w:type="dxa"/>
            </w:tcMar>
            <w:vAlign w:val="center"/>
          </w:tcPr>
          <w:p>
            <w:r>
              <w:t>0.134</w:t>
            </w:r>
          </w:p>
        </w:tc>
        <w:tc>
          <w:tcPr>
            <w:tcW w:w="1258" w:type="dxa"/>
            <w:tcMar>
              <w:top w:w="80" w:type="dxa"/>
              <w:left w:w="100" w:type="dxa"/>
              <w:bottom w:w="80" w:type="dxa"/>
              <w:right w:w="100" w:type="dxa"/>
            </w:tcMar>
            <w:vAlign w:val="center"/>
          </w:tcPr>
          <w:p>
            <w:r>
              <w:t>0.680</w:t>
            </w:r>
          </w:p>
        </w:tc>
      </w:tr>
    </w:tbl>
    <w:p w14:paraId="230A9D0A" w14:textId="77777777" w:rsidR="000817FF" w:rsidRDefault="000817FF"/>
    <w:p w14:paraId="69374F70" w14:textId="77777777" w:rsidR="000817FF" w:rsidRDefault="00FB291E">
      <w:pPr>
        <w:spacing w:after="120" w:line="360" w:lineRule="auto"/>
        <w:ind w:firstLine="420"/>
      </w:pPr>
      <w:r>
        <w:t>从分类指标看，三类模型在测试集中的召回率较高，均能识别较多跌倒事件病例；但精确率仍然较低，约为 7%-8%。这种结果符合类别不平衡任务的常见特点。由于测试集阳性比例仅为 3.15%，即便模型能够提高阳性病例识别比例，精确率仍然不会很高。</w:t>
      </w:r>
    </w:p>
    <w:p w14:paraId="09EF6E7B" w14:textId="77777777" w:rsidR="000817FF" w:rsidRDefault="00FB291E">
      <w:pPr>
        <w:spacing w:after="120" w:line="360" w:lineRule="auto"/>
        <w:ind w:firstLine="420"/>
      </w:pPr>
      <w:r>
        <w:rPr>
          <w:sz w:val="21"/>
        </w:rPr>
        <w:t>因此，本研究不将该模型解释为</w:t>
      </w:r>
      <w:r>
        <w:rPr>
          <w:sz w:val="21"/>
        </w:rPr>
        <w:t>“</w:t>
      </w:r>
      <w:r>
        <w:rPr>
          <w:sz w:val="21"/>
        </w:rPr>
        <w:t>准确预测某个病例一定会跌倒</w:t>
      </w:r>
      <w:r>
        <w:rPr>
          <w:sz w:val="21"/>
        </w:rPr>
        <w:t>”</w:t>
      </w:r>
      <w:r>
        <w:rPr>
          <w:sz w:val="21"/>
        </w:rPr>
        <w:t>的工具，而是将其解释为一种高风险报告排序方法。也就是说，模型可以帮助研究者在大量</w:t>
      </w:r>
      <w:r>
        <w:rPr>
          <w:sz w:val="21"/>
        </w:rPr>
        <w:t xml:space="preserve"> FAERS </w:t>
      </w:r>
      <w:r>
        <w:rPr>
          <w:sz w:val="21"/>
        </w:rPr>
        <w:t>报告中优先关注跌倒事件可能性较高的病例，但不能替代临床判断。</w:t>
      </w:r>
    </w:p>
    <w:p w14:paraId="416E22A6" w14:textId="77777777" w:rsidR="000817FF" w:rsidRDefault="00FB291E">
      <w:pPr>
        <w:pStyle w:val="21"/>
        <w:spacing w:before="160" w:after="80"/>
      </w:pPr>
      <w:bookmarkStart w:id="74" w:name="_Toc230281373"/>
      <w:r>
        <w:rPr>
          <w:rFonts w:ascii="Times New Roman" w:eastAsia="宋体" w:hAnsi="Times New Roman"/>
        </w:rPr>
        <w:t xml:space="preserve">5.7 </w:t>
      </w:r>
      <w:r>
        <w:rPr>
          <w:rFonts w:ascii="Times New Roman" w:eastAsia="宋体" w:hAnsi="Times New Roman"/>
        </w:rPr>
        <w:t>高风险分层识别能力</w:t>
      </w:r>
      <w:bookmarkEnd w:id="74"/>
    </w:p>
    <w:p w14:paraId="39341C76" w14:textId="77777777" w:rsidR="000817FF" w:rsidRDefault="00FB291E">
      <w:pPr>
        <w:spacing w:after="120" w:line="360" w:lineRule="auto"/>
        <w:ind w:firstLine="420"/>
      </w:pPr>
      <w:r>
        <w:t>相比单一阈值分类，高风险排序能力更符合本研究中机器学习模型的定位。本研究按模型预测概率对测试集病例进行排序，观察前 5% 和前 10% 高风险病例中的严格跌倒事件比例。</w:t>
      </w:r>
    </w:p>
    <w:p w14:paraId="1F34B2C3" w14:textId="77777777" w:rsidR="000817FF" w:rsidRDefault="00FB291E">
      <w:pPr>
        <w:spacing w:after="120" w:line="360" w:lineRule="auto"/>
        <w:ind w:firstLine="420"/>
      </w:pPr>
      <w:r>
        <w:t>测试集中严格跌倒事件总体阳性比例为 3.15%。XGBoost 模型前 5% 高风险病例中的阳性比例为 18.98%，约为总体阳性比例的 6.03 倍；前 10% 高风险病例中的阳性比例为 14.03%，约为总体阳性比例的 4.46 倍。随机森林前 5% 和前 10% 高风险病例阳性比例分别为 18.34% 和 13.75%；逻辑回归分别为 18.56% 和 13.52%。</w:t>
      </w:r>
    </w:p>
    <w:p w14:paraId="43BA98CA" w14:textId="77777777" w:rsidR="000817FF" w:rsidRDefault="00FB291E">
      <w:pPr>
        <w:spacing w:after="120" w:line="360" w:lineRule="auto"/>
        <w:ind w:firstLine="420"/>
      </w:pPr>
      <w:r>
        <w:rPr>
          <w:sz w:val="21"/>
        </w:rPr>
        <w:t>表</w:t>
      </w:r>
      <w:r>
        <w:rPr>
          <w:sz w:val="21"/>
        </w:rPr>
        <w:t xml:space="preserve"> 5-3 </w:t>
      </w:r>
      <w:r>
        <w:rPr>
          <w:sz w:val="21"/>
        </w:rPr>
        <w:t>显示三类模型的高风险分层表现。</w:t>
      </w:r>
    </w:p>
    <w:p w14:paraId="68844ED4" w14:textId="77777777" w:rsidR="000817FF" w:rsidRDefault="00FB291E">
      <w:pPr>
        <w:spacing w:after="120" w:line="360" w:lineRule="auto"/>
        <w:ind w:firstLine="420"/>
      </w:pPr>
      <w:r>
        <w:rPr>
          <w:sz w:val="21"/>
        </w:rPr>
        <w:t>表</w:t>
      </w:r>
      <w:r>
        <w:rPr>
          <w:sz w:val="21"/>
        </w:rPr>
        <w:t xml:space="preserve"> 5-3 </w:t>
      </w:r>
      <w:r>
        <w:rPr>
          <w:sz w:val="21"/>
        </w:rPr>
        <w:t>三类模型在</w:t>
      </w:r>
      <w:r>
        <w:rPr>
          <w:sz w:val="21"/>
        </w:rPr>
        <w:t xml:space="preserve"> 2025 </w:t>
      </w:r>
      <w:r>
        <w:rPr>
          <w:sz w:val="21"/>
        </w:rPr>
        <w:t>年测试集中的高风险分层表现</w:t>
      </w:r>
    </w:p>
    <w:tbl>
      <w:tblPr>
        <w:tblStyle w:val="aff1"/>
        <w:tblW w:w="8788" w:type="dxa"/>
        <w:tblLayout w:type="fixed"/>
        <w:tblLook w:val="04A0" w:firstRow="1" w:lastRow="0" w:firstColumn="1" w:lastColumn="0" w:noHBand="0" w:noVBand="1"/>
      </w:tblPr>
      <w:tblGrid>
        <w:gridCol w:w="1464"/>
        <w:gridCol w:w="1464"/>
        <w:gridCol w:w="1464"/>
        <w:gridCol w:w="1464"/>
        <w:gridCol w:w="1464"/>
        <w:gridCol w:w="1468"/>
      </w:tblGrid>
      <w:tr w:rsidR="000817FF" w14:paraId="2A5A44B2" w14:textId="77777777">
        <w:tc>
          <w:tcPr>
            <w:tcW w:w="1464" w:type="dxa"/>
            <w:shd w:val="clear" w:color="auto" w:fill="EDEDED"/>
            <w:tcMar>
              <w:top w:w="80" w:type="dxa"/>
              <w:left w:w="100" w:type="dxa"/>
              <w:bottom w:w="80" w:type="dxa"/>
              <w:right w:w="100" w:type="dxa"/>
            </w:tcMar>
            <w:vAlign w:val="center"/>
          </w:tcPr>
          <w:p w14:paraId="36D105DD" w14:textId="77777777" w:rsidR="000817FF" w:rsidRDefault="00FB291E">
            <w:pPr>
              <w:jc w:val="center"/>
            </w:pPr>
            <w:r>
              <w:rPr>
                <w:b/>
                <w:sz w:val="18"/>
              </w:rPr>
              <w:t>模型</w:t>
            </w:r>
          </w:p>
        </w:tc>
        <w:tc>
          <w:tcPr>
            <w:tcW w:w="1464" w:type="dxa"/>
            <w:shd w:val="clear" w:color="auto" w:fill="EDEDED"/>
            <w:tcMar>
              <w:top w:w="80" w:type="dxa"/>
              <w:left w:w="100" w:type="dxa"/>
              <w:bottom w:w="80" w:type="dxa"/>
              <w:right w:w="100" w:type="dxa"/>
            </w:tcMar>
            <w:vAlign w:val="center"/>
          </w:tcPr>
          <w:p w14:paraId="0BDAC9E1" w14:textId="77777777" w:rsidR="000817FF" w:rsidRDefault="00FB291E">
            <w:pPr>
              <w:jc w:val="center"/>
            </w:pPr>
            <w:r>
              <w:rPr>
                <w:b/>
                <w:sz w:val="18"/>
              </w:rPr>
              <w:t>测试集总体阳性比例</w:t>
            </w:r>
          </w:p>
        </w:tc>
        <w:tc>
          <w:tcPr>
            <w:tcW w:w="1464" w:type="dxa"/>
            <w:shd w:val="clear" w:color="auto" w:fill="EDEDED"/>
            <w:tcMar>
              <w:top w:w="80" w:type="dxa"/>
              <w:left w:w="100" w:type="dxa"/>
              <w:bottom w:w="80" w:type="dxa"/>
              <w:right w:w="100" w:type="dxa"/>
            </w:tcMar>
            <w:vAlign w:val="center"/>
          </w:tcPr>
          <w:p w14:paraId="637F6100" w14:textId="77777777" w:rsidR="000817FF" w:rsidRDefault="00FB291E">
            <w:pPr>
              <w:jc w:val="center"/>
            </w:pPr>
            <w:r>
              <w:rPr>
                <w:b/>
                <w:sz w:val="18"/>
              </w:rPr>
              <w:t>前</w:t>
            </w:r>
            <w:r>
              <w:rPr>
                <w:b/>
                <w:sz w:val="18"/>
              </w:rPr>
              <w:t xml:space="preserve"> 5% </w:t>
            </w:r>
            <w:r>
              <w:rPr>
                <w:b/>
                <w:sz w:val="18"/>
              </w:rPr>
              <w:t>阳性比例</w:t>
            </w:r>
          </w:p>
        </w:tc>
        <w:tc>
          <w:tcPr>
            <w:tcW w:w="1464" w:type="dxa"/>
            <w:shd w:val="clear" w:color="auto" w:fill="EDEDED"/>
            <w:tcMar>
              <w:top w:w="80" w:type="dxa"/>
              <w:left w:w="100" w:type="dxa"/>
              <w:bottom w:w="80" w:type="dxa"/>
              <w:right w:w="100" w:type="dxa"/>
            </w:tcMar>
            <w:vAlign w:val="center"/>
          </w:tcPr>
          <w:p w14:paraId="28B939E8" w14:textId="77777777" w:rsidR="000817FF" w:rsidRDefault="00FB291E">
            <w:pPr>
              <w:jc w:val="center"/>
            </w:pPr>
            <w:r>
              <w:rPr>
                <w:b/>
                <w:sz w:val="18"/>
              </w:rPr>
              <w:t>前</w:t>
            </w:r>
            <w:r>
              <w:rPr>
                <w:b/>
                <w:sz w:val="18"/>
              </w:rPr>
              <w:t xml:space="preserve"> 5% lift</w:t>
            </w:r>
          </w:p>
        </w:tc>
        <w:tc>
          <w:tcPr>
            <w:tcW w:w="1464" w:type="dxa"/>
            <w:shd w:val="clear" w:color="auto" w:fill="EDEDED"/>
            <w:tcMar>
              <w:top w:w="80" w:type="dxa"/>
              <w:left w:w="100" w:type="dxa"/>
              <w:bottom w:w="80" w:type="dxa"/>
              <w:right w:w="100" w:type="dxa"/>
            </w:tcMar>
            <w:vAlign w:val="center"/>
          </w:tcPr>
          <w:p w14:paraId="64EF4B40" w14:textId="77777777" w:rsidR="000817FF" w:rsidRDefault="00FB291E">
            <w:pPr>
              <w:jc w:val="center"/>
            </w:pPr>
            <w:r>
              <w:rPr>
                <w:b/>
                <w:sz w:val="18"/>
              </w:rPr>
              <w:t>前</w:t>
            </w:r>
            <w:r>
              <w:rPr>
                <w:b/>
                <w:sz w:val="18"/>
              </w:rPr>
              <w:t xml:space="preserve"> 10% </w:t>
            </w:r>
            <w:r>
              <w:rPr>
                <w:b/>
                <w:sz w:val="18"/>
              </w:rPr>
              <w:t>阳性比例</w:t>
            </w:r>
          </w:p>
        </w:tc>
        <w:tc>
          <w:tcPr>
            <w:tcW w:w="1468" w:type="dxa"/>
            <w:shd w:val="clear" w:color="auto" w:fill="EDEDED"/>
            <w:tcMar>
              <w:top w:w="80" w:type="dxa"/>
              <w:left w:w="100" w:type="dxa"/>
              <w:bottom w:w="80" w:type="dxa"/>
              <w:right w:w="100" w:type="dxa"/>
            </w:tcMar>
            <w:vAlign w:val="center"/>
          </w:tcPr>
          <w:p w14:paraId="4B26CB83" w14:textId="77777777" w:rsidR="000817FF" w:rsidRDefault="00FB291E">
            <w:pPr>
              <w:jc w:val="center"/>
            </w:pPr>
            <w:r>
              <w:rPr>
                <w:b/>
                <w:sz w:val="18"/>
              </w:rPr>
              <w:t>前</w:t>
            </w:r>
            <w:r>
              <w:rPr>
                <w:b/>
                <w:sz w:val="18"/>
              </w:rPr>
              <w:t xml:space="preserve"> 10% lift</w:t>
            </w:r>
          </w:p>
        </w:tc>
      </w:tr>
      <w:tr w:rsidR="000817FF" w14:paraId="2F0EC519" w14:textId="77777777">
        <w:tc>
          <w:tcPr>
            <w:tcW w:w="1464" w:type="dxa"/>
            <w:tcMar>
              <w:top w:w="80" w:type="dxa"/>
              <w:left w:w="100" w:type="dxa"/>
              <w:bottom w:w="80" w:type="dxa"/>
              <w:right w:w="100" w:type="dxa"/>
            </w:tcMar>
            <w:vAlign w:val="center"/>
          </w:tcPr>
          <w:p>
            <w:r>
              <w:t>逻辑回归</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18.56%</w:t>
            </w:r>
          </w:p>
        </w:tc>
        <w:tc>
          <w:tcPr>
            <w:tcW w:w="1464" w:type="dxa"/>
            <w:tcMar>
              <w:top w:w="80" w:type="dxa"/>
              <w:left w:w="100" w:type="dxa"/>
              <w:bottom w:w="80" w:type="dxa"/>
              <w:right w:w="100" w:type="dxa"/>
            </w:tcMar>
            <w:vAlign w:val="center"/>
          </w:tcPr>
          <w:p>
            <w:r>
              <w:t>5.90</w:t>
            </w:r>
          </w:p>
        </w:tc>
        <w:tc>
          <w:tcPr>
            <w:tcW w:w="1464" w:type="dxa"/>
            <w:tcMar>
              <w:top w:w="80" w:type="dxa"/>
              <w:left w:w="100" w:type="dxa"/>
              <w:bottom w:w="80" w:type="dxa"/>
              <w:right w:w="100" w:type="dxa"/>
            </w:tcMar>
            <w:vAlign w:val="center"/>
          </w:tcPr>
          <w:p>
            <w:r>
              <w:t>13.52%</w:t>
            </w:r>
          </w:p>
        </w:tc>
        <w:tc>
          <w:tcPr>
            <w:tcW w:w="1468" w:type="dxa"/>
            <w:tcMar>
              <w:top w:w="80" w:type="dxa"/>
              <w:left w:w="100" w:type="dxa"/>
              <w:bottom w:w="80" w:type="dxa"/>
              <w:right w:w="100" w:type="dxa"/>
            </w:tcMar>
            <w:vAlign w:val="center"/>
          </w:tcPr>
          <w:p>
            <w:r>
              <w:t>4.30</w:t>
            </w:r>
          </w:p>
        </w:tc>
      </w:tr>
      <w:tr w:rsidR="000817FF" w14:paraId="6171D706" w14:textId="77777777">
        <w:tc>
          <w:tcPr>
            <w:tcW w:w="1464" w:type="dxa"/>
            <w:tcMar>
              <w:top w:w="80" w:type="dxa"/>
              <w:left w:w="100" w:type="dxa"/>
              <w:bottom w:w="80" w:type="dxa"/>
              <w:right w:w="100" w:type="dxa"/>
            </w:tcMar>
            <w:vAlign w:val="center"/>
          </w:tcPr>
          <w:p>
            <w:r>
              <w:t>随机森林</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18.34%</w:t>
            </w:r>
          </w:p>
        </w:tc>
        <w:tc>
          <w:tcPr>
            <w:tcW w:w="1464" w:type="dxa"/>
            <w:tcMar>
              <w:top w:w="80" w:type="dxa"/>
              <w:left w:w="100" w:type="dxa"/>
              <w:bottom w:w="80" w:type="dxa"/>
              <w:right w:w="100" w:type="dxa"/>
            </w:tcMar>
            <w:vAlign w:val="center"/>
          </w:tcPr>
          <w:p>
            <w:r>
              <w:t>5.83</w:t>
            </w:r>
          </w:p>
        </w:tc>
        <w:tc>
          <w:tcPr>
            <w:tcW w:w="1464" w:type="dxa"/>
            <w:tcMar>
              <w:top w:w="80" w:type="dxa"/>
              <w:left w:w="100" w:type="dxa"/>
              <w:bottom w:w="80" w:type="dxa"/>
              <w:right w:w="100" w:type="dxa"/>
            </w:tcMar>
            <w:vAlign w:val="center"/>
          </w:tcPr>
          <w:p>
            <w:r>
              <w:t>13.75%</w:t>
            </w:r>
          </w:p>
        </w:tc>
        <w:tc>
          <w:tcPr>
            <w:tcW w:w="1468" w:type="dxa"/>
            <w:tcMar>
              <w:top w:w="80" w:type="dxa"/>
              <w:left w:w="100" w:type="dxa"/>
              <w:bottom w:w="80" w:type="dxa"/>
              <w:right w:w="100" w:type="dxa"/>
            </w:tcMar>
            <w:vAlign w:val="center"/>
          </w:tcPr>
          <w:p>
            <w:r>
              <w:t>4.37</w:t>
            </w:r>
          </w:p>
        </w:tc>
      </w:tr>
      <w:tr w:rsidR="000817FF" w14:paraId="687C2B7F" w14:textId="77777777">
        <w:tc>
          <w:tcPr>
            <w:tcW w:w="1464" w:type="dxa"/>
            <w:tcMar>
              <w:top w:w="80" w:type="dxa"/>
              <w:left w:w="100" w:type="dxa"/>
              <w:bottom w:w="80" w:type="dxa"/>
              <w:right w:w="100" w:type="dxa"/>
            </w:tcMar>
            <w:vAlign w:val="center"/>
          </w:tcPr>
          <w:p>
            <w:r>
              <w:t>XGBoost</w:t>
            </w:r>
          </w:p>
        </w:tc>
        <w:tc>
          <w:tcPr>
            <w:tcW w:w="1464" w:type="dxa"/>
            <w:tcMar>
              <w:top w:w="80" w:type="dxa"/>
              <w:left w:w="100" w:type="dxa"/>
              <w:bottom w:w="80" w:type="dxa"/>
              <w:right w:w="100" w:type="dxa"/>
            </w:tcMar>
            <w:vAlign w:val="center"/>
          </w:tcPr>
          <w:p>
            <w:r>
              <w:t>3.15%</w:t>
            </w:r>
          </w:p>
        </w:tc>
        <w:tc>
          <w:tcPr>
            <w:tcW w:w="1464" w:type="dxa"/>
            <w:tcMar>
              <w:top w:w="80" w:type="dxa"/>
              <w:left w:w="100" w:type="dxa"/>
              <w:bottom w:w="80" w:type="dxa"/>
              <w:right w:w="100" w:type="dxa"/>
            </w:tcMar>
            <w:vAlign w:val="center"/>
          </w:tcPr>
          <w:p>
            <w:r>
              <w:t>18.98%</w:t>
            </w:r>
          </w:p>
        </w:tc>
        <w:tc>
          <w:tcPr>
            <w:tcW w:w="1464" w:type="dxa"/>
            <w:tcMar>
              <w:top w:w="80" w:type="dxa"/>
              <w:left w:w="100" w:type="dxa"/>
              <w:bottom w:w="80" w:type="dxa"/>
              <w:right w:w="100" w:type="dxa"/>
            </w:tcMar>
            <w:vAlign w:val="center"/>
          </w:tcPr>
          <w:p>
            <w:r>
              <w:t>6.03</w:t>
            </w:r>
          </w:p>
        </w:tc>
        <w:tc>
          <w:tcPr>
            <w:tcW w:w="1464" w:type="dxa"/>
            <w:tcMar>
              <w:top w:w="80" w:type="dxa"/>
              <w:left w:w="100" w:type="dxa"/>
              <w:bottom w:w="80" w:type="dxa"/>
              <w:right w:w="100" w:type="dxa"/>
            </w:tcMar>
            <w:vAlign w:val="center"/>
          </w:tcPr>
          <w:p>
            <w:r>
              <w:t>14.03%</w:t>
            </w:r>
          </w:p>
        </w:tc>
        <w:tc>
          <w:tcPr>
            <w:tcW w:w="1468" w:type="dxa"/>
            <w:tcMar>
              <w:top w:w="80" w:type="dxa"/>
              <w:left w:w="100" w:type="dxa"/>
              <w:bottom w:w="80" w:type="dxa"/>
              <w:right w:w="100" w:type="dxa"/>
            </w:tcMar>
            <w:vAlign w:val="center"/>
          </w:tcPr>
          <w:p>
            <w:r>
              <w:t>4.46</w:t>
            </w:r>
          </w:p>
        </w:tc>
      </w:tr>
    </w:tbl>
    <w:p w14:paraId="7E9D8CA0" w14:textId="77777777" w:rsidR="000817FF" w:rsidRDefault="000817FF"/>
    <w:p w14:paraId="7D28C46B" w14:textId="77777777" w:rsidR="000817FF" w:rsidRDefault="00FB291E">
      <w:pPr>
        <w:spacing w:after="120" w:line="360" w:lineRule="auto"/>
        <w:ind w:firstLine="420"/>
      </w:pPr>
      <w:r>
        <w:t>该结果说明，机器学习模型可以在 FAERS 病例中对跌倒事件报告进行有效排序。尤其是增强特征集下的 XGBoost 模型，其前 5% 高风险病例中跌倒事件比例超过总体水平的 6 倍，提示模型具有一定的筛选和辅助发现价值。</w:t>
      </w:r>
    </w:p>
    <w:p w14:paraId="20042519" w14:textId="77777777" w:rsidR="000817FF" w:rsidRDefault="00FB291E">
      <w:pPr>
        <w:pStyle w:val="21"/>
        <w:spacing w:before="160" w:after="80"/>
      </w:pPr>
      <w:bookmarkStart w:id="75" w:name="_Toc230281374"/>
      <w:r>
        <w:rPr>
          <w:rFonts w:ascii="Times New Roman" w:eastAsia="宋体" w:hAnsi="Times New Roman"/>
        </w:rPr>
        <w:t xml:space="preserve">5.8 </w:t>
      </w:r>
      <w:r>
        <w:rPr>
          <w:rFonts w:ascii="Times New Roman" w:eastAsia="宋体" w:hAnsi="Times New Roman"/>
        </w:rPr>
        <w:t>特征重要性分析</w:t>
      </w:r>
      <w:bookmarkEnd w:id="75"/>
    </w:p>
    <w:p w14:paraId="5A0FFD08" w14:textId="77777777" w:rsidR="000817FF" w:rsidRDefault="00FB291E">
      <w:pPr>
        <w:spacing w:after="120" w:line="360" w:lineRule="auto"/>
        <w:ind w:firstLine="420"/>
      </w:pPr>
      <w:r>
        <w:t>XGBoost 模型的特征重要性显示，报告类型、报告国家、事件日期是否明确、年龄、用药负担、适应证/疾病系统变量以及经泄漏筛查后的表型变量在模型中具有较高重要性。这些变量主要反映报告结构、病例背景和临床表现组合，不能直接解释为因果作用。</w:t>
      </w:r>
    </w:p>
    <w:p w14:paraId="326B0AA7" w14:textId="77777777" w:rsidR="000817FF" w:rsidRDefault="00FB291E">
      <w:pPr>
        <w:spacing w:after="120" w:line="360" w:lineRule="auto"/>
        <w:ind w:firstLine="420"/>
      </w:pPr>
      <w:r>
        <w:rPr>
          <w:sz w:val="21"/>
        </w:rPr>
        <w:t>随机森林模型的特征重要性中，年龄、报告类型、年份、神经系统疾病相关变量、事件日期是否明确、治疗记录数、药物记录数和合并用药数等变量较为突出。随机森林中特征重要性最高的是年龄，提示年龄在跌倒事件识别中具有重要预测价值。</w:t>
      </w:r>
    </w:p>
    <w:p w14:paraId="4F846DFA" w14:textId="77777777" w:rsidR="000817FF" w:rsidRDefault="00FB291E">
      <w:pPr>
        <w:spacing w:after="120" w:line="360" w:lineRule="auto"/>
        <w:ind w:firstLine="420"/>
      </w:pPr>
      <w:r>
        <w:t>逻辑回归结果显示，与严格跌倒事件报告正相关的特征主要包括神经系统疾病相关变量、事件日期明确、肌肉骨骼和结缔组织疾病相关变量、药物数较高、年龄增加、部分适应证变量以及唑吡坦 suspect 暴露等。由于这些结果来自报告数据中的预测性关联，解释时仍应回到药物警戒和临床药学背景。</w:t>
      </w:r>
    </w:p>
    <w:p w14:paraId="267BEA56" w14:textId="77777777" w:rsidR="000817FF" w:rsidRDefault="00FB291E">
      <w:pPr>
        <w:spacing w:after="120" w:line="360" w:lineRule="auto"/>
        <w:ind w:firstLine="420"/>
      </w:pPr>
      <w:r>
        <w:rPr>
          <w:sz w:val="21"/>
        </w:rPr>
        <w:t>表</w:t>
      </w:r>
      <w:r>
        <w:rPr>
          <w:sz w:val="21"/>
        </w:rPr>
        <w:t xml:space="preserve"> 5-4 </w:t>
      </w:r>
      <w:r>
        <w:rPr>
          <w:sz w:val="21"/>
        </w:rPr>
        <w:t>显示不同模型中较重要或较有解释意义的特征。</w:t>
      </w:r>
    </w:p>
    <w:p>
      <w:r>
        <w:br w:type="page"/>
      </w:r>
    </w:p>
    <w:p w14:paraId="7AD9A8E6" w14:textId="77777777" w:rsidR="000817FF" w:rsidRDefault="00FB291E">
      <w:pPr>
        <w:spacing w:after="120" w:line="360" w:lineRule="auto"/>
        <w:ind w:firstLine="420"/>
      </w:pPr>
      <w:r>
        <w:rPr>
          <w:sz w:val="21"/>
        </w:rPr>
        <w:t>表</w:t>
      </w:r>
      <w:r>
        <w:rPr>
          <w:sz w:val="21"/>
        </w:rPr>
        <w:t xml:space="preserve"> 5-4 </w:t>
      </w:r>
      <w:r>
        <w:rPr>
          <w:sz w:val="21"/>
        </w:rPr>
        <w:t>机器学习模型中的主要特征提示</w:t>
      </w:r>
    </w:p>
    <w:tbl>
      <w:tblPr>
        <w:tblStyle w:val="aff1"/>
        <w:tblW w:w="8788" w:type="dxa"/>
        <w:tblLayout w:type="fixed"/>
        <w:tblLook w:val="04A0" w:firstRow="1" w:lastRow="0" w:firstColumn="1" w:lastColumn="0" w:noHBand="0" w:noVBand="1"/>
      </w:tblPr>
      <w:tblGrid>
        <w:gridCol w:w="2929"/>
        <w:gridCol w:w="2929"/>
        <w:gridCol w:w="2930"/>
      </w:tblGrid>
      <w:tr w:rsidR="000817FF" w14:paraId="1FAE9067" w14:textId="77777777">
        <w:tc>
          <w:tcPr>
            <w:tcW w:w="2929" w:type="dxa"/>
            <w:shd w:val="clear" w:color="auto" w:fill="EDEDED"/>
            <w:tcMar>
              <w:top w:w="80" w:type="dxa"/>
              <w:left w:w="100" w:type="dxa"/>
              <w:bottom w:w="80" w:type="dxa"/>
              <w:right w:w="100" w:type="dxa"/>
            </w:tcMar>
            <w:vAlign w:val="center"/>
          </w:tcPr>
          <w:p w14:paraId="0B318096" w14:textId="77777777" w:rsidR="000817FF" w:rsidRDefault="00FB291E">
            <w:pPr>
              <w:jc w:val="center"/>
            </w:pPr>
            <w:r>
              <w:rPr>
                <w:b/>
                <w:sz w:val="18"/>
              </w:rPr>
              <w:t>模型</w:t>
            </w:r>
          </w:p>
        </w:tc>
        <w:tc>
          <w:tcPr>
            <w:tcW w:w="2929" w:type="dxa"/>
            <w:shd w:val="clear" w:color="auto" w:fill="EDEDED"/>
            <w:tcMar>
              <w:top w:w="80" w:type="dxa"/>
              <w:left w:w="100" w:type="dxa"/>
              <w:bottom w:w="80" w:type="dxa"/>
              <w:right w:w="100" w:type="dxa"/>
            </w:tcMar>
            <w:vAlign w:val="center"/>
          </w:tcPr>
          <w:p w14:paraId="051EA5E1" w14:textId="77777777" w:rsidR="000817FF" w:rsidRDefault="00FB291E">
            <w:pPr>
              <w:jc w:val="center"/>
            </w:pPr>
            <w:r>
              <w:rPr>
                <w:b/>
                <w:sz w:val="18"/>
              </w:rPr>
              <w:t>主要特征</w:t>
            </w:r>
          </w:p>
        </w:tc>
        <w:tc>
          <w:tcPr>
            <w:tcW w:w="2930" w:type="dxa"/>
            <w:shd w:val="clear" w:color="auto" w:fill="EDEDED"/>
            <w:tcMar>
              <w:top w:w="80" w:type="dxa"/>
              <w:left w:w="100" w:type="dxa"/>
              <w:bottom w:w="80" w:type="dxa"/>
              <w:right w:w="100" w:type="dxa"/>
            </w:tcMar>
            <w:vAlign w:val="center"/>
          </w:tcPr>
          <w:p w14:paraId="03CE62BD" w14:textId="77777777" w:rsidR="000817FF" w:rsidRDefault="00FB291E">
            <w:pPr>
              <w:jc w:val="center"/>
            </w:pPr>
            <w:r>
              <w:rPr>
                <w:b/>
                <w:sz w:val="18"/>
              </w:rPr>
              <w:t>解释方向</w:t>
            </w:r>
          </w:p>
        </w:tc>
      </w:tr>
      <w:tr w:rsidR="000817FF" w14:paraId="2E4274C9" w14:textId="77777777">
        <w:tc>
          <w:tcPr>
            <w:tcW w:w="2929" w:type="dxa"/>
            <w:tcMar>
              <w:top w:w="80" w:type="dxa"/>
              <w:left w:w="100" w:type="dxa"/>
              <w:bottom w:w="80" w:type="dxa"/>
              <w:right w:w="100" w:type="dxa"/>
            </w:tcMar>
            <w:vAlign w:val="center"/>
          </w:tcPr>
          <w:p>
            <w:r>
              <w:t>XGBoost</w:t>
            </w:r>
          </w:p>
        </w:tc>
        <w:tc>
          <w:tcPr>
            <w:tcW w:w="2929" w:type="dxa"/>
            <w:tcMar>
              <w:top w:w="80" w:type="dxa"/>
              <w:left w:w="100" w:type="dxa"/>
              <w:bottom w:w="80" w:type="dxa"/>
              <w:right w:w="100" w:type="dxa"/>
            </w:tcMar>
            <w:vAlign w:val="center"/>
          </w:tcPr>
          <w:p>
            <w:r>
              <w:t>报告类型、报告国家、事件日期、年龄、用药负担、适应证/疾病系统变量、表型变量</w:t>
            </w:r>
          </w:p>
        </w:tc>
        <w:tc>
          <w:tcPr>
            <w:tcW w:w="2930" w:type="dxa"/>
            <w:tcMar>
              <w:top w:w="80" w:type="dxa"/>
              <w:left w:w="100" w:type="dxa"/>
              <w:bottom w:w="80" w:type="dxa"/>
              <w:right w:w="100" w:type="dxa"/>
            </w:tcMar>
            <w:vAlign w:val="center"/>
          </w:tcPr>
          <w:p>
            <w:r>
              <w:t>反映报告结构、病例背景和临床表现组合</w:t>
            </w:r>
          </w:p>
        </w:tc>
      </w:tr>
      <w:tr w:rsidR="000817FF" w14:paraId="1EF180E5" w14:textId="77777777">
        <w:tc>
          <w:tcPr>
            <w:tcW w:w="2929" w:type="dxa"/>
            <w:tcMar>
              <w:top w:w="80" w:type="dxa"/>
              <w:left w:w="100" w:type="dxa"/>
              <w:bottom w:w="80" w:type="dxa"/>
              <w:right w:w="100" w:type="dxa"/>
            </w:tcMar>
            <w:vAlign w:val="center"/>
          </w:tcPr>
          <w:p>
            <w:r>
              <w:t>随机森林</w:t>
            </w:r>
          </w:p>
        </w:tc>
        <w:tc>
          <w:tcPr>
            <w:tcW w:w="2929" w:type="dxa"/>
            <w:tcMar>
              <w:top w:w="80" w:type="dxa"/>
              <w:left w:w="100" w:type="dxa"/>
              <w:bottom w:w="80" w:type="dxa"/>
              <w:right w:w="100" w:type="dxa"/>
            </w:tcMar>
            <w:vAlign w:val="center"/>
          </w:tcPr>
          <w:p>
            <w:r>
              <w:t>年龄、报告类型、年份、治疗记录数、药物数、合并用药数、疾病系统变量</w:t>
            </w:r>
          </w:p>
        </w:tc>
        <w:tc>
          <w:tcPr>
            <w:tcW w:w="2930" w:type="dxa"/>
            <w:tcMar>
              <w:top w:w="80" w:type="dxa"/>
              <w:left w:w="100" w:type="dxa"/>
              <w:bottom w:w="80" w:type="dxa"/>
              <w:right w:w="100" w:type="dxa"/>
            </w:tcMar>
            <w:vAlign w:val="center"/>
          </w:tcPr>
          <w:p>
            <w:r>
              <w:t>年龄和用药负担较突出</w:t>
            </w:r>
          </w:p>
        </w:tc>
      </w:tr>
      <w:tr w:rsidR="000817FF" w14:paraId="2F682F09" w14:textId="77777777">
        <w:tc>
          <w:tcPr>
            <w:tcW w:w="2929" w:type="dxa"/>
            <w:tcMar>
              <w:top w:w="80" w:type="dxa"/>
              <w:left w:w="100" w:type="dxa"/>
              <w:bottom w:w="80" w:type="dxa"/>
              <w:right w:w="100" w:type="dxa"/>
            </w:tcMar>
            <w:vAlign w:val="center"/>
          </w:tcPr>
          <w:p>
            <w:r>
              <w:t>逻辑回归</w:t>
            </w:r>
          </w:p>
        </w:tc>
        <w:tc>
          <w:tcPr>
            <w:tcW w:w="2929" w:type="dxa"/>
            <w:tcMar>
              <w:top w:w="80" w:type="dxa"/>
              <w:left w:w="100" w:type="dxa"/>
              <w:bottom w:w="80" w:type="dxa"/>
              <w:right w:w="100" w:type="dxa"/>
            </w:tcMar>
            <w:vAlign w:val="center"/>
          </w:tcPr>
          <w:p>
            <w:r>
              <w:t>神经系统疾病、事件日期明确、肌肉骨骼系统疾病、药物数、失眠、年龄、唑吡坦 suspect 暴露</w:t>
            </w:r>
          </w:p>
        </w:tc>
        <w:tc>
          <w:tcPr>
            <w:tcW w:w="2930" w:type="dxa"/>
            <w:tcMar>
              <w:top w:w="80" w:type="dxa"/>
              <w:left w:w="100" w:type="dxa"/>
              <w:bottom w:w="80" w:type="dxa"/>
              <w:right w:w="100" w:type="dxa"/>
            </w:tcMar>
            <w:vAlign w:val="center"/>
          </w:tcPr>
          <w:p>
            <w:r>
              <w:t>具有较强解释性，但仍是预测性关联</w:t>
            </w:r>
          </w:p>
        </w:tc>
      </w:tr>
    </w:tbl>
    <w:p w14:paraId="4AE12AFC" w14:textId="77777777" w:rsidR="000817FF" w:rsidRDefault="000817FF"/>
    <w:p w14:paraId="3B3AE0A9" w14:textId="77777777" w:rsidR="000817FF" w:rsidRDefault="00FB291E">
      <w:pPr>
        <w:spacing w:after="120" w:line="360" w:lineRule="auto"/>
        <w:ind w:firstLine="420"/>
      </w:pPr>
      <w:r>
        <w:rPr>
          <w:sz w:val="21"/>
        </w:rPr>
        <w:t>从特征重要性看，机器学习模型并不是单纯依赖唑吡坦变量识别跌倒事件，而是综合了年龄、用药负担、适应证、报告结构和合并用药等因素。这与老年跌倒往往由多因素共同作用的特点一致。</w:t>
      </w:r>
    </w:p>
    <w:p w14:paraId="5CC98870" w14:textId="77777777" w:rsidR="000817FF" w:rsidRDefault="00FB291E">
      <w:pPr>
        <w:pStyle w:val="21"/>
        <w:spacing w:before="160" w:after="80"/>
      </w:pPr>
      <w:bookmarkStart w:id="76" w:name="_Toc230281375"/>
      <w:r>
        <w:rPr>
          <w:rFonts w:ascii="Times New Roman" w:eastAsia="宋体" w:hAnsi="Times New Roman"/>
        </w:rPr>
        <w:t xml:space="preserve">5.9 </w:t>
      </w:r>
      <w:r>
        <w:rPr>
          <w:rFonts w:ascii="Times New Roman" w:eastAsia="宋体" w:hAnsi="Times New Roman"/>
        </w:rPr>
        <w:t>与药物警戒结果的关系</w:t>
      </w:r>
      <w:bookmarkEnd w:id="76"/>
    </w:p>
    <w:p w14:paraId="3A8410BF" w14:textId="77777777" w:rsidR="000817FF" w:rsidRDefault="00FB291E">
      <w:pPr>
        <w:spacing w:after="120" w:line="360" w:lineRule="auto"/>
        <w:ind w:firstLine="420"/>
      </w:pPr>
      <w:r>
        <w:rPr>
          <w:sz w:val="21"/>
        </w:rPr>
        <w:t>机器学习分析与前述药物警戒结果具有互补关系。药物警戒信号挖掘回答的是</w:t>
      </w:r>
      <w:r>
        <w:rPr>
          <w:sz w:val="21"/>
        </w:rPr>
        <w:t>“</w:t>
      </w:r>
      <w:r>
        <w:rPr>
          <w:sz w:val="21"/>
        </w:rPr>
        <w:t>唑吡坦相关报告中跌倒事件是否不成比例增加</w:t>
      </w:r>
      <w:r>
        <w:rPr>
          <w:sz w:val="21"/>
        </w:rPr>
        <w:t>”</w:t>
      </w:r>
      <w:r>
        <w:rPr>
          <w:sz w:val="21"/>
        </w:rPr>
        <w:t>；机器学习分析回答的是</w:t>
      </w:r>
      <w:r>
        <w:rPr>
          <w:sz w:val="21"/>
        </w:rPr>
        <w:t>“</w:t>
      </w:r>
      <w:r>
        <w:rPr>
          <w:sz w:val="21"/>
        </w:rPr>
        <w:t>在</w:t>
      </w:r>
      <w:r>
        <w:rPr>
          <w:sz w:val="21"/>
        </w:rPr>
        <w:t xml:space="preserve"> FAERS </w:t>
      </w:r>
      <w:r>
        <w:rPr>
          <w:sz w:val="21"/>
        </w:rPr>
        <w:t>老年病例中，哪些报告特征组合更容易对应跌倒事件</w:t>
      </w:r>
      <w:r>
        <w:rPr>
          <w:sz w:val="21"/>
        </w:rPr>
        <w:t>”</w:t>
      </w:r>
      <w:r>
        <w:rPr>
          <w:sz w:val="21"/>
        </w:rPr>
        <w:t>。</w:t>
      </w:r>
    </w:p>
    <w:p w14:paraId="778343FA" w14:textId="77777777" w:rsidR="000817FF" w:rsidRDefault="00FB291E">
      <w:pPr>
        <w:spacing w:after="120" w:line="360" w:lineRule="auto"/>
        <w:ind w:firstLine="420"/>
      </w:pPr>
      <w:r>
        <w:rPr>
          <w:sz w:val="21"/>
        </w:rPr>
        <w:t>从结果看，机器学习模型识别出的重要特征与前述分析基本一致。年龄、合并用药、神经系统相关适应证、肌肉骨骼系统相关适应证和中枢神经系统相关药物均与跌倒事件报告密切相关。逻辑回归模型中，唑吡坦</w:t>
      </w:r>
      <w:r>
        <w:rPr>
          <w:sz w:val="21"/>
        </w:rPr>
        <w:t xml:space="preserve"> suspect </w:t>
      </w:r>
      <w:r>
        <w:rPr>
          <w:sz w:val="21"/>
        </w:rPr>
        <w:t>暴露也表现为正向预测特征。这些结果支持本研究关于唑吡坦相关跌倒事件需要结合高龄、多重用药和合并中枢神经系统药物进行综合评估的观点。</w:t>
      </w:r>
    </w:p>
    <w:p w14:paraId="01D3D0CD" w14:textId="77777777" w:rsidR="000817FF" w:rsidRDefault="00FB291E">
      <w:pPr>
        <w:spacing w:after="120" w:line="360" w:lineRule="auto"/>
        <w:ind w:firstLine="420"/>
      </w:pPr>
      <w:r>
        <w:rPr>
          <w:sz w:val="21"/>
        </w:rPr>
        <w:t>但是，机器学习模型不能替代不成比例分析。原因是机器学习模型主要学习报告数据中的统计模式，而这些模式可能受到报告偏倚、地区差异、字段缺失和报告习惯影响。因此，机器学习结果更适合作为补充证据，而不是作为因果判断依据</w:t>
      </w:r>
      <w:r>
        <w:rPr>
          <w:sz w:val="18"/>
          <w:vertAlign w:val="superscript"/>
        </w:rPr>
        <w:t>[45-53,61-68]</w:t>
      </w:r>
      <w:r>
        <w:rPr>
          <w:sz w:val="21"/>
        </w:rPr>
        <w:t>。</w:t>
      </w:r>
    </w:p>
    <w:p w14:paraId="35FDE911" w14:textId="77777777" w:rsidR="000817FF" w:rsidRDefault="00FB291E">
      <w:pPr>
        <w:pStyle w:val="21"/>
        <w:spacing w:before="160" w:after="80"/>
      </w:pPr>
      <w:bookmarkStart w:id="77" w:name="_Toc230281376"/>
      <w:r>
        <w:rPr>
          <w:rFonts w:ascii="Times New Roman" w:eastAsia="宋体" w:hAnsi="Times New Roman"/>
        </w:rPr>
        <w:t xml:space="preserve">5.10 </w:t>
      </w:r>
      <w:r>
        <w:rPr>
          <w:rFonts w:ascii="Times New Roman" w:eastAsia="宋体" w:hAnsi="Times New Roman"/>
        </w:rPr>
        <w:t>本章小结</w:t>
      </w:r>
      <w:bookmarkEnd w:id="77"/>
    </w:p>
    <w:p w14:paraId="68E30B8A" w14:textId="77777777" w:rsidR="000817FF" w:rsidRDefault="00FB291E">
      <w:pPr>
        <w:spacing w:after="120" w:line="360" w:lineRule="auto"/>
        <w:ind w:firstLine="420"/>
      </w:pPr>
      <w:r>
        <w:t>本章基于 2004-2025 年 FAERS 老年病例构建了逻辑回归、随机森林和 XGBoost 模型，用于辅助识别严格 PT 定义的跌倒事件报告。三类增强特征模型在 2025 年测试集中的 ROC-AUC 均接近或超过 0.80，其中 XGBoost 表现最好，测试集 ROC-AUC 为 0.805，average precision 为 0.173。</w:t>
      </w:r>
    </w:p>
    <w:p w14:paraId="693EA038" w14:textId="77777777" w:rsidR="000817FF" w:rsidRDefault="00FB291E">
      <w:pPr>
        <w:spacing w:after="120" w:line="360" w:lineRule="auto"/>
        <w:ind w:firstLine="420"/>
      </w:pPr>
      <w:r>
        <w:t>在高风险排序方面，XGBoost 模型前 5% 高风险病例中的严格跌倒事件比例为 18.98%，约为测试集总体阳性比例的 6.03 倍；前 10% 高风险病例中的阳性比例为 14.03%，约为总体的 4.46 倍。该结果提示，机器学习模型可以作为 FAERS 跌倒相关报告的辅助筛选和风险排序工具。</w:t>
      </w:r>
    </w:p>
    <w:p w14:paraId="2295848C" w14:textId="77777777" w:rsidR="000817FF" w:rsidRDefault="00FB291E">
      <w:pPr>
        <w:spacing w:after="120" w:line="360" w:lineRule="auto"/>
        <w:ind w:firstLine="420"/>
      </w:pPr>
      <w:r>
        <w:rPr>
          <w:sz w:val="21"/>
        </w:rPr>
        <w:t>特征重要性分析显示，年龄、报告类型、神经系统疾病相关变量、肌肉骨骼系统相关变量、用药负担、合并用药和唑吡坦</w:t>
      </w:r>
      <w:r>
        <w:rPr>
          <w:sz w:val="21"/>
        </w:rPr>
        <w:t xml:space="preserve"> suspect </w:t>
      </w:r>
      <w:r>
        <w:rPr>
          <w:sz w:val="21"/>
        </w:rPr>
        <w:t>暴露等变量在模型中具有一定作用。整体来看，机器学习结果与药物警戒分析和老年药学认识相互印证。</w:t>
      </w:r>
    </w:p>
    <w:p w14:paraId="5D0AC088" w14:textId="77777777" w:rsidR="000817FF" w:rsidRDefault="00FB291E">
      <w:pPr>
        <w:spacing w:after="120" w:line="360" w:lineRule="auto"/>
        <w:ind w:firstLine="420"/>
      </w:pPr>
      <w:r>
        <w:rPr>
          <w:sz w:val="21"/>
        </w:rPr>
        <w:lastRenderedPageBreak/>
        <w:t>不过，由于</w:t>
      </w:r>
      <w:r>
        <w:rPr>
          <w:sz w:val="21"/>
        </w:rPr>
        <w:t xml:space="preserve"> FAERS </w:t>
      </w:r>
      <w:r>
        <w:rPr>
          <w:sz w:val="21"/>
        </w:rPr>
        <w:t>数据库本身存在自发报告偏倚、缺少真实用药分母和临床随访信息等问题，本章模型不能解释为临床预测模型，也不能用于证明药物因果关系。其主要价值在于辅助理解</w:t>
      </w:r>
      <w:r>
        <w:rPr>
          <w:sz w:val="21"/>
        </w:rPr>
        <w:t xml:space="preserve"> FAERS </w:t>
      </w:r>
      <w:r>
        <w:rPr>
          <w:sz w:val="21"/>
        </w:rPr>
        <w:t>报告中的多因素模式，并为后续更严格的真实世界研究提供线索。</w:t>
      </w:r>
    </w:p>
    <w:p w14:paraId="0088FACD" w14:textId="77777777" w:rsidR="000817FF" w:rsidRDefault="00FB291E">
      <w:r>
        <w:br w:type="page"/>
      </w:r>
    </w:p>
    <w:p w14:paraId="220A3256" w14:textId="77777777" w:rsidR="000817FF" w:rsidRDefault="00FB291E">
      <w:pPr>
        <w:pStyle w:val="1"/>
        <w:spacing w:before="240" w:after="160"/>
        <w:jc w:val="center"/>
      </w:pPr>
      <w:bookmarkStart w:id="78" w:name="_Toc230281377"/>
      <w:r>
        <w:rPr>
          <w:rFonts w:ascii="Times New Roman" w:eastAsia="宋体" w:hAnsi="Times New Roman"/>
        </w:rPr>
        <w:lastRenderedPageBreak/>
        <w:t>第六章</w:t>
      </w:r>
      <w:r>
        <w:rPr>
          <w:rFonts w:ascii="Times New Roman" w:eastAsia="宋体" w:hAnsi="Times New Roman"/>
        </w:rPr>
        <w:t xml:space="preserve"> </w:t>
      </w:r>
      <w:r>
        <w:rPr>
          <w:rFonts w:ascii="Times New Roman" w:eastAsia="宋体" w:hAnsi="Times New Roman"/>
        </w:rPr>
        <w:t>讨论</w:t>
      </w:r>
      <w:bookmarkEnd w:id="78"/>
    </w:p>
    <w:p w14:paraId="7C39D8FE" w14:textId="77777777" w:rsidR="000817FF" w:rsidRDefault="00FB291E">
      <w:pPr>
        <w:pStyle w:val="21"/>
        <w:spacing w:before="160" w:after="80"/>
      </w:pPr>
      <w:bookmarkStart w:id="79" w:name="_Toc230281378"/>
      <w:r>
        <w:rPr>
          <w:rFonts w:ascii="Times New Roman" w:eastAsia="宋体" w:hAnsi="Times New Roman"/>
        </w:rPr>
        <w:t xml:space="preserve">6.1 </w:t>
      </w:r>
      <w:r>
        <w:rPr>
          <w:rFonts w:ascii="Times New Roman" w:eastAsia="宋体" w:hAnsi="Times New Roman"/>
        </w:rPr>
        <w:t>主要研究发现</w:t>
      </w:r>
      <w:bookmarkEnd w:id="79"/>
    </w:p>
    <w:p w14:paraId="5246861D" w14:textId="77777777" w:rsidR="000817FF" w:rsidRDefault="00FB291E">
      <w:pPr>
        <w:spacing w:after="120" w:line="360" w:lineRule="auto"/>
        <w:ind w:firstLine="420"/>
      </w:pPr>
      <w:r>
        <w:t>本研究基于 2004-2025 年 FAERS 数据，对老年人群中唑吡坦相关跌倒事件进行了药物警戒分析，并进一步使用机器学习方法进行辅助识别探索。全周期去重后共纳入 4,155,023 例病例，其中严格 PT 定义的跌倒事件 132,266 例，广义跌倒相关事件（补充） 298,906 例。唑吡坦 suspect 暴露病例为 8,011 例，其中排除混合 Z-drug 暴露后，主分析暴露组为 7,798 例。</w:t>
      </w:r>
    </w:p>
    <w:p w14:paraId="7693F61A" w14:textId="77777777" w:rsidR="000817FF" w:rsidRDefault="00FB291E">
      <w:pPr>
        <w:spacing w:after="120" w:line="360" w:lineRule="auto"/>
        <w:ind w:firstLine="420"/>
      </w:pPr>
      <w:r>
        <w:t>主分析显示，唑吡坦 suspect 暴露与严格跌倒事件之间存在明显不成比例报告信号。唑吡坦暴露组跌倒报告比例为 13.38%，参照组为 3.16%；ROR 为 4.73，PRR 为 4.23，IC 为 2.07，EBGM 为 4.19。四种信号检测方法均提示阳性信号。补充探索和 PS only 敏感性分析也显示方向一致的阳性结果。多因素校正分析进一步显示，在控制年龄、性别、年份、季度、多重用药和常见中枢神经系统合并用药后，唑吡坦 suspect 暴露与跌倒事件之间仍保持较高的报告优势。</w:t>
      </w:r>
    </w:p>
    <w:p>
      <w:pPr>
        <w:spacing w:line="360" w:lineRule="auto" w:before="0" w:after="120"/>
        <w:ind w:firstLine="420"/>
      </w:pPr>
      <w:r>
        <w:t>新增趋势分析补充说明了本研究时间跨度的价值。2013 年前后分层显示，FDA 唑吡坦剂量安全沟通后，唑吡坦 suspect 病例中的严格 PT 跌倒报告比例从 15.46% 降至 12.83%，但 ROR 仍保持在 4 以上。2019 年 Z-drugs 黑框警告后，跌倒报告比例与此前接近，ROR 为 5.02，提示报告信号在近年仍持续存在。该结果将 FDA 安全警示背景与本研究长周期 FAERS 数据联系起来，但仍应解释为报告模式变化，而不是监管措施导致风险变化。</w:t>
      </w:r>
    </w:p>
    <w:p w14:paraId="25552F0B" w14:textId="77777777" w:rsidR="000817FF" w:rsidRDefault="00FB291E">
      <w:pPr>
        <w:spacing w:after="120" w:line="360" w:lineRule="auto"/>
        <w:ind w:firstLine="420"/>
      </w:pPr>
      <w:r>
        <w:t>探索性分层分析显示，高龄、多重用药、合并抗抑郁药、合并阿片类药物和合并抗癫痫药等特征对应较高的跌倒事件报告比例。机器学习分析显示，增强特征集下 XGBoost 在 2025 年测试集中的 ROC-AUC 为 0.805，average precision 为 0.173；前 5% 高风险病例中的严格跌倒事件比例为 18.98%，约为总体阳性比例的 6.03 倍。模型特征重要性也提示年龄、报告类型、报告国家、事件日期、疾病系统变量、用药负担和合并用药等因素与跌倒事件报告相关。</w:t>
      </w:r>
    </w:p>
    <w:p w14:paraId="4FFA8C8A" w14:textId="77777777" w:rsidR="000817FF" w:rsidRDefault="00FB291E">
      <w:pPr>
        <w:spacing w:after="120" w:line="360" w:lineRule="auto"/>
        <w:ind w:firstLine="420"/>
      </w:pPr>
      <w:r>
        <w:rPr>
          <w:sz w:val="21"/>
        </w:rPr>
        <w:t>总体来看，本研究结果提示，在</w:t>
      </w:r>
      <w:r>
        <w:rPr>
          <w:sz w:val="21"/>
        </w:rPr>
        <w:t xml:space="preserve"> FAERS </w:t>
      </w:r>
      <w:r>
        <w:rPr>
          <w:sz w:val="21"/>
        </w:rPr>
        <w:t>老年病例中，唑吡坦相关报告存在跌倒相关不良事件信号。该发现与老年药学中关于镇静催眠药增加跌倒、骨折和损伤风险的认识一致</w:t>
      </w:r>
      <w:r>
        <w:rPr>
          <w:sz w:val="18"/>
          <w:vertAlign w:val="superscript"/>
        </w:rPr>
        <w:t>[1,9-17,69-70]</w:t>
      </w:r>
      <w:r>
        <w:rPr>
          <w:sz w:val="21"/>
        </w:rPr>
        <w:t>，也提示临床药师在老年患者镇静催眠药管理中应更加重视跌倒风险评估。</w:t>
      </w:r>
    </w:p>
    <w:p w14:paraId="59EE7847" w14:textId="77777777" w:rsidR="000817FF" w:rsidRDefault="00FB291E">
      <w:pPr>
        <w:pStyle w:val="21"/>
        <w:spacing w:before="160" w:after="80"/>
      </w:pPr>
      <w:bookmarkStart w:id="80" w:name="_Toc230281379"/>
      <w:r>
        <w:rPr>
          <w:rFonts w:ascii="Times New Roman" w:eastAsia="宋体" w:hAnsi="Times New Roman"/>
        </w:rPr>
        <w:t xml:space="preserve">6.2 </w:t>
      </w:r>
      <w:r>
        <w:rPr>
          <w:rFonts w:ascii="Times New Roman" w:eastAsia="宋体" w:hAnsi="Times New Roman"/>
        </w:rPr>
        <w:t>唑吡坦与老年跌倒相关性的药学解释</w:t>
      </w:r>
      <w:bookmarkEnd w:id="80"/>
    </w:p>
    <w:p w14:paraId="2C891615" w14:textId="77777777" w:rsidR="000817FF" w:rsidRDefault="00FB291E">
      <w:pPr>
        <w:spacing w:after="120" w:line="360" w:lineRule="auto"/>
        <w:ind w:firstLine="420"/>
      </w:pPr>
      <w:r>
        <w:rPr>
          <w:sz w:val="21"/>
        </w:rPr>
        <w:t>唑吡坦属于非苯二氮卓类镇静催眠药，常被归入</w:t>
      </w:r>
      <w:r>
        <w:rPr>
          <w:sz w:val="21"/>
        </w:rPr>
        <w:t xml:space="preserve"> Z-drugs</w:t>
      </w:r>
      <w:r>
        <w:rPr>
          <w:sz w:val="21"/>
        </w:rPr>
        <w:t>。与传统苯二氮卓类药物相比，</w:t>
      </w:r>
      <w:r>
        <w:rPr>
          <w:sz w:val="21"/>
        </w:rPr>
        <w:t xml:space="preserve">Z-drugs </w:t>
      </w:r>
      <w:r>
        <w:rPr>
          <w:sz w:val="21"/>
        </w:rPr>
        <w:t>在受体选择性和半衰期方面具有一定差异，因此曾被认为可能具有更好的安全性。然而，从老年患者用药角度看，唑吡坦仍作用于中枢神经系统。</w:t>
      </w:r>
      <w:r>
        <w:rPr>
          <w:sz w:val="21"/>
        </w:rPr>
        <w:t xml:space="preserve">2023 </w:t>
      </w:r>
      <w:r>
        <w:rPr>
          <w:sz w:val="21"/>
        </w:rPr>
        <w:t>年</w:t>
      </w:r>
      <w:r>
        <w:rPr>
          <w:sz w:val="21"/>
        </w:rPr>
        <w:t xml:space="preserve"> AGS Beers Criteria </w:t>
      </w:r>
      <w:r>
        <w:rPr>
          <w:sz w:val="21"/>
        </w:rPr>
        <w:t>将</w:t>
      </w:r>
      <w:r>
        <w:rPr>
          <w:sz w:val="21"/>
        </w:rPr>
        <w:t xml:space="preserve"> zolpidem</w:t>
      </w:r>
      <w:r>
        <w:rPr>
          <w:sz w:val="21"/>
        </w:rPr>
        <w:t>、</w:t>
      </w:r>
      <w:r>
        <w:rPr>
          <w:sz w:val="21"/>
        </w:rPr>
        <w:t xml:space="preserve">zaleplon </w:t>
      </w:r>
      <w:r>
        <w:rPr>
          <w:sz w:val="21"/>
        </w:rPr>
        <w:t>和</w:t>
      </w:r>
      <w:r>
        <w:rPr>
          <w:sz w:val="21"/>
        </w:rPr>
        <w:t xml:space="preserve"> eszopiclone </w:t>
      </w:r>
      <w:r>
        <w:rPr>
          <w:sz w:val="21"/>
        </w:rPr>
        <w:t>等</w:t>
      </w:r>
      <w:r>
        <w:rPr>
          <w:sz w:val="21"/>
        </w:rPr>
        <w:t xml:space="preserve"> Z-drugs </w:t>
      </w:r>
      <w:r>
        <w:rPr>
          <w:sz w:val="21"/>
        </w:rPr>
        <w:t>列为老年人潜在不适当用药，主要原因包括谵妄、跌倒、骨折、急诊就诊、住院和机动车事故等风险，而睡眠获益相对有限</w:t>
      </w:r>
      <w:r>
        <w:rPr>
          <w:sz w:val="18"/>
          <w:vertAlign w:val="superscript"/>
        </w:rPr>
        <w:t>[1]</w:t>
      </w:r>
      <w:r>
        <w:rPr>
          <w:sz w:val="21"/>
        </w:rPr>
        <w:t>。</w:t>
      </w:r>
      <w:r>
        <w:rPr>
          <w:sz w:val="21"/>
        </w:rPr>
        <w:t xml:space="preserve">FDA </w:t>
      </w:r>
      <w:r>
        <w:rPr>
          <w:sz w:val="21"/>
        </w:rPr>
        <w:t>对唑吡坦次日损害和</w:t>
      </w:r>
      <w:r>
        <w:rPr>
          <w:sz w:val="21"/>
        </w:rPr>
        <w:t xml:space="preserve"> Z-drugs </w:t>
      </w:r>
      <w:r>
        <w:rPr>
          <w:sz w:val="21"/>
        </w:rPr>
        <w:t>复杂睡眠行为的安全警示也提示，此类药物可能造成反应能力下降、异常行为和严重伤害</w:t>
      </w:r>
      <w:r>
        <w:rPr>
          <w:sz w:val="18"/>
          <w:vertAlign w:val="superscript"/>
        </w:rPr>
        <w:t>[19-22]</w:t>
      </w:r>
      <w:r>
        <w:rPr>
          <w:sz w:val="21"/>
        </w:rPr>
        <w:t>。因此，唑吡坦可能引起嗜睡、头晕、反应迟钝、注意力下降、运动协调能力下降和次日残余镇静等问题。这些效应与跌倒发生机制高度相关。</w:t>
      </w:r>
    </w:p>
    <w:p w14:paraId="2220F8C0" w14:textId="77777777" w:rsidR="000817FF" w:rsidRDefault="00FB291E">
      <w:pPr>
        <w:spacing w:after="120" w:line="360" w:lineRule="auto"/>
        <w:ind w:firstLine="420"/>
      </w:pPr>
      <w:r>
        <w:rPr>
          <w:sz w:val="21"/>
        </w:rPr>
        <w:t>老年患者对镇静催眠药更敏感，原因主要包括肝肾功能下降、体成分变化、血脑屏障和中枢神经系统敏感性改变、合并疾病较多以及多药并用常见等</w:t>
      </w:r>
      <w:r>
        <w:rPr>
          <w:sz w:val="18"/>
          <w:vertAlign w:val="superscript"/>
        </w:rPr>
        <w:t>[35-38]</w:t>
      </w:r>
      <w:r>
        <w:rPr>
          <w:sz w:val="21"/>
        </w:rPr>
        <w:t>。即使药物剂量不高，老年患者</w:t>
      </w:r>
      <w:r>
        <w:rPr>
          <w:sz w:val="21"/>
        </w:rPr>
        <w:lastRenderedPageBreak/>
        <w:t>也可能出现比年轻人更明显的镇静、认知和运动功能影响。因此，在老年人群中，唑吡坦相关跌倒信号具有较强的药理学合理性。</w:t>
      </w:r>
    </w:p>
    <w:p w14:paraId="65F39E69" w14:textId="77777777" w:rsidR="000817FF" w:rsidRDefault="00FB291E">
      <w:pPr>
        <w:spacing w:after="120" w:line="360" w:lineRule="auto"/>
        <w:ind w:firstLine="420"/>
      </w:pPr>
      <w:r>
        <w:t>本研究中，严格 PT 定义的跌倒结局主要用于正式分析，特异性较高，解释也更直接。广义跌倒相关事件（补充）还包括低血压、步态异常、视觉障碍、平衡障碍和眩晕等临床表现，覆盖面更广但特异性较低，因此只适合作为补充探索。两类口径方向一致，说明唑吡坦相关报告不仅集中于直接跌倒，也涉及多个可能与跌倒前状态或跌倒风险有关的临床表现。</w:t>
      </w:r>
    </w:p>
    <w:p w14:paraId="4E1118FB" w14:textId="77777777" w:rsidR="000817FF" w:rsidRDefault="00FB291E">
      <w:pPr>
        <w:pStyle w:val="21"/>
        <w:spacing w:before="160" w:after="80"/>
      </w:pPr>
      <w:bookmarkStart w:id="81" w:name="_Toc230281380"/>
      <w:r>
        <w:rPr>
          <w:rFonts w:ascii="Times New Roman" w:eastAsia="宋体" w:hAnsi="Times New Roman"/>
        </w:rPr>
        <w:t xml:space="preserve">6.3 </w:t>
      </w:r>
      <w:r>
        <w:rPr>
          <w:rFonts w:ascii="Times New Roman" w:eastAsia="宋体" w:hAnsi="Times New Roman"/>
        </w:rPr>
        <w:t>与既往研究和指南认识的关系</w:t>
      </w:r>
      <w:bookmarkEnd w:id="81"/>
    </w:p>
    <w:p w14:paraId="00F8322C" w14:textId="77777777" w:rsidR="000817FF" w:rsidRDefault="00FB291E">
      <w:pPr>
        <w:spacing w:after="120" w:line="360" w:lineRule="auto"/>
        <w:ind w:firstLine="420"/>
      </w:pPr>
      <w:r>
        <w:rPr>
          <w:sz w:val="21"/>
        </w:rPr>
        <w:t>本研究结果与既往关于</w:t>
      </w:r>
      <w:r>
        <w:rPr>
          <w:sz w:val="21"/>
        </w:rPr>
        <w:t xml:space="preserve"> Z-drugs </w:t>
      </w:r>
      <w:r>
        <w:rPr>
          <w:sz w:val="21"/>
        </w:rPr>
        <w:t>和老年跌倒、骨折风险的研究方向基本一致。既往系统评价和</w:t>
      </w:r>
      <w:r>
        <w:rPr>
          <w:sz w:val="21"/>
        </w:rPr>
        <w:t xml:space="preserve"> Meta </w:t>
      </w:r>
      <w:r>
        <w:rPr>
          <w:sz w:val="21"/>
        </w:rPr>
        <w:t>分析显示，</w:t>
      </w:r>
      <w:r>
        <w:rPr>
          <w:sz w:val="21"/>
        </w:rPr>
        <w:t xml:space="preserve">Z-drugs </w:t>
      </w:r>
      <w:r>
        <w:rPr>
          <w:sz w:val="21"/>
        </w:rPr>
        <w:t>使用与老年人骨折风险升高有关，并提示跌倒和损伤风险可能增加</w:t>
      </w:r>
      <w:r>
        <w:rPr>
          <w:sz w:val="18"/>
          <w:vertAlign w:val="superscript"/>
        </w:rPr>
        <w:t>[9,16-17]</w:t>
      </w:r>
      <w:r>
        <w:rPr>
          <w:sz w:val="21"/>
        </w:rPr>
        <w:t>。另一项聚焦</w:t>
      </w:r>
      <w:r>
        <w:rPr>
          <w:sz w:val="21"/>
        </w:rPr>
        <w:t xml:space="preserve"> zolpidem </w:t>
      </w:r>
      <w:r>
        <w:rPr>
          <w:sz w:val="21"/>
        </w:rPr>
        <w:t>的</w:t>
      </w:r>
      <w:r>
        <w:rPr>
          <w:sz w:val="21"/>
        </w:rPr>
        <w:t xml:space="preserve"> Meta </w:t>
      </w:r>
      <w:r>
        <w:rPr>
          <w:sz w:val="21"/>
        </w:rPr>
        <w:t>分析纳入超过</w:t>
      </w:r>
      <w:r>
        <w:rPr>
          <w:sz w:val="21"/>
        </w:rPr>
        <w:t xml:space="preserve"> 100 </w:t>
      </w:r>
      <w:r>
        <w:rPr>
          <w:sz w:val="21"/>
        </w:rPr>
        <w:t>万名参与者，结果显示</w:t>
      </w:r>
      <w:r>
        <w:rPr>
          <w:sz w:val="21"/>
        </w:rPr>
        <w:t xml:space="preserve"> zolpidem </w:t>
      </w:r>
      <w:r>
        <w:rPr>
          <w:sz w:val="21"/>
        </w:rPr>
        <w:t>使用与骨折风险升高相关，合并相对风险为</w:t>
      </w:r>
      <w:r>
        <w:rPr>
          <w:sz w:val="21"/>
        </w:rPr>
        <w:t xml:space="preserve"> 1.92</w:t>
      </w:r>
      <w:r>
        <w:rPr>
          <w:sz w:val="21"/>
        </w:rPr>
        <w:t>，髋部骨折风险更高</w:t>
      </w:r>
      <w:r>
        <w:rPr>
          <w:sz w:val="18"/>
          <w:vertAlign w:val="superscript"/>
        </w:rPr>
        <w:t>[10]</w:t>
      </w:r>
      <w:r>
        <w:rPr>
          <w:sz w:val="21"/>
        </w:rPr>
        <w:t>。老年失眠患者、住院患者和护理院居民中的观察性研究也提示唑吡坦或非苯二氮卓类催眠药与跌倒或骨折风险有关</w:t>
      </w:r>
      <w:r>
        <w:rPr>
          <w:sz w:val="18"/>
          <w:vertAlign w:val="superscript"/>
        </w:rPr>
        <w:t>[11-15,69]</w:t>
      </w:r>
      <w:r>
        <w:rPr>
          <w:sz w:val="21"/>
        </w:rPr>
        <w:t>。虽然不同研究设计、研究人群和结局定义存在差异，但总体证据并不支持</w:t>
      </w:r>
      <w:r>
        <w:rPr>
          <w:sz w:val="21"/>
        </w:rPr>
        <w:t xml:space="preserve">“Z-drugs </w:t>
      </w:r>
      <w:r>
        <w:rPr>
          <w:sz w:val="21"/>
        </w:rPr>
        <w:t>在老年人中完全安全</w:t>
      </w:r>
      <w:r>
        <w:rPr>
          <w:sz w:val="21"/>
        </w:rPr>
        <w:t>”</w:t>
      </w:r>
      <w:r>
        <w:rPr>
          <w:sz w:val="21"/>
        </w:rPr>
        <w:t>的观点。</w:t>
      </w:r>
    </w:p>
    <w:p w14:paraId="4CA9856B" w14:textId="77777777" w:rsidR="000817FF" w:rsidRDefault="00FB291E">
      <w:pPr>
        <w:spacing w:after="120" w:line="360" w:lineRule="auto"/>
        <w:ind w:firstLine="420"/>
      </w:pPr>
      <w:r>
        <w:rPr>
          <w:sz w:val="21"/>
        </w:rPr>
        <w:t xml:space="preserve">2023 </w:t>
      </w:r>
      <w:r>
        <w:rPr>
          <w:sz w:val="21"/>
        </w:rPr>
        <w:t>年</w:t>
      </w:r>
      <w:r>
        <w:rPr>
          <w:sz w:val="21"/>
        </w:rPr>
        <w:t xml:space="preserve"> AGS Beers Criteria </w:t>
      </w:r>
      <w:r>
        <w:rPr>
          <w:sz w:val="21"/>
        </w:rPr>
        <w:t>将非苯二氮卓类苯二氮卓受体激动剂类催眠药列为老年人潜在不适当用药，涉及</w:t>
      </w:r>
      <w:r>
        <w:rPr>
          <w:sz w:val="21"/>
        </w:rPr>
        <w:t xml:space="preserve"> eszopiclone</w:t>
      </w:r>
      <w:r>
        <w:rPr>
          <w:sz w:val="21"/>
        </w:rPr>
        <w:t>、</w:t>
      </w:r>
      <w:r>
        <w:rPr>
          <w:sz w:val="21"/>
        </w:rPr>
        <w:t xml:space="preserve">zaleplon </w:t>
      </w:r>
      <w:r>
        <w:rPr>
          <w:sz w:val="21"/>
        </w:rPr>
        <w:t>和</w:t>
      </w:r>
      <w:r>
        <w:rPr>
          <w:sz w:val="21"/>
        </w:rPr>
        <w:t xml:space="preserve"> zolpidem</w:t>
      </w:r>
      <w:r>
        <w:rPr>
          <w:sz w:val="21"/>
        </w:rPr>
        <w:t>。该标准指出，这类药物在老年人中可产生与苯二氮卓类相似的不良反应，例如谵妄、跌倒、骨折、急诊就诊和住院等风险，而睡眠获益相对有限</w:t>
      </w:r>
      <w:r>
        <w:rPr>
          <w:sz w:val="18"/>
          <w:vertAlign w:val="superscript"/>
        </w:rPr>
        <w:t>[1]</w:t>
      </w:r>
      <w:r>
        <w:rPr>
          <w:sz w:val="21"/>
        </w:rPr>
        <w:t>。因此，</w:t>
      </w:r>
      <w:r>
        <w:rPr>
          <w:sz w:val="21"/>
        </w:rPr>
        <w:t xml:space="preserve">Beers Criteria </w:t>
      </w:r>
      <w:r>
        <w:rPr>
          <w:sz w:val="21"/>
        </w:rPr>
        <w:t>通常建议老年人避免使用这类药物，尤其是存在跌倒风险或同时使用其他中枢神经系统活性药物时。</w:t>
      </w:r>
    </w:p>
    <w:p w14:paraId="1E7045FF" w14:textId="77777777" w:rsidR="000817FF" w:rsidRDefault="00FB291E">
      <w:pPr>
        <w:spacing w:after="120" w:line="360" w:lineRule="auto"/>
        <w:ind w:firstLine="420"/>
      </w:pPr>
      <w:r>
        <w:rPr>
          <w:sz w:val="21"/>
        </w:rPr>
        <w:t>本研究使用</w:t>
      </w:r>
      <w:r>
        <w:rPr>
          <w:sz w:val="21"/>
        </w:rPr>
        <w:t xml:space="preserve"> FAERS </w:t>
      </w:r>
      <w:r>
        <w:rPr>
          <w:sz w:val="21"/>
        </w:rPr>
        <w:t>自发报告数据，从药物警戒角度补充了上述认识。与传统队列研究或病例对照研究不同，</w:t>
      </w:r>
      <w:r>
        <w:rPr>
          <w:sz w:val="21"/>
        </w:rPr>
        <w:t xml:space="preserve">FAERS </w:t>
      </w:r>
      <w:r>
        <w:rPr>
          <w:sz w:val="21"/>
        </w:rPr>
        <w:t>不能计算真实发生率，也不能直接证明因果关系，但它适合发现上市后安全性信号。</w:t>
      </w:r>
      <w:r>
        <w:rPr>
          <w:sz w:val="21"/>
        </w:rPr>
        <w:t xml:space="preserve">FDA </w:t>
      </w:r>
      <w:r>
        <w:rPr>
          <w:sz w:val="21"/>
        </w:rPr>
        <w:t>对</w:t>
      </w:r>
      <w:r>
        <w:rPr>
          <w:sz w:val="21"/>
        </w:rPr>
        <w:t xml:space="preserve"> FAERS </w:t>
      </w:r>
      <w:r>
        <w:rPr>
          <w:sz w:val="21"/>
        </w:rPr>
        <w:t>潜在安全信号的解释也强调，信号并不等于已经确认药物与风险之间存在因果关系</w:t>
      </w:r>
      <w:r>
        <w:rPr>
          <w:sz w:val="18"/>
          <w:vertAlign w:val="superscript"/>
        </w:rPr>
        <w:t>[44-46]</w:t>
      </w:r>
      <w:r>
        <w:rPr>
          <w:sz w:val="21"/>
        </w:rPr>
        <w:t>。本研究在大规模自发报告数据中观察到唑吡坦相关跌倒报告信号，与既往临床研究和老年用药指南形成了方向一致的证据链。</w:t>
      </w:r>
    </w:p>
    <w:p w14:paraId="543A0AB2" w14:textId="77777777" w:rsidR="000817FF" w:rsidRDefault="00FB291E">
      <w:pPr>
        <w:pStyle w:val="21"/>
        <w:spacing w:before="160" w:after="80"/>
      </w:pPr>
      <w:bookmarkStart w:id="82" w:name="_Toc230281381"/>
      <w:r>
        <w:rPr>
          <w:rFonts w:ascii="Times New Roman" w:eastAsia="宋体" w:hAnsi="Times New Roman"/>
        </w:rPr>
        <w:t xml:space="preserve">6.4 </w:t>
      </w:r>
      <w:r>
        <w:rPr>
          <w:rFonts w:ascii="Times New Roman" w:eastAsia="宋体" w:hAnsi="Times New Roman"/>
        </w:rPr>
        <w:t>高龄、多重用药和合并用药的意义</w:t>
      </w:r>
      <w:bookmarkEnd w:id="82"/>
    </w:p>
    <w:p w14:paraId="51B93E4E" w14:textId="77777777" w:rsidR="000817FF" w:rsidRDefault="00FB291E">
      <w:pPr>
        <w:spacing w:after="120" w:line="360" w:lineRule="auto"/>
        <w:ind w:firstLine="420"/>
      </w:pPr>
      <w:r>
        <w:t>本研究分层结果显示，高龄患者中跌倒报告比例明显升高。在唑吡坦 suspect 病例内部，65-74 岁患者严格 PT 跌倒报告比例为 7.95%，75-84 岁为 15.53%，85 岁及以上为 24.09%。这一梯度非常清楚，提示年龄本身是解释跌倒相关报告的重要因素。</w:t>
      </w:r>
    </w:p>
    <w:p w14:paraId="4A9828E7" w14:textId="77777777" w:rsidR="000817FF" w:rsidRDefault="00FB291E">
      <w:pPr>
        <w:spacing w:after="120" w:line="360" w:lineRule="auto"/>
        <w:ind w:firstLine="420"/>
      </w:pPr>
      <w:r>
        <w:rPr>
          <w:sz w:val="21"/>
        </w:rPr>
        <w:t>从药学角度看，高龄患者更容易存在肌力下降、平衡能力下降、认知功能下降、视力下降、慢性疾病负担增加和用药复杂化等问题。跌倒本身也是重要公共卫生问题，可导致死亡、骨折、功能下降、急诊和住院等严重后果</w:t>
      </w:r>
      <w:r>
        <w:rPr>
          <w:sz w:val="18"/>
          <w:vertAlign w:val="superscript"/>
        </w:rPr>
        <w:t>[25-30]</w:t>
      </w:r>
      <w:r>
        <w:rPr>
          <w:sz w:val="21"/>
        </w:rPr>
        <w:t>。镇静催眠药在这些基础风险之上可能进一步增加跌倒风</w:t>
      </w:r>
      <w:r>
        <w:rPr>
          <w:sz w:val="21"/>
        </w:rPr>
        <w:lastRenderedPageBreak/>
        <w:t>险。也就是说，唑吡坦并不是在一个</w:t>
      </w:r>
      <w:r>
        <w:rPr>
          <w:sz w:val="21"/>
        </w:rPr>
        <w:t>“</w:t>
      </w:r>
      <w:r>
        <w:rPr>
          <w:sz w:val="21"/>
        </w:rPr>
        <w:t>空白背景</w:t>
      </w:r>
      <w:r>
        <w:rPr>
          <w:sz w:val="21"/>
        </w:rPr>
        <w:t>”</w:t>
      </w:r>
      <w:r>
        <w:rPr>
          <w:sz w:val="21"/>
        </w:rPr>
        <w:t>中产生风险，而是在老年患者本来就容易跌倒的基础上叠加中枢抑制和运动协调影响。</w:t>
      </w:r>
    </w:p>
    <w:p w14:paraId="4A65F557" w14:textId="77777777" w:rsidR="000817FF" w:rsidRDefault="00FB291E">
      <w:pPr>
        <w:spacing w:after="120" w:line="360" w:lineRule="auto"/>
        <w:ind w:firstLine="420"/>
      </w:pPr>
      <w:r>
        <w:t>多重用药也是本研究中非常重要的发现。唑吡坦 suspect 病例中，多重用药者严格 PT 跌倒报告比例为 18.12%，高于总体唑吡坦 suspect 病例水平。多重用药可能通过多种机制增加跌倒风险，包括药物间相互作用、低血压、镇静、认知损害、眩晕、肌无力和依从性下降等。国内外老年合理用药文献均提示，多重用药和潜在不适当用药与不良结局有关，是老年药学管理的重要切入点[36-42]。</w:t>
      </w:r>
    </w:p>
    <w:p w14:paraId="4481F920" w14:textId="77777777" w:rsidR="000817FF" w:rsidRDefault="00FB291E">
      <w:pPr>
        <w:spacing w:after="120" w:line="360" w:lineRule="auto"/>
        <w:ind w:firstLine="420"/>
      </w:pPr>
      <w:r>
        <w:rPr>
          <w:sz w:val="21"/>
        </w:rPr>
        <w:t>合并用药方面，本研究显示合并抗抑郁药、阿片类药物、抗癫痫药、抗精神病药等病例的跌倒报告比例较高。这些药物本身就可能影响中枢神经系统功能，若与唑吡坦合用，可能出现镇静效应叠加。</w:t>
      </w:r>
      <w:r>
        <w:rPr>
          <w:sz w:val="21"/>
        </w:rPr>
        <w:t>Beers Criteria</w:t>
      </w:r>
      <w:r>
        <w:rPr>
          <w:sz w:val="21"/>
        </w:rPr>
        <w:t>、</w:t>
      </w:r>
      <w:r>
        <w:rPr>
          <w:sz w:val="21"/>
        </w:rPr>
        <w:t xml:space="preserve">STOPPFall </w:t>
      </w:r>
      <w:r>
        <w:rPr>
          <w:sz w:val="21"/>
        </w:rPr>
        <w:t>和药物相关跌倒综述均强调，中枢神经系统活性药物是老年跌倒风险管理中的重点药物类别</w:t>
      </w:r>
      <w:r>
        <w:rPr>
          <w:sz w:val="18"/>
          <w:vertAlign w:val="superscript"/>
        </w:rPr>
        <w:t>[1,31-33,38-39,43]</w:t>
      </w:r>
      <w:r>
        <w:rPr>
          <w:sz w:val="21"/>
        </w:rPr>
        <w:t>。临床药学实践中，不能只看单个药物是否合理，还要看患者整体用药组合是否增加跌倒风险。</w:t>
      </w:r>
    </w:p>
    <w:p w14:paraId="493F1764" w14:textId="77777777" w:rsidR="000817FF" w:rsidRDefault="00FB291E">
      <w:pPr>
        <w:pStyle w:val="21"/>
        <w:spacing w:before="160" w:after="80"/>
      </w:pPr>
      <w:bookmarkStart w:id="83" w:name="_Toc230281382"/>
      <w:r>
        <w:rPr>
          <w:rFonts w:ascii="Times New Roman" w:eastAsia="宋体" w:hAnsi="Times New Roman"/>
        </w:rPr>
        <w:t xml:space="preserve">6.5 </w:t>
      </w:r>
      <w:r>
        <w:rPr>
          <w:rFonts w:ascii="Times New Roman" w:eastAsia="宋体" w:hAnsi="Times New Roman"/>
        </w:rPr>
        <w:t>与其他</w:t>
      </w:r>
      <w:r>
        <w:rPr>
          <w:rFonts w:ascii="Times New Roman" w:eastAsia="宋体" w:hAnsi="Times New Roman"/>
        </w:rPr>
        <w:t xml:space="preserve"> Z-drugs </w:t>
      </w:r>
      <w:r>
        <w:rPr>
          <w:rFonts w:ascii="Times New Roman" w:eastAsia="宋体" w:hAnsi="Times New Roman"/>
        </w:rPr>
        <w:t>比较的解释</w:t>
      </w:r>
      <w:bookmarkEnd w:id="83"/>
    </w:p>
    <w:p w14:paraId="14713E35" w14:textId="77777777" w:rsidR="000817FF" w:rsidRDefault="00FB291E">
      <w:pPr>
        <w:spacing w:after="120" w:line="360" w:lineRule="auto"/>
        <w:ind w:firstLine="420"/>
      </w:pPr>
      <w:r>
        <w:t>本研究中，zolpidem only 与 other zdrug only 的比较显示，唑吡坦组跌倒相关事件报告比例相对较高。PS+SS 口径下，zolpidem only 组严格 PT 跌倒报告比例为 13.38%，other zdrug only 组为 9.24%；广义跌倒相关事件（补充）中分别为 18.57% 和 13.43%。从 ROR 和 IC 指标看，唑吡坦相较其他 Z-drugs 也存在一定报告信号。</w:t>
      </w:r>
    </w:p>
    <w:p w14:paraId="576C39CA" w14:textId="77777777" w:rsidR="000817FF" w:rsidRDefault="00FB291E">
      <w:pPr>
        <w:spacing w:after="120" w:line="360" w:lineRule="auto"/>
        <w:ind w:firstLine="420"/>
      </w:pPr>
      <w:r>
        <w:rPr>
          <w:sz w:val="21"/>
        </w:rPr>
        <w:t>不过，这一结果需要谨慎解释。首先，</w:t>
      </w:r>
      <w:r>
        <w:rPr>
          <w:sz w:val="21"/>
        </w:rPr>
        <w:t xml:space="preserve">FAERS </w:t>
      </w:r>
      <w:r>
        <w:rPr>
          <w:sz w:val="21"/>
        </w:rPr>
        <w:t>中不同</w:t>
      </w:r>
      <w:r>
        <w:rPr>
          <w:sz w:val="21"/>
        </w:rPr>
        <w:t xml:space="preserve"> Z-drugs </w:t>
      </w:r>
      <w:r>
        <w:rPr>
          <w:sz w:val="21"/>
        </w:rPr>
        <w:t>的使用规模、上市时间、国家分布和报告习惯可能不同。其次，唑吡坦在部分国家和地区使用更广，报告数量也可能更多。再次，</w:t>
      </w:r>
      <w:r>
        <w:rPr>
          <w:sz w:val="21"/>
        </w:rPr>
        <w:t xml:space="preserve">PS only </w:t>
      </w:r>
      <w:r>
        <w:rPr>
          <w:sz w:val="21"/>
        </w:rPr>
        <w:t>口径下</w:t>
      </w:r>
      <w:r>
        <w:rPr>
          <w:sz w:val="21"/>
        </w:rPr>
        <w:t xml:space="preserve"> other zdrug only </w:t>
      </w:r>
      <w:r>
        <w:rPr>
          <w:sz w:val="21"/>
        </w:rPr>
        <w:t>病例数较少，容易导致估计不稳定。因此，本研究不宜简单得出</w:t>
      </w:r>
      <w:r>
        <w:rPr>
          <w:sz w:val="21"/>
        </w:rPr>
        <w:t>“</w:t>
      </w:r>
      <w:r>
        <w:rPr>
          <w:sz w:val="21"/>
        </w:rPr>
        <w:t>唑吡坦一定比其他</w:t>
      </w:r>
      <w:r>
        <w:rPr>
          <w:sz w:val="21"/>
        </w:rPr>
        <w:t xml:space="preserve"> Z-drugs </w:t>
      </w:r>
      <w:r>
        <w:rPr>
          <w:sz w:val="21"/>
        </w:rPr>
        <w:t>更危险</w:t>
      </w:r>
      <w:r>
        <w:rPr>
          <w:sz w:val="21"/>
        </w:rPr>
        <w:t>”</w:t>
      </w:r>
      <w:r>
        <w:rPr>
          <w:sz w:val="21"/>
        </w:rPr>
        <w:t>的结论。</w:t>
      </w:r>
    </w:p>
    <w:p w14:paraId="6DF1DF9C" w14:textId="77777777" w:rsidR="000817FF" w:rsidRDefault="00FB291E">
      <w:pPr>
        <w:spacing w:after="120" w:line="360" w:lineRule="auto"/>
        <w:ind w:firstLine="420"/>
      </w:pPr>
      <w:r>
        <w:rPr>
          <w:sz w:val="21"/>
        </w:rPr>
        <w:t>更稳妥的解释是：在</w:t>
      </w:r>
      <w:r>
        <w:rPr>
          <w:sz w:val="21"/>
        </w:rPr>
        <w:t xml:space="preserve"> FAERS </w:t>
      </w:r>
      <w:r>
        <w:rPr>
          <w:sz w:val="21"/>
        </w:rPr>
        <w:t>老年病例报告中，唑吡坦相关跌倒报告比例高于其他</w:t>
      </w:r>
      <w:r>
        <w:rPr>
          <w:sz w:val="21"/>
        </w:rPr>
        <w:t xml:space="preserve"> Z-drugs </w:t>
      </w:r>
      <w:r>
        <w:rPr>
          <w:sz w:val="21"/>
        </w:rPr>
        <w:t>参照组，这提示唑吡坦应作为老年镇静催眠药安全性管理中的重点关注对象。未来仍需使用处方数据库、医保数据库或电子病历数据进一步比较不同</w:t>
      </w:r>
      <w:r>
        <w:rPr>
          <w:sz w:val="21"/>
        </w:rPr>
        <w:t xml:space="preserve"> Z-drugs </w:t>
      </w:r>
      <w:r>
        <w:rPr>
          <w:sz w:val="21"/>
        </w:rPr>
        <w:t>的真实风险差异。</w:t>
      </w:r>
    </w:p>
    <w:p w14:paraId="731C4CB8" w14:textId="77777777" w:rsidR="000817FF" w:rsidRDefault="00FB291E">
      <w:pPr>
        <w:pStyle w:val="21"/>
        <w:spacing w:before="160" w:after="80"/>
      </w:pPr>
      <w:bookmarkStart w:id="84" w:name="_Toc230281383"/>
      <w:r>
        <w:rPr>
          <w:rFonts w:ascii="Times New Roman" w:eastAsia="宋体" w:hAnsi="Times New Roman"/>
        </w:rPr>
        <w:t xml:space="preserve">6.6 </w:t>
      </w:r>
      <w:r>
        <w:rPr>
          <w:rFonts w:ascii="Times New Roman" w:eastAsia="宋体" w:hAnsi="Times New Roman"/>
        </w:rPr>
        <w:t>机器学习辅助分析的意义</w:t>
      </w:r>
      <w:bookmarkEnd w:id="84"/>
    </w:p>
    <w:p w14:paraId="1FB82229" w14:textId="77777777" w:rsidR="000817FF" w:rsidRDefault="00FB291E">
      <w:pPr>
        <w:spacing w:after="120" w:line="360" w:lineRule="auto"/>
        <w:ind w:firstLine="420"/>
      </w:pPr>
      <w:r>
        <w:t>本研究机器学习部分显示，基于 FAERS 病例结构化特征可以对严格跌倒事件进行一定程度的风险排序。增强特征集下 XGBoost 模型在 2025 年测试集中的 ROC-AUC 为 0.805，前 5% 高风险病例中的严格跌倒事件比例为总体的 6.03 倍。这说明模型能从大量报告中识别一部分更值得关注的病例。</w:t>
      </w:r>
    </w:p>
    <w:p w14:paraId="76034759" w14:textId="77777777" w:rsidR="000817FF" w:rsidRDefault="00FB291E">
      <w:pPr>
        <w:spacing w:after="120" w:line="360" w:lineRule="auto"/>
        <w:ind w:firstLine="420"/>
      </w:pPr>
      <w:r>
        <w:rPr>
          <w:sz w:val="21"/>
        </w:rPr>
        <w:t>模型重要特征包括年龄、报告类型、神经系统疾病相关变量、肌肉骨骼系统疾病相关变量、药物数量、合并用药和唑吡坦</w:t>
      </w:r>
      <w:r>
        <w:rPr>
          <w:sz w:val="21"/>
        </w:rPr>
        <w:t xml:space="preserve"> suspect </w:t>
      </w:r>
      <w:r>
        <w:rPr>
          <w:sz w:val="21"/>
        </w:rPr>
        <w:t>暴露等。这些特征与药物警戒分析和临床药学认识相互吻合，说明机器学习结果不是完全脱离药学逻辑的黑箱输出。</w:t>
      </w:r>
    </w:p>
    <w:p w14:paraId="76D513F8" w14:textId="77777777" w:rsidR="000817FF" w:rsidRDefault="00FB291E">
      <w:pPr>
        <w:spacing w:after="120" w:line="360" w:lineRule="auto"/>
        <w:ind w:firstLine="420"/>
      </w:pPr>
      <w:r>
        <w:rPr>
          <w:sz w:val="21"/>
        </w:rPr>
        <w:lastRenderedPageBreak/>
        <w:t>但机器学习结果必须保持边界。</w:t>
      </w:r>
      <w:r>
        <w:rPr>
          <w:sz w:val="21"/>
        </w:rPr>
        <w:t xml:space="preserve">FAERS </w:t>
      </w:r>
      <w:r>
        <w:rPr>
          <w:sz w:val="21"/>
        </w:rPr>
        <w:t>数据中的</w:t>
      </w:r>
      <w:r>
        <w:rPr>
          <w:sz w:val="21"/>
        </w:rPr>
        <w:t>“</w:t>
      </w:r>
      <w:r>
        <w:rPr>
          <w:sz w:val="21"/>
        </w:rPr>
        <w:t>预测</w:t>
      </w:r>
      <w:r>
        <w:rPr>
          <w:sz w:val="21"/>
        </w:rPr>
        <w:t>”</w:t>
      </w:r>
      <w:r>
        <w:rPr>
          <w:sz w:val="21"/>
        </w:rPr>
        <w:t>本质上是预测报告模式，而不是预测真实世界中患者未来是否跌倒。自发报告系统存在低报、刺激性报告、报告偏倚、缺少分母和信息质量不稳定等局限</w:t>
      </w:r>
      <w:r>
        <w:rPr>
          <w:sz w:val="18"/>
          <w:vertAlign w:val="superscript"/>
        </w:rPr>
        <w:t>[45-53]</w:t>
      </w:r>
      <w:r>
        <w:rPr>
          <w:sz w:val="21"/>
        </w:rPr>
        <w:t>。机器学习药物警戒综述也指出，模型应用需要关注数据质量、可解释性、外部验证和实际部署边界</w:t>
      </w:r>
      <w:r>
        <w:rPr>
          <w:sz w:val="18"/>
          <w:vertAlign w:val="superscript"/>
        </w:rPr>
        <w:t>[61-68]</w:t>
      </w:r>
      <w:r>
        <w:rPr>
          <w:sz w:val="21"/>
        </w:rPr>
        <w:t>。模型可能学习到报告国家、报告类型、字段完整性等与报告习惯有关的特征，而这些特征并不一定是临床风险因素。因此，本研究将机器学习定位为辅助识别和风险排序，而不是临床预测工具。</w:t>
      </w:r>
    </w:p>
    <w:p w14:paraId="676C0DFF" w14:textId="77777777" w:rsidR="000817FF" w:rsidRDefault="00FB291E">
      <w:pPr>
        <w:pStyle w:val="21"/>
        <w:spacing w:before="160" w:after="80"/>
      </w:pPr>
      <w:bookmarkStart w:id="85" w:name="_Toc230281384"/>
      <w:r>
        <w:rPr>
          <w:rFonts w:ascii="Times New Roman" w:eastAsia="宋体" w:hAnsi="Times New Roman"/>
        </w:rPr>
        <w:t xml:space="preserve">6.7 </w:t>
      </w:r>
      <w:r>
        <w:rPr>
          <w:rFonts w:ascii="Times New Roman" w:eastAsia="宋体" w:hAnsi="Times New Roman"/>
        </w:rPr>
        <w:t>临床药学启示</w:t>
      </w:r>
      <w:bookmarkEnd w:id="85"/>
    </w:p>
    <w:p w14:paraId="3761E80C" w14:textId="77777777" w:rsidR="000817FF" w:rsidRDefault="00FB291E">
      <w:pPr>
        <w:spacing w:after="120" w:line="360" w:lineRule="auto"/>
        <w:ind w:firstLine="420"/>
      </w:pPr>
      <w:r>
        <w:rPr>
          <w:sz w:val="21"/>
        </w:rPr>
        <w:t>本研究对临床药学实践至少有四点启示。</w:t>
      </w:r>
    </w:p>
    <w:p w14:paraId="420FEA3A" w14:textId="77777777" w:rsidR="000817FF" w:rsidRDefault="00FB291E">
      <w:pPr>
        <w:spacing w:after="120" w:line="360" w:lineRule="auto"/>
        <w:ind w:firstLine="420"/>
      </w:pPr>
      <w:r>
        <w:rPr>
          <w:sz w:val="21"/>
        </w:rPr>
        <w:t>第一，老年患者使用唑吡坦前应进行跌倒风险评估。评估内容应包括既往跌倒史、年龄、认知状态、步态和平衡能力、视力、低血压风险、夜间起床情况和居家环境等。对于已有跌倒史或明显跌倒高风险的患者，应尽量避免或谨慎使用唑吡坦。</w:t>
      </w:r>
    </w:p>
    <w:p w14:paraId="7799930D" w14:textId="77777777" w:rsidR="000817FF" w:rsidRDefault="00FB291E">
      <w:pPr>
        <w:spacing w:after="120" w:line="360" w:lineRule="auto"/>
        <w:ind w:firstLine="420"/>
      </w:pPr>
      <w:r>
        <w:rPr>
          <w:sz w:val="21"/>
        </w:rPr>
        <w:t>第二，应重视合并用药审查。若患者同时使用苯二氮卓类、抗抑郁药、抗精神病药、阿片类药物、抗癫痫药或其他中枢神经系统活性药物，应特别警惕镇静效应叠加。药师可以通过处方审核和药物重整识别这类组合，并向医师提出用药优化建议。</w:t>
      </w:r>
    </w:p>
    <w:p w14:paraId="59AB4DB6" w14:textId="77777777" w:rsidR="000817FF" w:rsidRDefault="00FB291E">
      <w:pPr>
        <w:spacing w:after="120" w:line="360" w:lineRule="auto"/>
        <w:ind w:firstLine="420"/>
      </w:pPr>
      <w:r>
        <w:rPr>
          <w:sz w:val="21"/>
        </w:rPr>
        <w:t>第三，应坚持最低有效剂量和短疗程原则。对于确需使用唑吡坦的老年患者，应避免长期连续使用，避免自行加量，并告知患者服药后避免夜间独自活动、避免饮酒、避免与其他镇静药物随意合用。</w:t>
      </w:r>
    </w:p>
    <w:p w14:paraId="1BD11FDA" w14:textId="77777777" w:rsidR="000817FF" w:rsidRDefault="00FB291E">
      <w:pPr>
        <w:spacing w:after="120" w:line="360" w:lineRule="auto"/>
        <w:ind w:firstLine="420"/>
      </w:pPr>
      <w:r>
        <w:rPr>
          <w:sz w:val="21"/>
        </w:rPr>
        <w:t>第四，应优先考虑非药物治疗和综合管理。对于慢性失眠患者，睡眠卫生教育、认知行为治疗、规律作息、疼痛管理、焦虑抑郁评估和用药减负同样重要。药师在失眠管理中不只是审核一个催眠药，还应帮助患者和医疗团队识别造成失眠和跌倒风险的整体因素。</w:t>
      </w:r>
    </w:p>
    <w:p w14:paraId="40BFB4C7" w14:textId="77777777" w:rsidR="000817FF" w:rsidRDefault="00FB291E">
      <w:pPr>
        <w:pStyle w:val="21"/>
        <w:spacing w:before="160" w:after="80"/>
      </w:pPr>
      <w:bookmarkStart w:id="86" w:name="_Toc230281385"/>
      <w:r>
        <w:rPr>
          <w:rFonts w:ascii="Times New Roman" w:eastAsia="宋体" w:hAnsi="Times New Roman"/>
        </w:rPr>
        <w:t xml:space="preserve">6.8 </w:t>
      </w:r>
      <w:r>
        <w:rPr>
          <w:rFonts w:ascii="Times New Roman" w:eastAsia="宋体" w:hAnsi="Times New Roman"/>
        </w:rPr>
        <w:t>本研究的优势</w:t>
      </w:r>
      <w:bookmarkEnd w:id="86"/>
    </w:p>
    <w:p w14:paraId="1587142E" w14:textId="77777777" w:rsidR="000817FF" w:rsidRDefault="00FB291E">
      <w:pPr>
        <w:spacing w:after="120" w:line="360" w:lineRule="auto"/>
        <w:ind w:firstLine="420"/>
      </w:pPr>
      <w:r>
        <w:rPr>
          <w:sz w:val="21"/>
        </w:rPr>
        <w:t>本研究具有以下优势。</w:t>
      </w:r>
    </w:p>
    <w:p w14:paraId="7A1DF309" w14:textId="77777777" w:rsidR="000817FF" w:rsidRDefault="00FB291E">
      <w:pPr>
        <w:spacing w:after="120" w:line="360" w:lineRule="auto" w:before="0"/>
        <w:ind w:firstLine="420"/>
      </w:pPr>
      <w:r>
        <w:rPr>
          <w:rFonts w:ascii="Times New Roman" w:hAnsi="Times New Roman" w:eastAsia="宋体"/>
          <w:b w:val="0"/>
          <w:sz w:val="21"/>
        </w:rPr>
        <w:t>第一，数据时间跨度较长。本研究覆盖 2004-2025 年 FAERS 数据，不仅能够较全面地反映唑吡坦上市后长期不良事件报告情况，还进一步通过年度趋势、3 年滚动 ROR 和 2013/2019 年监管节点前后分层分析，观察唑吡坦相关跌倒报告信号的长期变化。</w:t>
      </w:r>
    </w:p>
    <w:p w14:paraId="6A01A7AA" w14:textId="77777777" w:rsidR="000817FF" w:rsidRDefault="00FB291E">
      <w:pPr>
        <w:spacing w:after="120" w:line="360" w:lineRule="auto"/>
        <w:ind w:firstLine="420"/>
      </w:pPr>
      <w:r>
        <w:rPr>
          <w:sz w:val="21"/>
        </w:rPr>
        <w:t>第二，研究对象聚焦老年人群。老年患者是跌倒高风险人群，也是镇静催眠药安全性管理的重点人群。聚焦这一人群有较强的临床药学意义。</w:t>
      </w:r>
    </w:p>
    <w:p w14:paraId="5C8A0749" w14:textId="77777777" w:rsidR="000817FF" w:rsidRDefault="00FB291E">
      <w:pPr>
        <w:spacing w:after="120" w:line="360" w:lineRule="auto"/>
        <w:ind w:firstLine="420"/>
      </w:pPr>
      <w:r>
        <w:t>第三，结局定义强调特异性，并保留补充探索。本研究正式结局采用严格 PT 定义的跌倒事件，使主分析解释更清楚；广义跌倒相关变量仅作为补充分析，用于观察与跌倒风险相关的临床表现是否呈同向趋势。</w:t>
      </w:r>
    </w:p>
    <w:p w14:paraId="36467641" w14:textId="77777777" w:rsidR="000817FF" w:rsidRDefault="00FB291E">
      <w:pPr>
        <w:spacing w:after="120" w:line="360" w:lineRule="auto"/>
        <w:ind w:firstLine="420"/>
      </w:pPr>
      <w:r>
        <w:rPr>
          <w:sz w:val="21"/>
        </w:rPr>
        <w:t>第四，使用多种信号检测方法。本研究同时计算</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w:t>
      </w:r>
      <w:r>
        <w:rPr>
          <w:sz w:val="21"/>
        </w:rPr>
        <w:t>，避免单一算法造成结果片面。</w:t>
      </w:r>
    </w:p>
    <w:p w14:paraId="48336352" w14:textId="77777777" w:rsidR="000817FF" w:rsidRDefault="00FB291E">
      <w:pPr>
        <w:spacing w:after="120" w:line="360" w:lineRule="auto"/>
        <w:ind w:firstLine="420"/>
      </w:pPr>
      <w:r>
        <w:rPr>
          <w:sz w:val="21"/>
        </w:rPr>
        <w:lastRenderedPageBreak/>
        <w:t>第五，结合多因素校正和机器学习辅助分析。多因素模型用于控制部分可获得协变量，机器学习用于探索多维报告特征组合，两者为主信号分析提供补充。</w:t>
      </w:r>
    </w:p>
    <w:p w14:paraId="7676141B" w14:textId="77777777" w:rsidR="000817FF" w:rsidRDefault="00FB291E">
      <w:pPr>
        <w:pStyle w:val="21"/>
        <w:spacing w:before="160" w:after="80"/>
      </w:pPr>
      <w:bookmarkStart w:id="87" w:name="_Toc230281386"/>
      <w:r>
        <w:rPr>
          <w:rFonts w:ascii="Times New Roman" w:eastAsia="宋体" w:hAnsi="Times New Roman"/>
        </w:rPr>
        <w:t xml:space="preserve">6.9 </w:t>
      </w:r>
      <w:r>
        <w:rPr>
          <w:rFonts w:ascii="Times New Roman" w:eastAsia="宋体" w:hAnsi="Times New Roman"/>
        </w:rPr>
        <w:t>本研究的局限</w:t>
      </w:r>
      <w:bookmarkEnd w:id="87"/>
    </w:p>
    <w:p w14:paraId="2AEE4F6A" w14:textId="77777777" w:rsidR="000817FF" w:rsidRDefault="00FB291E">
      <w:pPr>
        <w:spacing w:after="120" w:line="360" w:lineRule="auto"/>
        <w:ind w:firstLine="420"/>
      </w:pPr>
      <w:r>
        <w:rPr>
          <w:sz w:val="21"/>
        </w:rPr>
        <w:t>本研究也存在明显局限。</w:t>
      </w:r>
    </w:p>
    <w:p w14:paraId="136955E0" w14:textId="77777777" w:rsidR="000817FF" w:rsidRDefault="00FB291E">
      <w:pPr>
        <w:spacing w:after="120" w:line="360" w:lineRule="auto"/>
        <w:ind w:firstLine="420"/>
      </w:pPr>
      <w:r>
        <w:rPr>
          <w:sz w:val="21"/>
        </w:rPr>
        <w:t>第一，</w:t>
      </w:r>
      <w:r>
        <w:rPr>
          <w:sz w:val="21"/>
        </w:rPr>
        <w:t xml:space="preserve">FAERS </w:t>
      </w:r>
      <w:r>
        <w:rPr>
          <w:sz w:val="21"/>
        </w:rPr>
        <w:t>是自发报告数据库，存在报告偏倚。某些药物或不良事件可能因媒体关注、监管警示、诉讼或临床认知变化而被更多报告。</w:t>
      </w:r>
      <w:r>
        <w:rPr>
          <w:sz w:val="21"/>
        </w:rPr>
        <w:t xml:space="preserve">FDA </w:t>
      </w:r>
      <w:r>
        <w:rPr>
          <w:sz w:val="21"/>
        </w:rPr>
        <w:t>和药物警戒方法学文献均提醒，</w:t>
      </w:r>
      <w:r>
        <w:rPr>
          <w:sz w:val="21"/>
        </w:rPr>
        <w:t xml:space="preserve">FAERS </w:t>
      </w:r>
      <w:r>
        <w:rPr>
          <w:sz w:val="21"/>
        </w:rPr>
        <w:t>适合发现潜在安全信号，但不能单独用于确认因果关系</w:t>
      </w:r>
      <w:r>
        <w:rPr>
          <w:sz w:val="18"/>
          <w:vertAlign w:val="superscript"/>
        </w:rPr>
        <w:t>[44-53]</w:t>
      </w:r>
      <w:r>
        <w:rPr>
          <w:sz w:val="21"/>
        </w:rPr>
        <w:t>。</w:t>
      </w:r>
    </w:p>
    <w:p>
      <w:pPr>
        <w:spacing w:line="360" w:lineRule="auto" w:before="0" w:after="120"/>
        <w:ind w:firstLine="420"/>
      </w:pPr>
      <w:r>
        <w:rPr>
          <w:rFonts w:ascii="Times New Roman" w:hAnsi="Times New Roman" w:eastAsia="宋体"/>
          <w:b w:val="0"/>
          <w:sz w:val="21"/>
        </w:rPr>
      </w:r>
      <w:r>
        <w:rPr>
          <w:rFonts w:ascii="Times New Roman" w:hAnsi="Times New Roman" w:eastAsia="宋体"/>
          <w:b w:val="0"/>
          <w:sz w:val="21"/>
        </w:rPr>
        <w:t>此外，年度趋势和监管节点前后分层分析容易受到监管警示、媒体关注、诉讼、报告制度变化和临床认知变化的影响。因此，本研究不能根据 2013 年或 2019 年前后的报告比例或 ROR 变化，推断 FDA 安全沟通本身导致了真实风险升高或降低。</w:t>
      </w:r>
    </w:p>
    <w:p w14:paraId="4B1026F9" w14:textId="77777777" w:rsidR="000817FF" w:rsidRDefault="00FB291E">
      <w:pPr>
        <w:spacing w:after="120" w:line="360" w:lineRule="auto"/>
        <w:ind w:firstLine="420"/>
      </w:pPr>
      <w:r>
        <w:rPr>
          <w:sz w:val="21"/>
        </w:rPr>
        <w:t>第二，</w:t>
      </w:r>
      <w:r>
        <w:rPr>
          <w:sz w:val="21"/>
        </w:rPr>
        <w:t xml:space="preserve">FAERS </w:t>
      </w:r>
      <w:r>
        <w:rPr>
          <w:sz w:val="21"/>
        </w:rPr>
        <w:t>缺少真实用药总人数，因此不能计算发生率。本研究中的报告比例不能理解为临床发生率，</w:t>
      </w:r>
      <w:r>
        <w:rPr>
          <w:sz w:val="21"/>
        </w:rPr>
        <w:t>ROR</w:t>
      </w:r>
      <w:r>
        <w:rPr>
          <w:sz w:val="21"/>
        </w:rPr>
        <w:t>、</w:t>
      </w:r>
      <w:r>
        <w:rPr>
          <w:sz w:val="21"/>
        </w:rPr>
        <w:t>PRR</w:t>
      </w:r>
      <w:r>
        <w:rPr>
          <w:sz w:val="21"/>
        </w:rPr>
        <w:t>、</w:t>
      </w:r>
      <w:r>
        <w:rPr>
          <w:sz w:val="21"/>
        </w:rPr>
        <w:t xml:space="preserve">IC </w:t>
      </w:r>
      <w:r>
        <w:rPr>
          <w:sz w:val="21"/>
        </w:rPr>
        <w:t>和</w:t>
      </w:r>
      <w:r>
        <w:rPr>
          <w:sz w:val="21"/>
        </w:rPr>
        <w:t xml:space="preserve"> EBGM </w:t>
      </w:r>
      <w:r>
        <w:rPr>
          <w:sz w:val="21"/>
        </w:rPr>
        <w:t>也只能反映不成比例报告信号。</w:t>
      </w:r>
      <w:r>
        <w:rPr>
          <w:sz w:val="21"/>
        </w:rPr>
        <w:t>PRR</w:t>
      </w:r>
      <w:r>
        <w:rPr>
          <w:sz w:val="21"/>
        </w:rPr>
        <w:t>、</w:t>
      </w:r>
      <w:r>
        <w:rPr>
          <w:sz w:val="21"/>
        </w:rPr>
        <w:t>ROR</w:t>
      </w:r>
      <w:r>
        <w:rPr>
          <w:sz w:val="21"/>
        </w:rPr>
        <w:t>、</w:t>
      </w:r>
      <w:r>
        <w:rPr>
          <w:sz w:val="21"/>
        </w:rPr>
        <w:t xml:space="preserve">IC </w:t>
      </w:r>
      <w:r>
        <w:rPr>
          <w:sz w:val="21"/>
        </w:rPr>
        <w:t>和</w:t>
      </w:r>
      <w:r>
        <w:rPr>
          <w:sz w:val="21"/>
        </w:rPr>
        <w:t xml:space="preserve"> EBGM </w:t>
      </w:r>
      <w:r>
        <w:rPr>
          <w:sz w:val="21"/>
        </w:rPr>
        <w:t>是自发报告系统中常用的信号检测方法，适合用于早期发现潜在药物</w:t>
      </w:r>
      <w:r>
        <w:rPr>
          <w:sz w:val="21"/>
        </w:rPr>
        <w:t>-</w:t>
      </w:r>
      <w:r>
        <w:rPr>
          <w:sz w:val="21"/>
        </w:rPr>
        <w:t>事件组合，但其结果仍需结合临床和真实世界研究验证</w:t>
      </w:r>
      <w:r>
        <w:rPr>
          <w:sz w:val="18"/>
          <w:vertAlign w:val="superscript"/>
        </w:rPr>
        <w:t>[54-60]</w:t>
      </w:r>
      <w:r>
        <w:rPr>
          <w:sz w:val="21"/>
        </w:rPr>
        <w:t>。</w:t>
      </w:r>
    </w:p>
    <w:p w14:paraId="45B40BED" w14:textId="77777777" w:rsidR="000817FF" w:rsidRDefault="00FB291E">
      <w:pPr>
        <w:spacing w:after="120" w:line="360" w:lineRule="auto"/>
        <w:ind w:firstLine="420"/>
      </w:pPr>
      <w:r>
        <w:rPr>
          <w:sz w:val="21"/>
        </w:rPr>
        <w:t>第三，</w:t>
      </w:r>
      <w:r>
        <w:rPr>
          <w:sz w:val="21"/>
        </w:rPr>
        <w:t xml:space="preserve">FAERS </w:t>
      </w:r>
      <w:r>
        <w:rPr>
          <w:sz w:val="21"/>
        </w:rPr>
        <w:t>数据不能证明因果关系。唑吡坦相关报告中跌倒事件增多，并不等于可以直接认定唑吡坦导致跌倒。患者基础疾病、合并用药、失眠本身、认知状态、环境因素等都可能影响跌倒发生。</w:t>
      </w:r>
    </w:p>
    <w:p w14:paraId="273A6B66" w14:textId="77777777" w:rsidR="000817FF" w:rsidRDefault="00FB291E">
      <w:pPr>
        <w:spacing w:after="120" w:line="360" w:lineRule="auto"/>
        <w:ind w:firstLine="420"/>
      </w:pPr>
      <w:r>
        <w:rPr>
          <w:sz w:val="21"/>
        </w:rPr>
        <w:t>第四，剂量、疗程和用药时间信息不完整。跌倒风险可能与剂量、服药时间、治疗持续时间和夜间活动有关，但这些信息在</w:t>
      </w:r>
      <w:r>
        <w:rPr>
          <w:sz w:val="21"/>
        </w:rPr>
        <w:t xml:space="preserve"> FAERS </w:t>
      </w:r>
      <w:r>
        <w:rPr>
          <w:sz w:val="21"/>
        </w:rPr>
        <w:t>中往往缺失或不规范。</w:t>
      </w:r>
    </w:p>
    <w:p w14:paraId="0736FBE7" w14:textId="77777777" w:rsidR="000817FF" w:rsidRDefault="00FB291E">
      <w:pPr>
        <w:spacing w:after="120" w:line="360" w:lineRule="auto"/>
        <w:ind w:firstLine="420"/>
      </w:pPr>
      <w:r>
        <w:rPr>
          <w:sz w:val="21"/>
        </w:rPr>
        <w:t>第五，合并疾病和适应证信息有限。虽然本研究通过结构化字段构建了部分适应证和疾病系统变量，但这些变量不能完全代表患者真实疾病负担。</w:t>
      </w:r>
    </w:p>
    <w:p w14:paraId="636A8A35" w14:textId="77777777" w:rsidR="000817FF" w:rsidRDefault="00FB291E">
      <w:pPr>
        <w:spacing w:after="120" w:line="360" w:lineRule="auto"/>
        <w:ind w:firstLine="420"/>
      </w:pPr>
      <w:r>
        <w:rPr>
          <w:sz w:val="21"/>
        </w:rPr>
        <w:t>第六，机器学习模型外推性有限。本研究模型基于</w:t>
      </w:r>
      <w:r>
        <w:rPr>
          <w:sz w:val="21"/>
        </w:rPr>
        <w:t xml:space="preserve"> FAERS </w:t>
      </w:r>
      <w:r>
        <w:rPr>
          <w:sz w:val="21"/>
        </w:rPr>
        <w:t>报告数据训练，反映的是报告模式，不应直接推广为真实临床环境中的个体风险预测模型。</w:t>
      </w:r>
    </w:p>
    <w:p w14:paraId="0945036D" w14:textId="77777777" w:rsidR="000817FF" w:rsidRDefault="00FB291E">
      <w:pPr>
        <w:pStyle w:val="21"/>
        <w:spacing w:before="160" w:after="80"/>
      </w:pPr>
      <w:bookmarkStart w:id="88" w:name="_Toc230281387"/>
      <w:r>
        <w:rPr>
          <w:rFonts w:ascii="Times New Roman" w:eastAsia="宋体" w:hAnsi="Times New Roman"/>
        </w:rPr>
        <w:t xml:space="preserve">6.10 </w:t>
      </w:r>
      <w:r>
        <w:rPr>
          <w:rFonts w:ascii="Times New Roman" w:eastAsia="宋体" w:hAnsi="Times New Roman"/>
        </w:rPr>
        <w:t>后续研究方向</w:t>
      </w:r>
      <w:bookmarkEnd w:id="88"/>
    </w:p>
    <w:p w14:paraId="37A11CDA" w14:textId="77777777" w:rsidR="000817FF" w:rsidRDefault="00FB291E">
      <w:pPr>
        <w:spacing w:after="120" w:line="360" w:lineRule="auto"/>
        <w:ind w:firstLine="420"/>
      </w:pPr>
      <w:r>
        <w:rPr>
          <w:sz w:val="21"/>
        </w:rPr>
        <w:t>未来研究可以从以下方面继续推进。</w:t>
      </w:r>
    </w:p>
    <w:p w14:paraId="3ADCB023" w14:textId="77777777" w:rsidR="000817FF" w:rsidRDefault="00FB291E">
      <w:pPr>
        <w:spacing w:after="120" w:line="360" w:lineRule="auto"/>
        <w:ind w:firstLine="420"/>
      </w:pPr>
      <w:r>
        <w:rPr>
          <w:sz w:val="21"/>
        </w:rPr>
        <w:t>第一，使用医保数据库、电子病历数据库或处方数据库进行验证。这类数据库通常具有明确用药人群分母，可用于估计真实发生率或相对风险。</w:t>
      </w:r>
    </w:p>
    <w:p w14:paraId="3F5DF97E" w14:textId="77777777" w:rsidR="000817FF" w:rsidRDefault="00FB291E">
      <w:pPr>
        <w:spacing w:after="120" w:line="360" w:lineRule="auto"/>
        <w:ind w:firstLine="420"/>
      </w:pPr>
      <w:r>
        <w:rPr>
          <w:sz w:val="21"/>
        </w:rPr>
        <w:t>第二，进一步开展剂量和疗程分析。如果能获得更完整的处方信息，可评估不同剂量、不同疗程和不同使用方式下的跌倒风险。</w:t>
      </w:r>
    </w:p>
    <w:p w14:paraId="13393B41" w14:textId="77777777" w:rsidR="000817FF" w:rsidRDefault="00FB291E">
      <w:pPr>
        <w:spacing w:after="120" w:line="360" w:lineRule="auto"/>
        <w:ind w:firstLine="420"/>
      </w:pPr>
      <w:r>
        <w:rPr>
          <w:sz w:val="21"/>
        </w:rPr>
        <w:t>第三，比较不同</w:t>
      </w:r>
      <w:r>
        <w:rPr>
          <w:sz w:val="21"/>
        </w:rPr>
        <w:t xml:space="preserve"> Z-drugs </w:t>
      </w:r>
      <w:r>
        <w:rPr>
          <w:sz w:val="21"/>
        </w:rPr>
        <w:t>的安全性差异。</w:t>
      </w:r>
      <w:r>
        <w:rPr>
          <w:sz w:val="21"/>
        </w:rPr>
        <w:t xml:space="preserve">FAERS </w:t>
      </w:r>
      <w:r>
        <w:rPr>
          <w:sz w:val="21"/>
        </w:rPr>
        <w:t>分析提示唑吡坦值得重点关注，但不同</w:t>
      </w:r>
      <w:r>
        <w:rPr>
          <w:sz w:val="21"/>
        </w:rPr>
        <w:t xml:space="preserve"> Z-drugs </w:t>
      </w:r>
      <w:r>
        <w:rPr>
          <w:sz w:val="21"/>
        </w:rPr>
        <w:t>之间真实风险差异仍需更严格研究设计验证。</w:t>
      </w:r>
    </w:p>
    <w:p w14:paraId="15A2F658" w14:textId="77777777" w:rsidR="000817FF" w:rsidRDefault="00FB291E">
      <w:pPr>
        <w:spacing w:after="120" w:line="360" w:lineRule="auto"/>
        <w:ind w:firstLine="420"/>
      </w:pPr>
      <w:r>
        <w:rPr>
          <w:sz w:val="21"/>
        </w:rPr>
        <w:t>第四，结合药师干预研究。可设计老年镇静催眠药用药审查、跌倒风险筛查和</w:t>
      </w:r>
      <w:r>
        <w:rPr>
          <w:sz w:val="21"/>
        </w:rPr>
        <w:t xml:space="preserve"> deprescribing </w:t>
      </w:r>
      <w:r>
        <w:rPr>
          <w:sz w:val="21"/>
        </w:rPr>
        <w:t>干预研究，观察药师参与是否能降低高风险用药和跌倒事件。</w:t>
      </w:r>
    </w:p>
    <w:p w14:paraId="27D15D9F" w14:textId="77777777" w:rsidR="000817FF" w:rsidRDefault="00FB291E">
      <w:pPr>
        <w:pStyle w:val="21"/>
        <w:spacing w:before="160" w:after="80"/>
      </w:pPr>
      <w:bookmarkStart w:id="89" w:name="_Toc230281388"/>
      <w:r>
        <w:rPr>
          <w:rFonts w:ascii="Times New Roman" w:eastAsia="宋体" w:hAnsi="Times New Roman"/>
        </w:rPr>
        <w:lastRenderedPageBreak/>
        <w:t xml:space="preserve">6.11 </w:t>
      </w:r>
      <w:r>
        <w:rPr>
          <w:rFonts w:ascii="Times New Roman" w:eastAsia="宋体" w:hAnsi="Times New Roman"/>
        </w:rPr>
        <w:t>本章小结</w:t>
      </w:r>
      <w:bookmarkEnd w:id="89"/>
    </w:p>
    <w:p w14:paraId="26015376" w14:textId="77777777" w:rsidR="000817FF" w:rsidRDefault="00FB291E">
      <w:pPr>
        <w:spacing w:after="120" w:line="360" w:lineRule="auto"/>
        <w:ind w:firstLine="420"/>
      </w:pPr>
      <w:r>
        <w:t>本研究在大规模 FAERS 老年病例中观察到唑吡坦相关严格跌倒事件报告信号。该信号在 PS+SS 主分析和 PS only 敏感性分析中方向一致，并在多因素校正后仍然存在。高龄、多重用药和合并中枢神经系统药物使用可能进一步增加跌倒相关报告比例。</w:t>
      </w:r>
    </w:p>
    <w:p w14:paraId="1BEBA046" w14:textId="77777777" w:rsidR="000817FF" w:rsidRDefault="00FB291E">
      <w:pPr>
        <w:spacing w:after="120" w:line="360" w:lineRule="auto"/>
        <w:ind w:firstLine="420"/>
      </w:pPr>
      <w:r>
        <w:rPr>
          <w:sz w:val="21"/>
        </w:rPr>
        <w:t>从药学角度看，唑吡坦通过中枢镇静、反应能力下降、运动协调受损和次日残余效应等机制，可能与老年患者跌倒风险增加有关。本研究结果支持临床药师在老年患者中加强唑吡坦用药评估，尤其关注高龄、多重用药和合并中枢神经系统药物使用者。</w:t>
      </w:r>
    </w:p>
    <w:p w14:paraId="39705F11" w14:textId="77777777" w:rsidR="000817FF" w:rsidRDefault="00FB291E">
      <w:pPr>
        <w:spacing w:after="120" w:line="360" w:lineRule="auto"/>
        <w:ind w:firstLine="420"/>
      </w:pPr>
      <w:r>
        <w:rPr>
          <w:sz w:val="21"/>
        </w:rPr>
        <w:t>同时，本研究结论应限定在药物警戒信号层面。</w:t>
      </w:r>
      <w:r>
        <w:rPr>
          <w:sz w:val="21"/>
        </w:rPr>
        <w:t xml:space="preserve">FAERS </w:t>
      </w:r>
      <w:r>
        <w:rPr>
          <w:sz w:val="21"/>
        </w:rPr>
        <w:t>分析不能证明因果关系，也不能替代临床研究。未来仍需结合更完整的真实世界数据库和前瞻性研究进一步验证。</w:t>
      </w:r>
    </w:p>
    <w:p w14:paraId="26FBED83" w14:textId="77777777" w:rsidR="000817FF" w:rsidRDefault="00FB291E">
      <w:r>
        <w:br w:type="page"/>
      </w:r>
    </w:p>
    <w:p w14:paraId="29D3885E" w14:textId="77777777" w:rsidR="000817FF" w:rsidRDefault="00FB291E">
      <w:pPr>
        <w:pStyle w:val="1"/>
        <w:spacing w:before="240" w:after="160"/>
        <w:jc w:val="center"/>
      </w:pPr>
      <w:bookmarkStart w:id="90" w:name="_Toc230281389"/>
      <w:r>
        <w:rPr>
          <w:rFonts w:ascii="Times New Roman" w:eastAsia="宋体" w:hAnsi="Times New Roman"/>
        </w:rPr>
        <w:lastRenderedPageBreak/>
        <w:t>第七章</w:t>
      </w:r>
      <w:r>
        <w:rPr>
          <w:rFonts w:ascii="Times New Roman" w:eastAsia="宋体" w:hAnsi="Times New Roman"/>
        </w:rPr>
        <w:t xml:space="preserve"> </w:t>
      </w:r>
      <w:r>
        <w:rPr>
          <w:rFonts w:ascii="Times New Roman" w:eastAsia="宋体" w:hAnsi="Times New Roman"/>
        </w:rPr>
        <w:t>结论与展望</w:t>
      </w:r>
      <w:bookmarkEnd w:id="90"/>
    </w:p>
    <w:p w14:paraId="33234675" w14:textId="77777777" w:rsidR="000817FF" w:rsidRDefault="00FB291E">
      <w:pPr>
        <w:pStyle w:val="21"/>
        <w:spacing w:before="160" w:after="80"/>
      </w:pPr>
      <w:bookmarkStart w:id="91" w:name="_Toc230281390"/>
      <w:r>
        <w:rPr>
          <w:rFonts w:ascii="Times New Roman" w:eastAsia="宋体" w:hAnsi="Times New Roman"/>
        </w:rPr>
        <w:t xml:space="preserve">7.1 </w:t>
      </w:r>
      <w:r>
        <w:rPr>
          <w:rFonts w:ascii="Times New Roman" w:eastAsia="宋体" w:hAnsi="Times New Roman"/>
        </w:rPr>
        <w:t>研究结论</w:t>
      </w:r>
      <w:bookmarkEnd w:id="91"/>
    </w:p>
    <w:p w14:paraId="6B52B4D8" w14:textId="77777777" w:rsidR="000817FF" w:rsidRDefault="00FB291E">
      <w:pPr>
        <w:spacing w:after="120" w:line="360" w:lineRule="auto"/>
        <w:ind w:firstLine="420"/>
      </w:pPr>
      <w:r>
        <w:rPr>
          <w:sz w:val="21"/>
        </w:rPr>
        <w:t>本研究基于</w:t>
      </w:r>
      <w:r>
        <w:rPr>
          <w:sz w:val="21"/>
        </w:rPr>
        <w:t xml:space="preserve"> 2004-2025 </w:t>
      </w:r>
      <w:r>
        <w:rPr>
          <w:sz w:val="21"/>
        </w:rPr>
        <w:t>年</w:t>
      </w:r>
      <w:r>
        <w:rPr>
          <w:sz w:val="21"/>
        </w:rPr>
        <w:t xml:space="preserve"> FAERS </w:t>
      </w:r>
      <w:r>
        <w:rPr>
          <w:sz w:val="21"/>
        </w:rPr>
        <w:t>数据库，对老年人群中唑吡坦相关跌倒事件进行了药物警戒信号挖掘，并结合多因素校正分析和机器学习方法进行辅助探索。</w:t>
      </w:r>
      <w:r>
        <w:rPr>
          <w:sz w:val="21"/>
        </w:rPr>
        <w:t xml:space="preserve">FAERS </w:t>
      </w:r>
      <w:r>
        <w:rPr>
          <w:sz w:val="21"/>
        </w:rPr>
        <w:t>可用于上市后安全信号发现，但自发报告数据不能直接计算真实发生率，也不能单独证明因果关系</w:t>
      </w:r>
      <w:r>
        <w:rPr>
          <w:sz w:val="18"/>
          <w:vertAlign w:val="superscript"/>
        </w:rPr>
        <w:t>[44-53]</w:t>
      </w:r>
      <w:r>
        <w:rPr>
          <w:sz w:val="21"/>
        </w:rPr>
        <w:t>。研究得到以下主要结论。</w:t>
      </w:r>
    </w:p>
    <w:p w14:paraId="5EF0A11A" w14:textId="77777777" w:rsidR="000817FF" w:rsidRDefault="00FB291E">
      <w:pPr>
        <w:spacing w:after="120" w:line="360" w:lineRule="auto"/>
        <w:ind w:firstLine="420"/>
      </w:pPr>
      <w:r>
        <w:t>第一，在 FAERS 老年病例中，唑吡坦相关报告与严格 PT 跌倒事件之间存在明显不成比例报告信号。主分析采用 PS+SS 暴露定义，排除混合 Z-drug 暴露病例后，唑吡坦 suspect 暴露组严格 PT 跌倒事件报告比例为 13.38%，参照组为 3.16%。ROR、PRR、IC 和 EBGM 四种信号检测方法均提示阳性信号，这些方法均是自发报告系统中常用的药物警戒信号检测工具[54-60]。</w:t>
      </w:r>
    </w:p>
    <w:p w14:paraId="50614C2B" w14:textId="77777777" w:rsidR="000817FF" w:rsidRDefault="00FB291E">
      <w:pPr>
        <w:spacing w:after="120" w:line="360" w:lineRule="auto"/>
        <w:ind w:firstLine="420"/>
      </w:pPr>
      <w:r>
        <w:t>第二，补充探索和 PS only 敏感性分析结果与主分析方向一致。补充探索中，唑吡坦 suspect 暴露组广义跌倒相关事件（补充）报告比例高于参照组；PS only 口径下，唑吡坦 primary suspect 暴露与严格跌倒事件之间仍可观察到阳性报告信号。这说明本研究结果不完全依赖单一暴露定义。</w:t>
      </w:r>
    </w:p>
    <w:p w14:paraId="3FB3F2C6" w14:textId="77777777" w:rsidR="000817FF" w:rsidRDefault="00FB291E">
      <w:pPr>
        <w:spacing w:after="120" w:line="360" w:lineRule="auto"/>
        <w:ind w:firstLine="420"/>
      </w:pPr>
      <w:r>
        <w:rPr>
          <w:sz w:val="21"/>
        </w:rPr>
        <w:t>第三，多因素校正分析显示，在控制年龄、性别、年份、季度、多重用药、苯二氮卓类药物、抗抑郁药、抗精神病药、阿片类药物和抗癫痫药等可获得协变量后，唑吡坦</w:t>
      </w:r>
      <w:r>
        <w:rPr>
          <w:sz w:val="21"/>
        </w:rPr>
        <w:t xml:space="preserve"> suspect </w:t>
      </w:r>
      <w:r>
        <w:rPr>
          <w:sz w:val="21"/>
        </w:rPr>
        <w:t>暴露与跌倒相关事件之间仍保持较高的报告优势。加入严重结局变量后，结果方向仍然稳定。</w:t>
      </w:r>
    </w:p>
    <w:p w14:paraId="75757802" w14:textId="77777777" w:rsidR="000817FF" w:rsidRDefault="00FB291E">
      <w:pPr>
        <w:spacing w:after="120" w:line="360" w:lineRule="auto"/>
        <w:ind w:firstLine="420"/>
      </w:pPr>
      <w:r>
        <w:rPr>
          <w:sz w:val="21"/>
        </w:rPr>
        <w:t>第四，探索性分层分析提示，高龄、多重用药以及合并部分中枢神经系统相关药物的病例中，跌倒相关事件报告比例较高。尤其是</w:t>
      </w:r>
      <w:r>
        <w:rPr>
          <w:sz w:val="21"/>
        </w:rPr>
        <w:t xml:space="preserve"> 85 </w:t>
      </w:r>
      <w:r>
        <w:rPr>
          <w:sz w:val="21"/>
        </w:rPr>
        <w:t>岁及以上、多重用药、合并抗抑郁药、合并阿片类药物和合并抗癫痫药等情况，可能是临床药学实践中需要重点关注的风险背景。这一结果与老年跌倒风险因素、药物相关跌倒和老年潜在不适当用药文献认识基本一致</w:t>
      </w:r>
      <w:r>
        <w:rPr>
          <w:sz w:val="18"/>
          <w:vertAlign w:val="superscript"/>
        </w:rPr>
        <w:t>[1,25-43]</w:t>
      </w:r>
      <w:r>
        <w:rPr>
          <w:sz w:val="21"/>
        </w:rPr>
        <w:t>。</w:t>
      </w:r>
    </w:p>
    <w:p w14:paraId="3689DC03" w14:textId="77777777" w:rsidR="000817FF" w:rsidRDefault="00FB291E">
      <w:pPr>
        <w:spacing w:after="120" w:line="360" w:lineRule="auto"/>
        <w:ind w:firstLine="420"/>
      </w:pPr>
      <w:r>
        <w:t>第五，机器学习辅助分析显示，基于 FAERS 病例级结构化特征可以对严格跌倒事件报告进行一定程度的风险排序。增强特征集下 XGBoost 模型在 2025 年测试集中的 ROC-AUC 为 0.805，average precision 为 0.173，前 5% 高风险病例中的严格跌倒事件比例约为总体的 6.03 倍。该结果提示机器学习模型可作为药物警戒研究中的辅助筛选工具，但不能替代传统信号挖掘方法，也不能直接用于临床个体预测[61-68]。</w:t>
      </w:r>
    </w:p>
    <w:p w14:paraId="61CA3F85" w14:textId="77777777" w:rsidR="000817FF" w:rsidRDefault="00FB291E">
      <w:pPr>
        <w:spacing w:after="120" w:line="360" w:lineRule="auto"/>
        <w:ind w:firstLine="420"/>
      </w:pPr>
      <w:r>
        <w:rPr>
          <w:sz w:val="21"/>
        </w:rPr>
        <w:t>总体而言，本研究提示，在</w:t>
      </w:r>
      <w:r>
        <w:rPr>
          <w:sz w:val="21"/>
        </w:rPr>
        <w:t xml:space="preserve"> FAERS </w:t>
      </w:r>
      <w:r>
        <w:rPr>
          <w:sz w:val="21"/>
        </w:rPr>
        <w:t>老年病例中，唑吡坦相关报告存在跌倒相关不良事件信号。临床使用唑吡坦时，应特别关注高龄、多重用药以及合并中枢神经系统药物使用患者的跌倒风险。既往指南、</w:t>
      </w:r>
      <w:r>
        <w:rPr>
          <w:sz w:val="21"/>
        </w:rPr>
        <w:t xml:space="preserve">FDA </w:t>
      </w:r>
      <w:r>
        <w:rPr>
          <w:sz w:val="21"/>
        </w:rPr>
        <w:t>安全警示和观察性研究也提示，老年人使用</w:t>
      </w:r>
      <w:r>
        <w:rPr>
          <w:sz w:val="21"/>
        </w:rPr>
        <w:t xml:space="preserve"> Z-drugs </w:t>
      </w:r>
      <w:r>
        <w:rPr>
          <w:sz w:val="21"/>
        </w:rPr>
        <w:t>时应充分评估跌倒、骨折、次日损害和复杂睡眠行为等风险</w:t>
      </w:r>
      <w:r>
        <w:rPr>
          <w:sz w:val="18"/>
          <w:vertAlign w:val="superscript"/>
        </w:rPr>
        <w:t>[1-5,9-22,69-70]</w:t>
      </w:r>
      <w:r>
        <w:rPr>
          <w:sz w:val="21"/>
        </w:rPr>
        <w:t>。</w:t>
      </w:r>
    </w:p>
    <w:p w14:paraId="26F3C8C1" w14:textId="77777777" w:rsidR="000817FF" w:rsidRDefault="00FB291E">
      <w:pPr>
        <w:pStyle w:val="21"/>
        <w:spacing w:before="160" w:after="80"/>
      </w:pPr>
      <w:bookmarkStart w:id="92" w:name="_Toc230281391"/>
      <w:r>
        <w:rPr>
          <w:rFonts w:ascii="Times New Roman" w:eastAsia="宋体" w:hAnsi="Times New Roman"/>
        </w:rPr>
        <w:t xml:space="preserve">7.2 </w:t>
      </w:r>
      <w:r>
        <w:rPr>
          <w:rFonts w:ascii="Times New Roman" w:eastAsia="宋体" w:hAnsi="Times New Roman"/>
        </w:rPr>
        <w:t>研究创新点</w:t>
      </w:r>
      <w:bookmarkEnd w:id="92"/>
    </w:p>
    <w:p w14:paraId="71695C1E" w14:textId="77777777" w:rsidR="000817FF" w:rsidRDefault="00FB291E">
      <w:pPr>
        <w:spacing w:after="120" w:line="360" w:lineRule="auto"/>
        <w:ind w:firstLine="420"/>
      </w:pPr>
      <w:r>
        <w:rPr>
          <w:sz w:val="21"/>
        </w:rPr>
        <w:t>本研究的创新点主要体现在以下几个方面。</w:t>
      </w:r>
    </w:p>
    <w:p w14:paraId="71FFDA17" w14:textId="77777777" w:rsidR="000817FF" w:rsidRDefault="00FB291E">
      <w:pPr>
        <w:spacing w:after="120" w:line="360" w:lineRule="auto"/>
        <w:ind w:firstLine="420"/>
      </w:pPr>
      <w:r>
        <w:rPr>
          <w:sz w:val="21"/>
        </w:rPr>
        <w:lastRenderedPageBreak/>
        <w:t>第一，研究时间跨度较长。本研究整合</w:t>
      </w:r>
      <w:r>
        <w:rPr>
          <w:sz w:val="21"/>
        </w:rPr>
        <w:t xml:space="preserve"> 2004-2025 </w:t>
      </w:r>
      <w:r>
        <w:rPr>
          <w:sz w:val="21"/>
        </w:rPr>
        <w:t>年</w:t>
      </w:r>
      <w:r>
        <w:rPr>
          <w:sz w:val="21"/>
        </w:rPr>
        <w:t xml:space="preserve"> FAERS </w:t>
      </w:r>
      <w:r>
        <w:rPr>
          <w:sz w:val="21"/>
        </w:rPr>
        <w:t>数据，构建了全周期病例级数据集，能够较全面地反映唑吡坦上市后长期不良事件报告情况。</w:t>
      </w:r>
    </w:p>
    <w:p w14:paraId="7F5E9378" w14:textId="77777777" w:rsidR="000817FF" w:rsidRDefault="00FB291E">
      <w:pPr>
        <w:spacing w:after="120" w:line="360" w:lineRule="auto"/>
        <w:ind w:firstLine="420"/>
      </w:pPr>
      <w:r>
        <w:rPr>
          <w:sz w:val="21"/>
        </w:rPr>
        <w:t>第二，研究对象聚焦老年人群。相比全人群分析，老年人群更符合唑吡坦相关跌倒风险的临床药学关注重点，也更贴近老年潜在不适当用药管理问题。</w:t>
      </w:r>
    </w:p>
    <w:p w14:paraId="6A4C712E" w14:textId="77777777" w:rsidR="000817FF" w:rsidRDefault="00FB291E">
      <w:pPr>
        <w:spacing w:after="120" w:line="360" w:lineRule="auto"/>
        <w:ind w:firstLine="420"/>
      </w:pPr>
      <w:r>
        <w:t>第三，结局定义兼顾主分析特异性和补充探索。本研究正式结局采用严格 PT 定义的跌倒事件，保证结果解释清楚；广义跌倒相关变量用于补充分析，帮助观察与跌倒风险相关的临床表现。</w:t>
      </w:r>
    </w:p>
    <w:p w14:paraId="119EE507" w14:textId="77777777" w:rsidR="000817FF" w:rsidRDefault="00FB291E">
      <w:pPr>
        <w:spacing w:after="120" w:line="360" w:lineRule="auto"/>
        <w:ind w:firstLine="420"/>
      </w:pPr>
      <w:r>
        <w:rPr>
          <w:sz w:val="21"/>
        </w:rPr>
        <w:t>第四，暴露定义设置主分析和敏感性分析。本研究以</w:t>
      </w:r>
      <w:r>
        <w:rPr>
          <w:sz w:val="21"/>
        </w:rPr>
        <w:t xml:space="preserve"> PS+SS </w:t>
      </w:r>
      <w:r>
        <w:rPr>
          <w:sz w:val="21"/>
        </w:rPr>
        <w:t>作为主分析口径，以</w:t>
      </w:r>
      <w:r>
        <w:rPr>
          <w:sz w:val="21"/>
        </w:rPr>
        <w:t xml:space="preserve"> PS only </w:t>
      </w:r>
      <w:r>
        <w:rPr>
          <w:sz w:val="21"/>
        </w:rPr>
        <w:t>作为敏感性分析口径，从不同可疑药物角色定义下验证结果稳定性。</w:t>
      </w:r>
    </w:p>
    <w:p w14:paraId="17C505ED" w14:textId="77777777" w:rsidR="000817FF" w:rsidRDefault="00FB291E">
      <w:pPr>
        <w:spacing w:after="120" w:line="360" w:lineRule="auto"/>
        <w:ind w:firstLine="420"/>
      </w:pPr>
      <w:r>
        <w:rPr>
          <w:sz w:val="21"/>
        </w:rPr>
        <w:t>第五，方法上结合传统药物警戒和机器学习。研究不仅使用</w:t>
      </w:r>
      <w:r>
        <w:rPr>
          <w:sz w:val="21"/>
        </w:rPr>
        <w:t xml:space="preserve"> ROR</w:t>
      </w:r>
      <w:r>
        <w:rPr>
          <w:sz w:val="21"/>
        </w:rPr>
        <w:t>、</w:t>
      </w:r>
      <w:r>
        <w:rPr>
          <w:sz w:val="21"/>
        </w:rPr>
        <w:t>PRR</w:t>
      </w:r>
      <w:r>
        <w:rPr>
          <w:sz w:val="21"/>
        </w:rPr>
        <w:t>、</w:t>
      </w:r>
      <w:r>
        <w:rPr>
          <w:sz w:val="21"/>
        </w:rPr>
        <w:t xml:space="preserve">IC </w:t>
      </w:r>
      <w:r>
        <w:rPr>
          <w:sz w:val="21"/>
        </w:rPr>
        <w:t>和</w:t>
      </w:r>
      <w:r>
        <w:rPr>
          <w:sz w:val="21"/>
        </w:rPr>
        <w:t xml:space="preserve"> EBGM </w:t>
      </w:r>
      <w:r>
        <w:rPr>
          <w:sz w:val="21"/>
        </w:rPr>
        <w:t>进行信号挖掘，还进一步使用多因素校正模型和机器学习模型探索多维报告特征，为药物警戒研究提供了更丰富的分析视角。</w:t>
      </w:r>
    </w:p>
    <w:p w14:paraId="7C811A67" w14:textId="77777777" w:rsidR="000817FF" w:rsidRDefault="00FB291E">
      <w:pPr>
        <w:pStyle w:val="21"/>
        <w:spacing w:before="160" w:after="80"/>
      </w:pPr>
      <w:bookmarkStart w:id="93" w:name="_Toc230281392"/>
      <w:r>
        <w:rPr>
          <w:rFonts w:ascii="Times New Roman" w:eastAsia="宋体" w:hAnsi="Times New Roman"/>
        </w:rPr>
        <w:t xml:space="preserve">7.3 </w:t>
      </w:r>
      <w:r>
        <w:rPr>
          <w:rFonts w:ascii="Times New Roman" w:eastAsia="宋体" w:hAnsi="Times New Roman"/>
        </w:rPr>
        <w:t>研究不足</w:t>
      </w:r>
      <w:bookmarkEnd w:id="93"/>
    </w:p>
    <w:p w14:paraId="7FDEE24B" w14:textId="77777777" w:rsidR="000817FF" w:rsidRDefault="00FB291E">
      <w:pPr>
        <w:spacing w:after="120" w:line="360" w:lineRule="auto"/>
        <w:ind w:firstLine="420"/>
      </w:pPr>
      <w:r>
        <w:rPr>
          <w:sz w:val="21"/>
        </w:rPr>
        <w:t>本研究仍存在以下不足。</w:t>
      </w:r>
    </w:p>
    <w:p w14:paraId="249C4146" w14:textId="77777777" w:rsidR="000817FF" w:rsidRDefault="00FB291E">
      <w:pPr>
        <w:spacing w:after="120" w:line="360" w:lineRule="auto"/>
        <w:ind w:firstLine="420"/>
      </w:pPr>
      <w:r>
        <w:rPr>
          <w:sz w:val="21"/>
        </w:rPr>
        <w:t>第一，</w:t>
      </w:r>
      <w:r>
        <w:rPr>
          <w:sz w:val="21"/>
        </w:rPr>
        <w:t xml:space="preserve">FAERS </w:t>
      </w:r>
      <w:r>
        <w:rPr>
          <w:sz w:val="21"/>
        </w:rPr>
        <w:t>属于自发报告数据库，存在报告偏倚、选择性报告和信息不完整等问题。报告数量可能受到监管警示、媒体关注、国家报告制度和临床认知变化影响</w:t>
      </w:r>
      <w:r>
        <w:rPr>
          <w:sz w:val="18"/>
          <w:vertAlign w:val="superscript"/>
        </w:rPr>
        <w:t>[44-53]</w:t>
      </w:r>
      <w:r>
        <w:rPr>
          <w:sz w:val="21"/>
        </w:rPr>
        <w:t>。</w:t>
      </w:r>
    </w:p>
    <w:p w14:paraId="1980CECF" w14:textId="77777777" w:rsidR="000817FF" w:rsidRDefault="00FB291E">
      <w:pPr>
        <w:spacing w:after="120" w:line="360" w:lineRule="auto"/>
        <w:ind w:firstLine="420"/>
      </w:pPr>
      <w:r>
        <w:rPr>
          <w:sz w:val="21"/>
        </w:rPr>
        <w:t>第二，本研究不能计算真实发生率。</w:t>
      </w:r>
      <w:r>
        <w:rPr>
          <w:sz w:val="21"/>
        </w:rPr>
        <w:t xml:space="preserve">FAERS </w:t>
      </w:r>
      <w:r>
        <w:rPr>
          <w:sz w:val="21"/>
        </w:rPr>
        <w:t>缺少唑吡坦实际使用人数和未发生不良事件人群信息，因此本研究中的报告比例和不成比例分析指标不能等同于临床发生率或真实风险</w:t>
      </w:r>
      <w:r>
        <w:rPr>
          <w:sz w:val="18"/>
          <w:vertAlign w:val="superscript"/>
        </w:rPr>
        <w:t>[45-53]</w:t>
      </w:r>
      <w:r>
        <w:rPr>
          <w:sz w:val="21"/>
        </w:rPr>
        <w:t>。</w:t>
      </w:r>
    </w:p>
    <w:p w14:paraId="7D8A8D66" w14:textId="77777777" w:rsidR="000817FF" w:rsidRDefault="00FB291E">
      <w:pPr>
        <w:spacing w:after="120" w:line="360" w:lineRule="auto"/>
        <w:ind w:firstLine="420"/>
      </w:pPr>
      <w:r>
        <w:rPr>
          <w:sz w:val="21"/>
        </w:rPr>
        <w:t>第三，本研究不能证明因果关系。唑吡坦相关报告与跌倒事件之间存在不成比例信号，只能提示潜在安全性问题，不能直接证明唑吡坦导致跌倒。</w:t>
      </w:r>
    </w:p>
    <w:p w14:paraId="475F76B8" w14:textId="77777777" w:rsidR="000817FF" w:rsidRDefault="00FB291E">
      <w:pPr>
        <w:spacing w:after="120" w:line="360" w:lineRule="auto"/>
        <w:ind w:firstLine="420"/>
      </w:pPr>
      <w:r>
        <w:rPr>
          <w:sz w:val="21"/>
        </w:rPr>
        <w:t>第四，部分重要临床信息缺失。</w:t>
      </w:r>
      <w:r>
        <w:rPr>
          <w:sz w:val="21"/>
        </w:rPr>
        <w:t xml:space="preserve">FAERS </w:t>
      </w:r>
      <w:r>
        <w:rPr>
          <w:sz w:val="21"/>
        </w:rPr>
        <w:t>中剂量、疗程、用药时间、肾功能、肝功能、认知状态、既往跌倒史、居住环境和合并疾病严重程度等信息不完整，限制了进一步分析。</w:t>
      </w:r>
    </w:p>
    <w:p w14:paraId="345A43A4" w14:textId="77777777" w:rsidR="000817FF" w:rsidRDefault="00FB291E">
      <w:pPr>
        <w:spacing w:after="120" w:line="360" w:lineRule="auto"/>
        <w:ind w:firstLine="420"/>
      </w:pPr>
      <w:r>
        <w:rPr>
          <w:sz w:val="21"/>
        </w:rPr>
        <w:t>第五，机器学习模型基于</w:t>
      </w:r>
      <w:r>
        <w:rPr>
          <w:sz w:val="21"/>
        </w:rPr>
        <w:t xml:space="preserve"> FAERS </w:t>
      </w:r>
      <w:r>
        <w:rPr>
          <w:sz w:val="21"/>
        </w:rPr>
        <w:t>报告数据训练，反映的是报告模式而不是真实临床预测规律。因此，模型结果只能作为药物警戒辅助分析，不能直接推广到临床个体风险预测</w:t>
      </w:r>
      <w:r>
        <w:rPr>
          <w:sz w:val="18"/>
          <w:vertAlign w:val="superscript"/>
        </w:rPr>
        <w:t>[61-68]</w:t>
      </w:r>
      <w:r>
        <w:rPr>
          <w:sz w:val="21"/>
        </w:rPr>
        <w:t>。</w:t>
      </w:r>
    </w:p>
    <w:p w14:paraId="05E1B968" w14:textId="77777777" w:rsidR="000817FF" w:rsidRDefault="00FB291E">
      <w:pPr>
        <w:pStyle w:val="21"/>
        <w:spacing w:before="160" w:after="80"/>
      </w:pPr>
      <w:bookmarkStart w:id="94" w:name="_Toc230281393"/>
      <w:r>
        <w:rPr>
          <w:rFonts w:ascii="Times New Roman" w:eastAsia="宋体" w:hAnsi="Times New Roman"/>
        </w:rPr>
        <w:t xml:space="preserve">7.4 </w:t>
      </w:r>
      <w:r>
        <w:rPr>
          <w:rFonts w:ascii="Times New Roman" w:eastAsia="宋体" w:hAnsi="Times New Roman"/>
        </w:rPr>
        <w:t>展望</w:t>
      </w:r>
      <w:bookmarkEnd w:id="94"/>
    </w:p>
    <w:p w14:paraId="3F92818E" w14:textId="77777777" w:rsidR="000817FF" w:rsidRDefault="00FB291E">
      <w:pPr>
        <w:spacing w:after="120" w:line="360" w:lineRule="auto"/>
        <w:ind w:firstLine="420"/>
      </w:pPr>
      <w:r>
        <w:rPr>
          <w:sz w:val="21"/>
        </w:rPr>
        <w:t>未来研究可以从以下几个方向继续开展。</w:t>
      </w:r>
    </w:p>
    <w:p w14:paraId="7280F5F5" w14:textId="77777777" w:rsidR="000817FF" w:rsidRDefault="00FB291E">
      <w:pPr>
        <w:spacing w:after="120" w:line="360" w:lineRule="auto"/>
        <w:ind w:firstLine="420"/>
      </w:pPr>
      <w:r>
        <w:rPr>
          <w:sz w:val="21"/>
        </w:rPr>
        <w:t>第一，可结合医保数据库、电子病历数据库或处方数据库进一步验证唑吡坦与老年跌倒事件之间的关系。这类数据库通常具有明确用药分母和更完整的临床信息，有助于估计真实发生率和相对风险。</w:t>
      </w:r>
    </w:p>
    <w:p w14:paraId="58689BE2" w14:textId="77777777" w:rsidR="000817FF" w:rsidRDefault="00FB291E">
      <w:pPr>
        <w:spacing w:after="120" w:line="360" w:lineRule="auto"/>
        <w:ind w:firstLine="420"/>
      </w:pPr>
      <w:r>
        <w:rPr>
          <w:sz w:val="21"/>
        </w:rPr>
        <w:lastRenderedPageBreak/>
        <w:t>第二，可进一步开展剂量、疗程和用药时间相关研究。唑吡坦跌倒风险可能与给药剂量、连续用药时间、夜间服药后活动情况和合并饮酒等因素有关，未来研究应尽量纳入这些细节。</w:t>
      </w:r>
    </w:p>
    <w:p w14:paraId="40310BE3" w14:textId="77777777" w:rsidR="000817FF" w:rsidRDefault="00FB291E">
      <w:pPr>
        <w:spacing w:after="120" w:line="360" w:lineRule="auto"/>
        <w:ind w:firstLine="420"/>
      </w:pPr>
      <w:r>
        <w:rPr>
          <w:sz w:val="21"/>
        </w:rPr>
        <w:t>第三，可比较不同</w:t>
      </w:r>
      <w:r>
        <w:rPr>
          <w:sz w:val="21"/>
        </w:rPr>
        <w:t xml:space="preserve"> Z-drugs </w:t>
      </w:r>
      <w:r>
        <w:rPr>
          <w:sz w:val="21"/>
        </w:rPr>
        <w:t>之间的安全性差异。本研究提示唑吡坦相关跌倒报告比例高于其他</w:t>
      </w:r>
      <w:r>
        <w:rPr>
          <w:sz w:val="21"/>
        </w:rPr>
        <w:t xml:space="preserve"> Z-drugs </w:t>
      </w:r>
      <w:r>
        <w:rPr>
          <w:sz w:val="21"/>
        </w:rPr>
        <w:t>参照组，但该结果仍需在更严格的数据源和研究设计中验证。</w:t>
      </w:r>
    </w:p>
    <w:p w14:paraId="34A1D4B0" w14:textId="77777777" w:rsidR="000817FF" w:rsidRDefault="00FB291E">
      <w:pPr>
        <w:spacing w:after="120" w:line="360" w:lineRule="auto"/>
        <w:ind w:firstLine="420"/>
      </w:pPr>
      <w:r>
        <w:rPr>
          <w:sz w:val="21"/>
        </w:rPr>
        <w:t>第四，可开展临床药师干预研究。针对老年患者镇静催眠药使用，可建立跌倒风险评估、用药重整、剂量优化、疗程管理和患者教育方案，观察药师干预是否能减少高风险用药和跌倒相关不良事件。</w:t>
      </w:r>
    </w:p>
    <w:p w14:paraId="3F6939E1" w14:textId="77777777" w:rsidR="000817FF" w:rsidRDefault="00FB291E">
      <w:pPr>
        <w:spacing w:after="120" w:line="360" w:lineRule="auto"/>
        <w:ind w:firstLine="420"/>
      </w:pPr>
      <w:r>
        <w:rPr>
          <w:sz w:val="21"/>
        </w:rPr>
        <w:t>第五，可进一步优化机器学习模型。未来可在更完整的真实世界数据库中引入剂量、检验指标、诊断信息、既往跌倒史和用药时序信息，建立更接近临床应用场景的风险预测模型。</w:t>
      </w:r>
    </w:p>
    <w:p w14:paraId="42DE53B1" w14:textId="77777777" w:rsidR="000817FF" w:rsidRDefault="00FB291E">
      <w:pPr>
        <w:pStyle w:val="21"/>
        <w:spacing w:before="160" w:after="80"/>
      </w:pPr>
      <w:bookmarkStart w:id="95" w:name="_Toc230281394"/>
      <w:r>
        <w:rPr>
          <w:rFonts w:ascii="Times New Roman" w:eastAsia="宋体" w:hAnsi="Times New Roman"/>
        </w:rPr>
        <w:t xml:space="preserve">7.5 </w:t>
      </w:r>
      <w:r>
        <w:rPr>
          <w:rFonts w:ascii="Times New Roman" w:eastAsia="宋体" w:hAnsi="Times New Roman"/>
        </w:rPr>
        <w:t>总结</w:t>
      </w:r>
      <w:bookmarkEnd w:id="95"/>
    </w:p>
    <w:p w14:paraId="663D76CE" w14:textId="77777777" w:rsidR="000817FF" w:rsidRDefault="00FB291E">
      <w:pPr>
        <w:spacing w:after="120" w:line="360" w:lineRule="auto"/>
        <w:ind w:firstLine="420"/>
      </w:pPr>
      <w:r>
        <w:t>本研究从药物警戒角度发现，FAERS 老年病例中唑吡坦相关报告存在跌倒相关不良事件信号。该信号在不同暴露定义和统计方法下方向一致，并在控制部分可获得协变量后仍然存在。</w:t>
      </w:r>
    </w:p>
    <w:p w14:paraId="5F039DF1" w14:textId="77777777" w:rsidR="000817FF" w:rsidRDefault="00FB291E">
      <w:pPr>
        <w:spacing w:after="120" w:line="360" w:lineRule="auto"/>
        <w:ind w:firstLine="420"/>
      </w:pPr>
      <w:r>
        <w:rPr>
          <w:sz w:val="21"/>
        </w:rPr>
        <w:t>对临床药学实践而言，唑吡坦在老年患者中的使用应更加谨慎。对于高龄、多重用药、合并中枢神经系统药物或已有跌倒风险的患者，临床药师应积极参与用药评估和风险管理。未来仍需通过更高质量的真实世界研究进一步验证本研究发现，并探索可操作的临床干预策略</w:t>
      </w:r>
      <w:r>
        <w:rPr>
          <w:sz w:val="18"/>
          <w:vertAlign w:val="superscript"/>
        </w:rPr>
        <w:t>[1,28,38-43]</w:t>
      </w:r>
      <w:r>
        <w:rPr>
          <w:sz w:val="21"/>
        </w:rPr>
        <w:t>。</w:t>
      </w:r>
    </w:p>
    <w:p w14:paraId="28CF0FFA" w14:textId="77777777" w:rsidR="000817FF" w:rsidRDefault="00FB291E">
      <w:r>
        <w:br w:type="page"/>
      </w:r>
    </w:p>
    <w:p w14:paraId="2AA4B31A" w14:textId="77777777" w:rsidR="000817FF" w:rsidRDefault="00FB291E">
      <w:pPr>
        <w:pStyle w:val="1"/>
        <w:spacing w:before="240" w:after="160"/>
        <w:jc w:val="center"/>
      </w:pPr>
      <w:bookmarkStart w:id="96" w:name="_Toc230281395"/>
      <w:r>
        <w:rPr>
          <w:rFonts w:ascii="Times New Roman" w:eastAsia="宋体" w:hAnsi="Times New Roman"/>
        </w:rPr>
        <w:lastRenderedPageBreak/>
        <w:t>参考文献</w:t>
      </w:r>
      <w:bookmarkEnd w:id="96"/>
    </w:p>
    <w:p w14:paraId="0B77B8A7" w14:textId="77777777" w:rsidR="000817FF" w:rsidRDefault="00FB291E">
      <w:pPr>
        <w:spacing w:after="120" w:line="360" w:lineRule="auto"/>
      </w:pPr>
      <w:r>
        <w:rPr>
          <w:sz w:val="20"/>
        </w:rPr>
        <w:t>[1] American Geriatrics Society Beers Criteria Update Expert Panel. American Geriatrics Society 2023 updated AGS Beers Criteria for potentially inappropriate medication use in older adults[J]. Journal of the American Geriatrics Society, 2023. DOI:10.1111/jgs.18372.</w:t>
      </w:r>
    </w:p>
    <w:p w14:paraId="0AF387BB" w14:textId="77777777" w:rsidR="000817FF" w:rsidRDefault="00FB291E">
      <w:pPr>
        <w:spacing w:after="120" w:line="360" w:lineRule="auto"/>
      </w:pPr>
      <w:r>
        <w:rPr>
          <w:sz w:val="20"/>
        </w:rPr>
        <w:t xml:space="preserve">[2] </w:t>
      </w:r>
      <w:r>
        <w:rPr>
          <w:sz w:val="20"/>
        </w:rPr>
        <w:t>中国成人失眠诊断与治疗指南制定工作组</w:t>
      </w:r>
      <w:r>
        <w:rPr>
          <w:sz w:val="20"/>
        </w:rPr>
        <w:t xml:space="preserve">. </w:t>
      </w:r>
      <w:r>
        <w:rPr>
          <w:sz w:val="20"/>
        </w:rPr>
        <w:t>中国成人失眠诊断与治疗指南</w:t>
      </w:r>
      <w:r>
        <w:rPr>
          <w:sz w:val="20"/>
        </w:rPr>
        <w:t xml:space="preserve">[J]. </w:t>
      </w:r>
      <w:r>
        <w:rPr>
          <w:sz w:val="20"/>
        </w:rPr>
        <w:t>中华神经科杂志</w:t>
      </w:r>
      <w:r>
        <w:rPr>
          <w:sz w:val="20"/>
        </w:rPr>
        <w:t>, 2017.</w:t>
      </w:r>
    </w:p>
    <w:p w14:paraId="3BAAD917" w14:textId="77777777" w:rsidR="000817FF" w:rsidRDefault="00FB291E">
      <w:pPr>
        <w:spacing w:after="120" w:line="360" w:lineRule="auto"/>
      </w:pPr>
      <w:r>
        <w:rPr>
          <w:sz w:val="20"/>
        </w:rPr>
        <w:t xml:space="preserve">[3] </w:t>
      </w:r>
      <w:r>
        <w:rPr>
          <w:sz w:val="20"/>
        </w:rPr>
        <w:t>中华医学会神经病学分会</w:t>
      </w:r>
      <w:r>
        <w:rPr>
          <w:sz w:val="20"/>
        </w:rPr>
        <w:t xml:space="preserve">, </w:t>
      </w:r>
      <w:r>
        <w:rPr>
          <w:sz w:val="20"/>
        </w:rPr>
        <w:t>等</w:t>
      </w:r>
      <w:r>
        <w:rPr>
          <w:sz w:val="20"/>
        </w:rPr>
        <w:t xml:space="preserve">. </w:t>
      </w:r>
      <w:r>
        <w:rPr>
          <w:sz w:val="20"/>
        </w:rPr>
        <w:t>失眠障碍诊断和治疗指南</w:t>
      </w:r>
      <w:r>
        <w:rPr>
          <w:sz w:val="20"/>
        </w:rPr>
        <w:t>: 2025</w:t>
      </w:r>
      <w:r>
        <w:rPr>
          <w:sz w:val="20"/>
        </w:rPr>
        <w:t>版</w:t>
      </w:r>
      <w:r>
        <w:rPr>
          <w:sz w:val="20"/>
        </w:rPr>
        <w:t xml:space="preserve">[J]. </w:t>
      </w:r>
      <w:r>
        <w:rPr>
          <w:sz w:val="20"/>
        </w:rPr>
        <w:t>中华神经科杂志</w:t>
      </w:r>
      <w:r>
        <w:rPr>
          <w:sz w:val="20"/>
        </w:rPr>
        <w:t>, 2025. PMID:40904305.</w:t>
      </w:r>
    </w:p>
    <w:p w14:paraId="24571E20" w14:textId="77777777" w:rsidR="000817FF" w:rsidRDefault="00FB291E">
      <w:pPr>
        <w:spacing w:after="120" w:line="360" w:lineRule="auto"/>
      </w:pPr>
      <w:r>
        <w:rPr>
          <w:sz w:val="20"/>
        </w:rPr>
        <w:t>[4] Riemann D, Espie C A, Altena E, et al. The European Insomnia Guideline: an update on the diagnosis and treatment of insomnia 2023[J]. Journal of Sleep Research, 2023. DOI:10.1111/jsr.14035.</w:t>
      </w:r>
    </w:p>
    <w:p w14:paraId="3D2B7224" w14:textId="77777777" w:rsidR="000817FF" w:rsidRDefault="00FB291E">
      <w:pPr>
        <w:spacing w:after="120" w:line="360" w:lineRule="auto"/>
      </w:pPr>
      <w:r>
        <w:rPr>
          <w:sz w:val="20"/>
        </w:rPr>
        <w:t>[5] Sateia M J, Buysse D J, Krystal A D, et al. Clinical practice guideline for the pharmacologic treatment of chronic insomnia in adults: an American Academy of Sleep Medicine clinical practice guideline[J]. Journal of Clinical Sleep Medicine, 2017. DOI:10.5664/jcsm.6470.</w:t>
      </w:r>
    </w:p>
    <w:p w14:paraId="46C6919D" w14:textId="77777777" w:rsidR="000817FF" w:rsidRDefault="00FB291E">
      <w:pPr>
        <w:spacing w:after="120" w:line="360" w:lineRule="auto"/>
      </w:pPr>
      <w:r>
        <w:rPr>
          <w:sz w:val="20"/>
        </w:rPr>
        <w:t>[6] Qaseem A, Kansagara D, Forciea M A, et al. Management of chronic insomnia disorder in adults: a clinical practice guideline from the American College of Physicians[J]. Annals of Internal Medicine, 2016. DOI:10.7326/M15-2175.</w:t>
      </w:r>
    </w:p>
    <w:p w14:paraId="4ACD1943" w14:textId="77777777" w:rsidR="000817FF" w:rsidRDefault="00FB291E">
      <w:pPr>
        <w:spacing w:after="120" w:line="360" w:lineRule="auto"/>
      </w:pPr>
      <w:r>
        <w:rPr>
          <w:sz w:val="20"/>
        </w:rPr>
        <w:t>[7] Edinger J D, Arnedt J T, Bertisch S M, et al. Behavioral and psychological treatments for chronic insomnia disorder in adults: an American Academy of Sleep Medicine clinical practice guideline[J]. Journal of Clinical Sleep Medicine, 2021. DOI:10.5664/jcsm.8986.</w:t>
      </w:r>
    </w:p>
    <w:p w14:paraId="394F0864" w14:textId="77777777" w:rsidR="000817FF" w:rsidRDefault="00FB291E">
      <w:pPr>
        <w:spacing w:after="120" w:line="360" w:lineRule="auto"/>
      </w:pPr>
      <w:r>
        <w:rPr>
          <w:sz w:val="20"/>
        </w:rPr>
        <w:t>[8] Patel D, Steinberg J, Patel P. Insomnia in the elderly: a review[J]. Journal of Clinical Sleep Medicine, 2018. DOI:10.5664/jcsm.7172.</w:t>
      </w:r>
    </w:p>
    <w:p w14:paraId="2801B122" w14:textId="77777777" w:rsidR="000817FF" w:rsidRDefault="00FB291E">
      <w:pPr>
        <w:spacing w:after="120" w:line="360" w:lineRule="auto"/>
      </w:pPr>
      <w:r>
        <w:rPr>
          <w:sz w:val="20"/>
        </w:rPr>
        <w:t>[9] Treves N, Perlman A, Kolenberg Geron L, et al. Z-drugs and risk for falls and fractures in older adults: a systematic review and meta-analysis[J]. Age and Ageing, 2018. DOI:10.1093/ageing/afx167.</w:t>
      </w:r>
    </w:p>
    <w:p w14:paraId="63F51FCB" w14:textId="77777777" w:rsidR="000817FF" w:rsidRDefault="00FB291E">
      <w:pPr>
        <w:spacing w:after="120" w:line="360" w:lineRule="auto"/>
      </w:pPr>
      <w:r>
        <w:rPr>
          <w:sz w:val="20"/>
        </w:rPr>
        <w:t>[10] Choi N K, Lee J, Park B J. Zolpidem use and risk of fractures: a systematic review and meta-analysis[J]. Osteoporosis International, 2016. DOI:10.1007/s00198-016-3605-8.</w:t>
      </w:r>
    </w:p>
    <w:p w14:paraId="4DD1A2A9" w14:textId="77777777" w:rsidR="000817FF" w:rsidRDefault="00FB291E">
      <w:pPr>
        <w:spacing w:after="120" w:line="360" w:lineRule="auto"/>
      </w:pPr>
      <w:r>
        <w:rPr>
          <w:sz w:val="20"/>
        </w:rPr>
        <w:t>[11] Kang D Y, Park S, Rhee C W, et al. Zolpidem use and risk of fracture in elderly insomnia patients[J]. Journal of Preventive Medicine and Public Health, 2012, 45(4):219-226. DOI:10.3961/jpmph.2012.45.4.219.</w:t>
      </w:r>
    </w:p>
    <w:p w14:paraId="7E5A0728" w14:textId="77777777" w:rsidR="000817FF" w:rsidRDefault="00FB291E">
      <w:pPr>
        <w:spacing w:after="120" w:line="360" w:lineRule="auto"/>
      </w:pPr>
      <w:r>
        <w:rPr>
          <w:sz w:val="20"/>
        </w:rPr>
        <w:t>[12] Finkle W D, Der J S, Greenland S, et al. Risk of fractures requiring hospitalization after an initial prescription for zolpidem, alprazolam, lorazepam, or diazepam in older adults[J]. Journal of the American Geriatrics Society, 2011, 59(10):1883-1890. DOI:10.1111/j.1532-5415.2011.03591.x.</w:t>
      </w:r>
    </w:p>
    <w:p w14:paraId="5ED17A99" w14:textId="77777777" w:rsidR="000817FF" w:rsidRDefault="00FB291E">
      <w:pPr>
        <w:spacing w:after="120" w:line="360" w:lineRule="auto"/>
      </w:pPr>
      <w:r>
        <w:rPr>
          <w:sz w:val="20"/>
        </w:rPr>
        <w:t>[13] Kolla B P, Lovely J K, Mansukhani M P, et al. Zolpidem is independently associated with increased risk of inpatient falls[J]. Journal of Hospital Medicine, 2013, 8(1):1-6. DOI:10.1002/jhm.1985.</w:t>
      </w:r>
    </w:p>
    <w:p w14:paraId="25591D2B" w14:textId="77777777" w:rsidR="000817FF" w:rsidRDefault="00FB291E">
      <w:pPr>
        <w:spacing w:after="120" w:line="360" w:lineRule="auto"/>
      </w:pPr>
      <w:r>
        <w:rPr>
          <w:sz w:val="20"/>
        </w:rPr>
        <w:t>[14] Berry S D, Lee Y, Cai S, et al. Nonbenzodiazepine sleep medication use and hip fractures in nursing home residents[J]. JAMA Internal Medicine, 2013. DOI:10.1001/jamainternmed.2013.3795.</w:t>
      </w:r>
    </w:p>
    <w:p w14:paraId="66C0CF70" w14:textId="77777777" w:rsidR="000817FF" w:rsidRDefault="00FB291E">
      <w:pPr>
        <w:spacing w:after="120" w:line="360" w:lineRule="auto"/>
      </w:pPr>
      <w:r>
        <w:rPr>
          <w:sz w:val="20"/>
        </w:rPr>
        <w:lastRenderedPageBreak/>
        <w:t>[15] Tom S E, Wickwire E M, Park Y, et al. Nonbenzodiazepine sedative hypnotics and risk of falls in older men[J]. Journals of Gerontology Series A: Biological Sciences and Medical Sciences, 2016. PMID:25587493.</w:t>
      </w:r>
    </w:p>
    <w:p w14:paraId="0DE2ED35" w14:textId="77777777" w:rsidR="000817FF" w:rsidRDefault="00FB291E">
      <w:pPr>
        <w:spacing w:after="120" w:line="360" w:lineRule="auto"/>
      </w:pPr>
      <w:r>
        <w:rPr>
          <w:sz w:val="20"/>
        </w:rPr>
        <w:t>[16] Donnelly K, Bracchi R, Hewitt J, et al. Benzodiazepines, Z-drugs and the risk of hip fracture: a systematic review and meta-analysis[J]. PLoS One, 2017. DOI:10.1371/journal.pone.0174730.</w:t>
      </w:r>
    </w:p>
    <w:p w14:paraId="55B2C4D9" w14:textId="77777777" w:rsidR="000817FF" w:rsidRDefault="00FB291E">
      <w:pPr>
        <w:spacing w:after="120" w:line="360" w:lineRule="auto"/>
      </w:pPr>
      <w:r>
        <w:rPr>
          <w:sz w:val="20"/>
        </w:rPr>
        <w:t>[17] Ryba N, Rainess R. Z-drugs and falls: a focused review of the literature[J]. Senior Care Pharmacist, 2020. DOI:10.4140/TCP.n.2020.549.</w:t>
      </w:r>
    </w:p>
    <w:p w14:paraId="46369452" w14:textId="77777777" w:rsidR="000817FF" w:rsidRDefault="00FB291E">
      <w:pPr>
        <w:spacing w:after="120" w:line="360" w:lineRule="auto"/>
      </w:pPr>
      <w:r>
        <w:rPr>
          <w:sz w:val="20"/>
        </w:rPr>
        <w:t xml:space="preserve">[18] Vermeeren A. Residual effects of hypnotics: epidemiology and clinical implications[J]. CNS Drugs, 2004. </w:t>
      </w:r>
      <w:r>
        <w:rPr>
          <w:sz w:val="20"/>
        </w:rPr>
        <w:t>待核卷期页码</w:t>
      </w:r>
      <w:r>
        <w:rPr>
          <w:sz w:val="20"/>
        </w:rPr>
        <w:t>.</w:t>
      </w:r>
    </w:p>
    <w:p w14:paraId="36E4DF50" w14:textId="77777777" w:rsidR="000817FF" w:rsidRDefault="00FB291E">
      <w:pPr>
        <w:spacing w:after="120" w:line="360" w:lineRule="auto"/>
      </w:pPr>
      <w:r>
        <w:rPr>
          <w:sz w:val="20"/>
        </w:rPr>
        <w:t>[19] Food and Drug Administration. FDA requires lower recommended doses for certain drugs containing zolpidem because of next-morning impairment[EB/OL]. 2013.</w:t>
      </w:r>
    </w:p>
    <w:p w14:paraId="0557CB85" w14:textId="77777777" w:rsidR="000817FF" w:rsidRDefault="00FB291E">
      <w:pPr>
        <w:spacing w:after="120" w:line="360" w:lineRule="auto"/>
      </w:pPr>
      <w:r>
        <w:rPr>
          <w:sz w:val="20"/>
        </w:rPr>
        <w:t>[20] Food and Drug Administration. Certain prescription insomnia medicines: new boxed warning due to risk of serious injuries caused by complex sleep behaviors[EB/OL]. 2019.</w:t>
      </w:r>
    </w:p>
    <w:p w14:paraId="14275D6C" w14:textId="77777777" w:rsidR="000817FF" w:rsidRDefault="00FB291E">
      <w:pPr>
        <w:spacing w:after="120" w:line="360" w:lineRule="auto"/>
      </w:pPr>
      <w:r>
        <w:rPr>
          <w:sz w:val="20"/>
        </w:rPr>
        <w:t>[21] Food and Drug Administration. Taking Z-drugs for insomnia? Know the risks[EB/OL].</w:t>
      </w:r>
    </w:p>
    <w:p w14:paraId="4537C33D" w14:textId="77777777" w:rsidR="000817FF" w:rsidRDefault="00FB291E">
      <w:pPr>
        <w:spacing w:after="120" w:line="360" w:lineRule="auto"/>
      </w:pPr>
      <w:r>
        <w:rPr>
          <w:sz w:val="20"/>
        </w:rPr>
        <w:t>[22] DailyMed. Zolpidem tartrate tablets: prescribing information[EB/OL].</w:t>
      </w:r>
    </w:p>
    <w:p w14:paraId="0749CE2F" w14:textId="77777777" w:rsidR="000817FF" w:rsidRDefault="00FB291E">
      <w:pPr>
        <w:spacing w:after="120" w:line="360" w:lineRule="auto"/>
      </w:pPr>
      <w:r>
        <w:rPr>
          <w:sz w:val="20"/>
        </w:rPr>
        <w:t xml:space="preserve">[23] Hoque R, Chesson A L Jr. Zolpidem-induced sleepwalking, sleep related eating disorder, and sleep-driving: case reports and literature review[J]. Journal of Clinical Sleep Medicine, 2009. </w:t>
      </w:r>
      <w:r>
        <w:rPr>
          <w:sz w:val="20"/>
        </w:rPr>
        <w:t>待核卷期页码</w:t>
      </w:r>
      <w:r>
        <w:rPr>
          <w:sz w:val="20"/>
        </w:rPr>
        <w:t>.</w:t>
      </w:r>
    </w:p>
    <w:p w14:paraId="35779E71" w14:textId="77777777" w:rsidR="000817FF" w:rsidRDefault="00FB291E">
      <w:pPr>
        <w:spacing w:after="120" w:line="360" w:lineRule="auto"/>
      </w:pPr>
      <w:r>
        <w:rPr>
          <w:sz w:val="20"/>
        </w:rPr>
        <w:t xml:space="preserve">[24] Gunja N. The clinical and forensic toxicology of Z-drugs[J]. Journal of Medical Toxicology, 2013. </w:t>
      </w:r>
      <w:r>
        <w:rPr>
          <w:sz w:val="20"/>
        </w:rPr>
        <w:t>待核卷期页码</w:t>
      </w:r>
      <w:r>
        <w:rPr>
          <w:sz w:val="20"/>
        </w:rPr>
        <w:t>.</w:t>
      </w:r>
    </w:p>
    <w:p w14:paraId="490625D3" w14:textId="77777777" w:rsidR="000817FF" w:rsidRDefault="00FB291E">
      <w:pPr>
        <w:spacing w:after="120" w:line="360" w:lineRule="auto"/>
      </w:pPr>
      <w:r>
        <w:rPr>
          <w:sz w:val="20"/>
        </w:rPr>
        <w:t>[25] World Health Organization. Falls[EB/OL].</w:t>
      </w:r>
    </w:p>
    <w:p w14:paraId="0BE5E227" w14:textId="77777777" w:rsidR="000817FF" w:rsidRDefault="00FB291E">
      <w:pPr>
        <w:spacing w:after="120" w:line="360" w:lineRule="auto"/>
      </w:pPr>
      <w:r>
        <w:rPr>
          <w:sz w:val="20"/>
        </w:rPr>
        <w:t>[26] Centers for Disease Control and Prevention. Older adult fall prevention[EB/OL].</w:t>
      </w:r>
    </w:p>
    <w:p w14:paraId="0D21A51F" w14:textId="77777777" w:rsidR="000817FF" w:rsidRDefault="00FB291E">
      <w:pPr>
        <w:spacing w:after="120" w:line="360" w:lineRule="auto"/>
      </w:pPr>
      <w:r>
        <w:rPr>
          <w:sz w:val="20"/>
        </w:rPr>
        <w:t>[27] Salari N, Darvishi N, Ahmadipanah M, et al. Global prevalence of falls in the older adults: a comprehensive systematic review and meta-analysis[J]. Journal of Orthopaedic Surgery and Research, 2022, 17(1):334. DOI:10.1186/s13018-022-03222-1.</w:t>
      </w:r>
    </w:p>
    <w:p w14:paraId="5EC85D84" w14:textId="77777777" w:rsidR="000817FF" w:rsidRDefault="00FB291E">
      <w:pPr>
        <w:spacing w:after="120" w:line="360" w:lineRule="auto"/>
      </w:pPr>
      <w:r>
        <w:rPr>
          <w:sz w:val="20"/>
        </w:rPr>
        <w:t>[28] Montero-Odasso M, van der Velde N, Martin F C, et al. World guidelines for falls prevention and management for older adults: a global initiative[J]. Age and Ageing, 2022. DOI:10.1093/ageing/afac205.</w:t>
      </w:r>
    </w:p>
    <w:p w14:paraId="47B88731" w14:textId="77777777" w:rsidR="000817FF" w:rsidRDefault="00FB291E">
      <w:pPr>
        <w:spacing w:after="120" w:line="360" w:lineRule="auto"/>
      </w:pPr>
      <w:r>
        <w:rPr>
          <w:sz w:val="20"/>
        </w:rPr>
        <w:t>[29] Rubenstein L Z. Falls in older people: epidemiology, risk factors and strategies for prevention[J]. Age and Ageing, 2006. DOI:10.1093/ageing/afl084.</w:t>
      </w:r>
    </w:p>
    <w:p w14:paraId="0D272E68" w14:textId="77777777" w:rsidR="000817FF" w:rsidRDefault="00FB291E">
      <w:pPr>
        <w:spacing w:after="120" w:line="360" w:lineRule="auto"/>
      </w:pPr>
      <w:r>
        <w:rPr>
          <w:sz w:val="20"/>
        </w:rPr>
        <w:t xml:space="preserve">[30] Deandrea S, Lucenteforte E, Bravi F, et al. Risk factors for falls in community-dwelling older people: a systematic review and meta-analysis[J]. Epidemiology, 2010. </w:t>
      </w:r>
      <w:r>
        <w:rPr>
          <w:sz w:val="20"/>
        </w:rPr>
        <w:t>待核卷期页码</w:t>
      </w:r>
      <w:r>
        <w:rPr>
          <w:sz w:val="20"/>
        </w:rPr>
        <w:t>.</w:t>
      </w:r>
    </w:p>
    <w:p w14:paraId="332C09D3" w14:textId="77777777" w:rsidR="000817FF" w:rsidRDefault="00FB291E">
      <w:pPr>
        <w:spacing w:after="120" w:line="360" w:lineRule="auto"/>
      </w:pPr>
      <w:r>
        <w:rPr>
          <w:sz w:val="20"/>
        </w:rPr>
        <w:t>[31] Seppala L J, van de Glind E M M, Daams J G, et al. Fall-risk-increasing drugs: a systematic review and meta-analysis: III. Others[J]. Journal of the American Medical Directors Association, 2018, 19(4):372.e1-372.e8.</w:t>
      </w:r>
    </w:p>
    <w:p w14:paraId="3B81A66A" w14:textId="77777777" w:rsidR="000817FF" w:rsidRDefault="00FB291E">
      <w:pPr>
        <w:spacing w:after="120" w:line="360" w:lineRule="auto"/>
      </w:pPr>
      <w:r>
        <w:rPr>
          <w:sz w:val="20"/>
        </w:rPr>
        <w:t>[32] Woolcott J C, Richardson K J, Wiens M O, et al. Meta-analysis of the impact of 9 medication classes on falls in elderly persons[J]. Archives of Internal Medicine, 2009. DOI:10.1001/archinternmed.2009.357.</w:t>
      </w:r>
    </w:p>
    <w:p w14:paraId="77DA0446" w14:textId="77777777" w:rsidR="000817FF" w:rsidRDefault="00FB291E">
      <w:pPr>
        <w:spacing w:after="120" w:line="360" w:lineRule="auto"/>
      </w:pPr>
      <w:r>
        <w:rPr>
          <w:sz w:val="20"/>
        </w:rPr>
        <w:lastRenderedPageBreak/>
        <w:t xml:space="preserve">[33] Leipzig R M, Cumming R G, Tinetti M E. Drugs and falls in older people: a systematic review and meta-analysis[J]. Journal of the American Geriatrics Society, 1999. </w:t>
      </w:r>
      <w:r>
        <w:rPr>
          <w:sz w:val="20"/>
        </w:rPr>
        <w:t>待核卷期页码</w:t>
      </w:r>
      <w:r>
        <w:rPr>
          <w:sz w:val="20"/>
        </w:rPr>
        <w:t>.</w:t>
      </w:r>
    </w:p>
    <w:p w14:paraId="01E2F47C" w14:textId="77777777" w:rsidR="000817FF" w:rsidRDefault="00FB291E">
      <w:pPr>
        <w:spacing w:after="120" w:line="360" w:lineRule="auto"/>
      </w:pPr>
      <w:r>
        <w:rPr>
          <w:sz w:val="20"/>
        </w:rPr>
        <w:t xml:space="preserve">[34] Frontiers in Medicine. Risk factors for falls among older adults: systematic review evidence[J/OL]. 2022. </w:t>
      </w:r>
      <w:r>
        <w:rPr>
          <w:sz w:val="20"/>
        </w:rPr>
        <w:t>待核作者、卷期页码</w:t>
      </w:r>
      <w:r>
        <w:rPr>
          <w:sz w:val="20"/>
        </w:rPr>
        <w:t>.</w:t>
      </w:r>
    </w:p>
    <w:p w14:paraId="7AC9E0AE" w14:textId="77777777" w:rsidR="000817FF" w:rsidRDefault="00FB291E">
      <w:pPr>
        <w:spacing w:after="120" w:line="360" w:lineRule="auto"/>
      </w:pPr>
      <w:r>
        <w:rPr>
          <w:sz w:val="20"/>
        </w:rPr>
        <w:t>[35] Mangoni A A, Jackson S H D. Age-related changes in pharmacokinetics and pharmacodynamics: basic principles and practical applications[J]. British Journal of Clinical Pharmacology, 2004, 57(1):6-14. DOI:10.1046/j.1365-2125.2003.02007.x.</w:t>
      </w:r>
    </w:p>
    <w:p w14:paraId="2DBD76CA" w14:textId="77777777" w:rsidR="000817FF" w:rsidRDefault="00FB291E">
      <w:pPr>
        <w:spacing w:after="120" w:line="360" w:lineRule="auto"/>
      </w:pPr>
      <w:r>
        <w:rPr>
          <w:sz w:val="20"/>
        </w:rPr>
        <w:t>[36] Maher R L, Hanlon J, Hajjar E R. Clinical consequences of polypharmacy in elderly[J]. Expert Opinion on Drug Safety, 2014, 13(1):57-65. DOI:10.1517/14740338.2013.827660.</w:t>
      </w:r>
    </w:p>
    <w:p w14:paraId="5882EC70" w14:textId="77777777" w:rsidR="000817FF" w:rsidRDefault="00FB291E">
      <w:pPr>
        <w:spacing w:after="120" w:line="360" w:lineRule="auto"/>
      </w:pPr>
      <w:r>
        <w:rPr>
          <w:sz w:val="20"/>
        </w:rPr>
        <w:t>[37] Kojima T, Akishita M, Nakamura T, et al. Polypharmacy as a risk for fall occurrence in geriatric outpatients[J]. Geriatrics &amp; Gerontology International, 2012, 12(3):425-430. DOI:10.1111/j.1447-0594.2011.00783.x.</w:t>
      </w:r>
    </w:p>
    <w:p w14:paraId="31B56259" w14:textId="77777777" w:rsidR="000817FF" w:rsidRDefault="00FB291E">
      <w:pPr>
        <w:spacing w:after="120" w:line="360" w:lineRule="auto"/>
      </w:pPr>
      <w:r>
        <w:rPr>
          <w:sz w:val="20"/>
        </w:rPr>
        <w:t xml:space="preserve">[38] Seppala L J, Petrovic M, Ryg J, et al. STOPPFall: screening tool of older persons prescriptions in older adults with high fall risk[J]. Age and Ageing, 2021. </w:t>
      </w:r>
      <w:r>
        <w:rPr>
          <w:sz w:val="20"/>
        </w:rPr>
        <w:t>待核卷期页码</w:t>
      </w:r>
      <w:r>
        <w:rPr>
          <w:sz w:val="20"/>
        </w:rPr>
        <w:t>.</w:t>
      </w:r>
    </w:p>
    <w:p w14:paraId="168ACC1F" w14:textId="77777777" w:rsidR="000817FF" w:rsidRDefault="00FB291E">
      <w:pPr>
        <w:spacing w:after="120" w:line="360" w:lineRule="auto"/>
      </w:pPr>
      <w:r>
        <w:rPr>
          <w:sz w:val="20"/>
        </w:rPr>
        <w:t>[39] Capiau A, Huys L, van Poelgeest E, et al. Therapeutic dilemmas with benzodiazepines and Z-drugs: insomnia and anxiety disorders versus increased fall risk: a clinical review[J]. European Geriatric Medicine, 2023, 14(4):697-708. DOI:10.1007/s41999-022-00731-4.</w:t>
      </w:r>
    </w:p>
    <w:p w14:paraId="65C5884B" w14:textId="77777777" w:rsidR="000817FF" w:rsidRDefault="00FB291E">
      <w:pPr>
        <w:spacing w:after="120" w:line="360" w:lineRule="auto"/>
      </w:pPr>
      <w:r>
        <w:rPr>
          <w:sz w:val="20"/>
        </w:rPr>
        <w:t xml:space="preserve">[40] </w:t>
      </w:r>
      <w:r>
        <w:rPr>
          <w:sz w:val="20"/>
        </w:rPr>
        <w:t>中国老年保健医学研究会老年合理用药分会</w:t>
      </w:r>
      <w:r>
        <w:rPr>
          <w:sz w:val="20"/>
        </w:rPr>
        <w:t xml:space="preserve">, </w:t>
      </w:r>
      <w:r>
        <w:rPr>
          <w:sz w:val="20"/>
        </w:rPr>
        <w:t>中华医学会老年医学分会</w:t>
      </w:r>
      <w:r>
        <w:rPr>
          <w:sz w:val="20"/>
        </w:rPr>
        <w:t xml:space="preserve">, </w:t>
      </w:r>
      <w:r>
        <w:rPr>
          <w:sz w:val="20"/>
        </w:rPr>
        <w:t>等</w:t>
      </w:r>
      <w:r>
        <w:rPr>
          <w:sz w:val="20"/>
        </w:rPr>
        <w:t xml:space="preserve">. </w:t>
      </w:r>
      <w:r>
        <w:rPr>
          <w:sz w:val="20"/>
        </w:rPr>
        <w:t>中国老年人潜在不适当用药判断标准</w:t>
      </w:r>
      <w:r>
        <w:rPr>
          <w:sz w:val="20"/>
        </w:rPr>
        <w:t>: 2017</w:t>
      </w:r>
      <w:r>
        <w:rPr>
          <w:sz w:val="20"/>
        </w:rPr>
        <w:t>年版</w:t>
      </w:r>
      <w:r>
        <w:rPr>
          <w:sz w:val="20"/>
        </w:rPr>
        <w:t xml:space="preserve">[J]. </w:t>
      </w:r>
      <w:r>
        <w:rPr>
          <w:sz w:val="20"/>
        </w:rPr>
        <w:t>药物不良反应杂志</w:t>
      </w:r>
      <w:r>
        <w:rPr>
          <w:sz w:val="20"/>
        </w:rPr>
        <w:t>, 2018.</w:t>
      </w:r>
    </w:p>
    <w:p w14:paraId="660A8693" w14:textId="77777777" w:rsidR="000817FF" w:rsidRDefault="00FB291E">
      <w:pPr>
        <w:spacing w:after="120" w:line="360" w:lineRule="auto"/>
      </w:pPr>
      <w:r>
        <w:rPr>
          <w:sz w:val="20"/>
        </w:rPr>
        <w:t xml:space="preserve">[41] </w:t>
      </w:r>
      <w:r>
        <w:rPr>
          <w:sz w:val="20"/>
        </w:rPr>
        <w:t>中国社区老年人潜在不适当用药发生率及相关因素的</w:t>
      </w:r>
      <w:r>
        <w:rPr>
          <w:sz w:val="20"/>
        </w:rPr>
        <w:t>Meta</w:t>
      </w:r>
      <w:r>
        <w:rPr>
          <w:sz w:val="20"/>
        </w:rPr>
        <w:t>分析</w:t>
      </w:r>
      <w:r>
        <w:rPr>
          <w:sz w:val="20"/>
        </w:rPr>
        <w:t xml:space="preserve">[J]. </w:t>
      </w:r>
      <w:r>
        <w:rPr>
          <w:sz w:val="20"/>
        </w:rPr>
        <w:t>中国全科医学</w:t>
      </w:r>
      <w:r>
        <w:rPr>
          <w:sz w:val="20"/>
        </w:rPr>
        <w:t xml:space="preserve">. </w:t>
      </w:r>
      <w:r>
        <w:rPr>
          <w:sz w:val="20"/>
        </w:rPr>
        <w:t>待核作者、年份、卷期页码</w:t>
      </w:r>
      <w:r>
        <w:rPr>
          <w:sz w:val="20"/>
        </w:rPr>
        <w:t>.</w:t>
      </w:r>
    </w:p>
    <w:p w14:paraId="3CD9B3BB" w14:textId="77777777" w:rsidR="000817FF" w:rsidRDefault="00FB291E">
      <w:pPr>
        <w:spacing w:after="120" w:line="360" w:lineRule="auto"/>
      </w:pPr>
      <w:r>
        <w:rPr>
          <w:sz w:val="20"/>
        </w:rPr>
        <w:t xml:space="preserve">[42] </w:t>
      </w:r>
      <w:r>
        <w:rPr>
          <w:sz w:val="20"/>
        </w:rPr>
        <w:t>老年人潜在不适当用药的现状及应对策略</w:t>
      </w:r>
      <w:r>
        <w:rPr>
          <w:sz w:val="20"/>
        </w:rPr>
        <w:t xml:space="preserve">[J]. </w:t>
      </w:r>
      <w:r>
        <w:rPr>
          <w:sz w:val="20"/>
        </w:rPr>
        <w:t>中华老年医学杂志</w:t>
      </w:r>
      <w:r>
        <w:rPr>
          <w:sz w:val="20"/>
        </w:rPr>
        <w:t xml:space="preserve">, 2023. </w:t>
      </w:r>
      <w:r>
        <w:rPr>
          <w:sz w:val="20"/>
        </w:rPr>
        <w:t>待核作者、卷期页码</w:t>
      </w:r>
      <w:r>
        <w:rPr>
          <w:sz w:val="20"/>
        </w:rPr>
        <w:t>.</w:t>
      </w:r>
    </w:p>
    <w:p w14:paraId="06D0F038" w14:textId="77777777" w:rsidR="000817FF" w:rsidRDefault="00FB291E">
      <w:pPr>
        <w:spacing w:after="120" w:line="360" w:lineRule="auto"/>
      </w:pPr>
      <w:r>
        <w:rPr>
          <w:sz w:val="20"/>
        </w:rPr>
        <w:t xml:space="preserve">[43] </w:t>
      </w:r>
      <w:r>
        <w:rPr>
          <w:sz w:val="20"/>
        </w:rPr>
        <w:t>老年人跌倒的药物相关风险因素的范围综述</w:t>
      </w:r>
      <w:r>
        <w:rPr>
          <w:sz w:val="20"/>
        </w:rPr>
        <w:t xml:space="preserve">[J]. </w:t>
      </w:r>
      <w:r>
        <w:rPr>
          <w:sz w:val="20"/>
        </w:rPr>
        <w:t>中国药房</w:t>
      </w:r>
      <w:r>
        <w:rPr>
          <w:sz w:val="20"/>
        </w:rPr>
        <w:t xml:space="preserve">, 2025. </w:t>
      </w:r>
      <w:r>
        <w:rPr>
          <w:sz w:val="20"/>
        </w:rPr>
        <w:t>待核作者、卷期页码</w:t>
      </w:r>
      <w:r>
        <w:rPr>
          <w:sz w:val="20"/>
        </w:rPr>
        <w:t>.</w:t>
      </w:r>
    </w:p>
    <w:p w14:paraId="189C3B4F" w14:textId="77777777" w:rsidR="000817FF" w:rsidRDefault="00FB291E">
      <w:pPr>
        <w:spacing w:after="120" w:line="360" w:lineRule="auto"/>
      </w:pPr>
      <w:r>
        <w:rPr>
          <w:sz w:val="20"/>
        </w:rPr>
        <w:t>[44] Food and Drug Administration. FDA Adverse Event Reporting System (FAERS) / Adverse Event Monitoring System information[EB/OL].</w:t>
      </w:r>
    </w:p>
    <w:p w14:paraId="3C9C0A8F" w14:textId="77777777" w:rsidR="000817FF" w:rsidRDefault="00FB291E">
      <w:pPr>
        <w:spacing w:after="120" w:line="360" w:lineRule="auto"/>
      </w:pPr>
      <w:r>
        <w:rPr>
          <w:sz w:val="20"/>
        </w:rPr>
        <w:t>[45] Food and Drug Administration. Potential signals of serious risks/new safety information identified from the FDA Adverse Event Reporting System[EB/OL].</w:t>
      </w:r>
    </w:p>
    <w:p w14:paraId="494DE704" w14:textId="77777777" w:rsidR="000817FF" w:rsidRDefault="00FB291E">
      <w:pPr>
        <w:spacing w:after="120" w:line="360" w:lineRule="auto"/>
      </w:pPr>
      <w:r>
        <w:rPr>
          <w:sz w:val="20"/>
        </w:rPr>
        <w:t>[46] Food and Drug Administration. Data mining at FDA: white paper[R/OL].</w:t>
      </w:r>
    </w:p>
    <w:p w14:paraId="4CA460D7" w14:textId="77777777" w:rsidR="000817FF" w:rsidRDefault="00FB291E">
      <w:pPr>
        <w:spacing w:after="120" w:line="360" w:lineRule="auto"/>
      </w:pPr>
      <w:r>
        <w:rPr>
          <w:sz w:val="20"/>
        </w:rPr>
        <w:t>[47] Sakaeda T, Tamon A, Kadoyama K, et al. Data mining of the public version of the FDA Adverse Event Reporting System[J]. International Journal of Medical Sciences, 2013. DOI:10.7150/ijms.6048.</w:t>
      </w:r>
    </w:p>
    <w:p w14:paraId="5923F085" w14:textId="77777777" w:rsidR="000817FF" w:rsidRDefault="00FB291E">
      <w:pPr>
        <w:spacing w:after="120" w:line="360" w:lineRule="auto"/>
      </w:pPr>
      <w:r>
        <w:rPr>
          <w:sz w:val="20"/>
        </w:rPr>
        <w:t>[48] Zhou X, Ye X, Zhang Y, et al. Statistical methods for spontaneous reporting system data mining[J]. Frontiers in Pharmacology, 2019. DOI:10.3389/fphar.2019.01319.</w:t>
      </w:r>
    </w:p>
    <w:p w14:paraId="52CF050B" w14:textId="77777777" w:rsidR="000817FF" w:rsidRDefault="00FB291E">
      <w:pPr>
        <w:spacing w:after="120" w:line="360" w:lineRule="auto"/>
      </w:pPr>
      <w:r>
        <w:rPr>
          <w:sz w:val="20"/>
        </w:rPr>
        <w:lastRenderedPageBreak/>
        <w:t xml:space="preserve">[49] Montastruc J L, Sommet A, Bagheri H, et al. Benefits and strengths of the disproportionality analysis for identification of adverse drug reactions in a pharmacovigilance database[J]. British Journal of Clinical Pharmacology, 2011. </w:t>
      </w:r>
      <w:r>
        <w:rPr>
          <w:sz w:val="20"/>
        </w:rPr>
        <w:t>待核卷期页码</w:t>
      </w:r>
      <w:r>
        <w:rPr>
          <w:sz w:val="20"/>
        </w:rPr>
        <w:t>.</w:t>
      </w:r>
    </w:p>
    <w:p w14:paraId="6B0151F5" w14:textId="77777777" w:rsidR="000817FF" w:rsidRDefault="00FB291E">
      <w:pPr>
        <w:spacing w:after="120" w:line="360" w:lineRule="auto"/>
      </w:pPr>
      <w:r>
        <w:rPr>
          <w:sz w:val="20"/>
        </w:rPr>
        <w:t>[50] Faillie J L. Case-non-case studies: principle, methods, bias and interpretation[J]. Therapie, 2019, 74(2):225-232. DOI:10.1016/j.therap.2019.01.006.</w:t>
      </w:r>
    </w:p>
    <w:p w14:paraId="2CB2117A" w14:textId="77777777" w:rsidR="000817FF" w:rsidRDefault="00FB291E">
      <w:pPr>
        <w:spacing w:after="120" w:line="360" w:lineRule="auto"/>
      </w:pPr>
      <w:r>
        <w:rPr>
          <w:sz w:val="20"/>
        </w:rPr>
        <w:t>[51] Noren G N, Hopstadius J, Bate A. Shrinkage observed-to-expected ratios for robust and transparent large-scale pattern discovery[J]. Statistical Methods in Medical Research, 2013, 22(1):57-69. DOI:10.1177/0962280211403604.</w:t>
      </w:r>
    </w:p>
    <w:p w14:paraId="46553755" w14:textId="77777777" w:rsidR="000817FF" w:rsidRDefault="00FB291E">
      <w:pPr>
        <w:spacing w:after="120" w:line="360" w:lineRule="auto"/>
      </w:pPr>
      <w:r>
        <w:rPr>
          <w:sz w:val="20"/>
        </w:rPr>
        <w:t xml:space="preserve">[52] READUS-PV Investigators. Reporting disproportionality analyses in pharmacovigilance: READUS-PV recommendations[J/OL]. 2024. </w:t>
      </w:r>
      <w:r>
        <w:rPr>
          <w:sz w:val="20"/>
        </w:rPr>
        <w:t>待核期刊、卷期页码</w:t>
      </w:r>
      <w:r>
        <w:rPr>
          <w:sz w:val="20"/>
        </w:rPr>
        <w:t>.</w:t>
      </w:r>
    </w:p>
    <w:p w14:paraId="4E3892B1" w14:textId="77777777" w:rsidR="000817FF" w:rsidRDefault="00FB291E">
      <w:pPr>
        <w:spacing w:after="120" w:line="360" w:lineRule="auto"/>
      </w:pPr>
      <w:r>
        <w:rPr>
          <w:sz w:val="20"/>
        </w:rPr>
        <w:t xml:space="preserve">[53] Evolving role of disproportionality analysis in pharmacovigilance[J/OL]. 2024. </w:t>
      </w:r>
      <w:r>
        <w:rPr>
          <w:sz w:val="20"/>
        </w:rPr>
        <w:t>待核作者、期刊、卷期页码</w:t>
      </w:r>
      <w:r>
        <w:rPr>
          <w:sz w:val="20"/>
        </w:rPr>
        <w:t>.</w:t>
      </w:r>
    </w:p>
    <w:p w14:paraId="6B606FD5" w14:textId="77777777" w:rsidR="000817FF" w:rsidRDefault="00FB291E">
      <w:pPr>
        <w:spacing w:after="120" w:line="360" w:lineRule="auto"/>
      </w:pPr>
      <w:r>
        <w:rPr>
          <w:sz w:val="20"/>
        </w:rPr>
        <w:t>[54] Evans S J W, Waller P C, Davis S. Use of proportional reporting ratios for signal generation from spontaneous adverse drug reaction reports[J]. Pharmacoepidemiology and Drug Safety, 2001. DOI:10.1002/pds.677.</w:t>
      </w:r>
    </w:p>
    <w:p w14:paraId="6DAF2EEB" w14:textId="77777777" w:rsidR="000817FF" w:rsidRDefault="00FB291E">
      <w:pPr>
        <w:spacing w:after="120" w:line="360" w:lineRule="auto"/>
      </w:pPr>
      <w:r>
        <w:rPr>
          <w:sz w:val="20"/>
        </w:rPr>
        <w:t>[55] van Puijenbroek E P, Bate A, Leufkens H G M, et al. A comparison of measures of disproportionality for signal detection in spontaneous reporting systems[J]. Pharmacoepidemiology and Drug Safety, 2002, 11(1):3-10. DOI:10.1002/pds.668.</w:t>
      </w:r>
    </w:p>
    <w:p w14:paraId="74A7E6FA" w14:textId="77777777" w:rsidR="000817FF" w:rsidRDefault="00FB291E">
      <w:pPr>
        <w:spacing w:after="120" w:line="360" w:lineRule="auto"/>
      </w:pPr>
      <w:r>
        <w:rPr>
          <w:sz w:val="20"/>
        </w:rPr>
        <w:t>[56] Rothman K J, Lanes S, Sacks S T. The reporting odds ratio and its advantages over the proportional reporting ratio[J]. Pharmacoepidemiology and Drug Safety, 2004. PMID:15317031.</w:t>
      </w:r>
    </w:p>
    <w:p w14:paraId="6854FD87" w14:textId="77777777" w:rsidR="000817FF" w:rsidRDefault="00FB291E">
      <w:pPr>
        <w:spacing w:after="120" w:line="360" w:lineRule="auto"/>
      </w:pPr>
      <w:r>
        <w:rPr>
          <w:sz w:val="20"/>
        </w:rPr>
        <w:t>[57] Bate A, Lindquist M, Edwards I R, et al. A Bayesian neural network method for adverse drug reaction signal generation[J]. European Journal of Clinical Pharmacology, 1998, 54(4):315-321. DOI:10.1007/s002280050466.</w:t>
      </w:r>
    </w:p>
    <w:p w14:paraId="1F8F15DD" w14:textId="77777777" w:rsidR="000817FF" w:rsidRDefault="00FB291E">
      <w:pPr>
        <w:spacing w:after="120" w:line="360" w:lineRule="auto"/>
      </w:pPr>
      <w:r>
        <w:rPr>
          <w:sz w:val="20"/>
        </w:rPr>
        <w:t>[58] Bate A, Lindquist M, Edwards I R, et al. A data mining approach for signal detection and analysis[J]. Drug Safety, 2002, 25(6):393-397.</w:t>
      </w:r>
    </w:p>
    <w:p w14:paraId="4F466F63" w14:textId="77777777" w:rsidR="000817FF" w:rsidRDefault="00FB291E">
      <w:pPr>
        <w:spacing w:after="120" w:line="360" w:lineRule="auto"/>
      </w:pPr>
      <w:r>
        <w:rPr>
          <w:sz w:val="20"/>
        </w:rPr>
        <w:t>[59] DuMouchel W. Bayesian data mining in large frequency tables, with an application to the FDA spontaneous reporting system[J]. The American Statistician, 1999. DOI:10.1080/00031305.1999.10474456.</w:t>
      </w:r>
    </w:p>
    <w:p w14:paraId="5C2C1A54" w14:textId="77777777" w:rsidR="000817FF" w:rsidRDefault="00FB291E">
      <w:pPr>
        <w:spacing w:after="120" w:line="360" w:lineRule="auto"/>
      </w:pPr>
      <w:r>
        <w:rPr>
          <w:sz w:val="20"/>
        </w:rPr>
        <w:t xml:space="preserve">[60] DuMouchel W, Pregibon D. Empirical Bayes screening for multi-item associations[C]//Proceedings of the Seventh ACM SIGKDD International Conference on Knowledge Discovery and Data Mining. 2001. </w:t>
      </w:r>
      <w:r>
        <w:rPr>
          <w:sz w:val="20"/>
        </w:rPr>
        <w:t>待核页码</w:t>
      </w:r>
      <w:r>
        <w:rPr>
          <w:sz w:val="20"/>
        </w:rPr>
        <w:t>.</w:t>
      </w:r>
    </w:p>
    <w:p w14:paraId="22FB01E7" w14:textId="77777777" w:rsidR="000817FF" w:rsidRDefault="00FB291E">
      <w:pPr>
        <w:spacing w:after="120" w:line="360" w:lineRule="auto"/>
      </w:pPr>
      <w:r>
        <w:rPr>
          <w:sz w:val="20"/>
        </w:rPr>
        <w:t>[61] Kompa B, Hakim J B, Palepu A, et al. Artificial intelligence based on machine learning in pharmacovigilance: a scoping review[J]. Drug Safety, 2022, 45(5):477-491. DOI:10.1007/s40264-022-01176-1.</w:t>
      </w:r>
    </w:p>
    <w:p w14:paraId="1284B84A" w14:textId="77777777" w:rsidR="000817FF" w:rsidRDefault="00FB291E">
      <w:pPr>
        <w:spacing w:after="120" w:line="360" w:lineRule="auto"/>
      </w:pPr>
      <w:r>
        <w:rPr>
          <w:sz w:val="20"/>
        </w:rPr>
        <w:t xml:space="preserve">[62] Kompa B, Hakim J B, Palepu A, et al. Artificial intelligence based on machine learning for causal inference in pharmacovigilance[J]. Drug Safety, 2022. </w:t>
      </w:r>
      <w:r>
        <w:rPr>
          <w:sz w:val="20"/>
        </w:rPr>
        <w:t>待核卷期页码</w:t>
      </w:r>
      <w:r>
        <w:rPr>
          <w:sz w:val="20"/>
        </w:rPr>
        <w:t>.</w:t>
      </w:r>
    </w:p>
    <w:p w14:paraId="089E994C" w14:textId="77777777" w:rsidR="000817FF" w:rsidRDefault="00FB291E">
      <w:pPr>
        <w:spacing w:after="120" w:line="360" w:lineRule="auto"/>
      </w:pPr>
      <w:r>
        <w:rPr>
          <w:sz w:val="20"/>
        </w:rPr>
        <w:lastRenderedPageBreak/>
        <w:t>[63] Moreland-Head L, et al. The use of artificial intelligence in pharmacovigilance: a systematic review of the literature[J]. Pharmaceutical Medicine, 2022. PMID:35904529.</w:t>
      </w:r>
    </w:p>
    <w:p w14:paraId="476BA4BE" w14:textId="77777777" w:rsidR="000817FF" w:rsidRDefault="00FB291E">
      <w:pPr>
        <w:spacing w:after="120" w:line="360" w:lineRule="auto"/>
      </w:pPr>
      <w:r>
        <w:rPr>
          <w:sz w:val="20"/>
        </w:rPr>
        <w:t>[64] Yang H, Garibaldi J M. Using machine learning for pharmacovigilance: a systematic review[J]. Pharmaceutics, 2022. DOI:10.3390/pharmaceutics14020266.</w:t>
      </w:r>
    </w:p>
    <w:p w14:paraId="079BE657" w14:textId="77777777" w:rsidR="000817FF" w:rsidRDefault="00FB291E">
      <w:pPr>
        <w:spacing w:after="120" w:line="360" w:lineRule="auto"/>
      </w:pPr>
      <w:r>
        <w:rPr>
          <w:sz w:val="20"/>
        </w:rPr>
        <w:t>[65] Harpaz R, DuMouchel W, Shah N H, et al. Novel data-mining methodologies for adverse drug event discovery and analysis[J]. Clinical Pharmacology &amp; Therapeutics, 2012, 91(6):1010-1021. DOI:10.1038/clpt.2012.50.</w:t>
      </w:r>
    </w:p>
    <w:p w14:paraId="02E05EDE" w14:textId="77777777" w:rsidR="000817FF" w:rsidRDefault="00FB291E">
      <w:pPr>
        <w:spacing w:after="120" w:line="360" w:lineRule="auto"/>
      </w:pPr>
      <w:r>
        <w:rPr>
          <w:sz w:val="20"/>
        </w:rPr>
        <w:t>[66] Koutkias V G, Jaulent M C. Computational approaches for pharmacovigilance signal detection: toward integrated and semantically-enriched frameworks[J]. Drug Safety, 2015, 38:219-232. DOI:10.1007/s40264-015-0278-8.</w:t>
      </w:r>
    </w:p>
    <w:p w14:paraId="74A41428" w14:textId="77777777" w:rsidR="000817FF" w:rsidRDefault="00FB291E">
      <w:pPr>
        <w:spacing w:after="120" w:line="360" w:lineRule="auto"/>
      </w:pPr>
      <w:r>
        <w:rPr>
          <w:sz w:val="20"/>
        </w:rPr>
        <w:t xml:space="preserve">[67] Luo Y, et al. Evaluation of four machine learning models for signal detection[J/OL]. 2023. </w:t>
      </w:r>
      <w:r>
        <w:rPr>
          <w:sz w:val="20"/>
        </w:rPr>
        <w:t>待核期刊、卷期页码</w:t>
      </w:r>
      <w:r>
        <w:rPr>
          <w:sz w:val="20"/>
        </w:rPr>
        <w:t>.</w:t>
      </w:r>
    </w:p>
    <w:p w14:paraId="55A63480" w14:textId="77777777" w:rsidR="000817FF" w:rsidRDefault="00FB291E">
      <w:pPr>
        <w:spacing w:after="120" w:line="360" w:lineRule="auto"/>
      </w:pPr>
      <w:r>
        <w:rPr>
          <w:sz w:val="20"/>
        </w:rPr>
        <w:t>[68] Caster O, Juhlin K, Watson S, et al. Improved statistical signal detection in pharmacovigilance by combining multiple strength-of-evidence aspects in vigiRank[J]. Drug Safety, 2014, 37(8):617-628. DOI:10.1007/s40264-014-0204-5.</w:t>
      </w:r>
    </w:p>
    <w:p w14:paraId="6438E78B" w14:textId="77777777" w:rsidR="000817FF" w:rsidRDefault="00FB291E">
      <w:pPr>
        <w:spacing w:after="120" w:line="360" w:lineRule="auto"/>
      </w:pPr>
      <w:r>
        <w:rPr>
          <w:sz w:val="20"/>
        </w:rPr>
        <w:t>[69] Amari D T, Juday T, Frech F H, et al. Falls, healthcare resources and costs in older adults with insomnia treated with zolpidem, trazodone, or benzodiazepines[J]. BMC Geriatrics, 2022, 22:484. DOI:10.1186/s12877-022-03165-6.</w:t>
      </w:r>
    </w:p>
    <w:p w14:paraId="76179F8D" w14:textId="77777777" w:rsidR="000817FF" w:rsidRDefault="00FB291E">
      <w:pPr>
        <w:spacing w:after="120" w:line="360" w:lineRule="auto"/>
      </w:pPr>
      <w:r>
        <w:rPr>
          <w:sz w:val="20"/>
        </w:rPr>
        <w:t>[70] Efficacy and safety of Z-substances in the management of insomnia in older adults: a systematic review for the development of recommendations to reduce potentially inappropriate prescribing[J]. BMC Geriatrics, 2022, 22:87. DOI:10.1186/s12877-022-02757-6.</w:t>
      </w:r>
    </w:p>
    <w:p/>
    <w:p/>
    <w:p/>
    <w:p/>
    <w:p/>
    <w:p/>
    <w:p/>
    <w:p/>
    <w:p/>
    <w:p/>
    <w:p/>
    <w:p/>
    <w:sectPr w:rsidR="000817FF" w:rsidSect="00034616">
      <w:headerReference w:type="default" r:id="rId10"/>
      <w:footerReference w:type="default" r:id="rId11"/>
      <w:pgSz w:w="11906" w:h="16838"/>
      <w:pgMar w:top="1440" w:right="1417"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70B58" w14:textId="77777777" w:rsidR="00FB291E" w:rsidRDefault="00FB291E">
      <w:pPr>
        <w:spacing w:after="0" w:line="240" w:lineRule="auto"/>
      </w:pPr>
      <w:r>
        <w:separator/>
      </w:r>
    </w:p>
  </w:endnote>
  <w:endnote w:type="continuationSeparator" w:id="0">
    <w:p w14:paraId="1F1C85CD" w14:textId="77777777" w:rsidR="00FB291E" w:rsidRDefault="00FB2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AB3A"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7BE8" w14:textId="77777777" w:rsidR="000817FF" w:rsidRDefault="00FB291E">
    <w:pPr>
      <w:pStyle w:val="a7"/>
      <w:jc w:val="center"/>
    </w:pPr>
    <w:r>
      <w:rPr>
        <w:color w:val="5A5A5A"/>
        <w:sz w:val="18"/>
      </w:rPr>
      <w:t>第</w:t>
    </w:r>
    <w:r>
      <w:rPr>
        <w:color w:val="5A5A5A"/>
        <w:sz w:val="18"/>
      </w:rPr>
      <w:t xml:space="preserve"> </w:t>
    </w:r>
    <w:r>
      <w:rPr>
        <w:color w:val="5A5A5A"/>
        <w:sz w:val="18"/>
      </w:rPr>
      <w:fldChar w:fldCharType="begin"/>
    </w:r>
    <w:r>
      <w:rPr>
        <w:color w:val="5A5A5A"/>
        <w:sz w:val="18"/>
      </w:rPr>
      <w:instrText>PAGE</w:instrText>
    </w:r>
    <w:r w:rsidR="00DF3AC9">
      <w:rPr>
        <w:color w:val="5A5A5A"/>
        <w:sz w:val="18"/>
      </w:rPr>
      <w:fldChar w:fldCharType="separate"/>
    </w:r>
    <w:r w:rsidR="00DF3AC9">
      <w:rPr>
        <w:noProof/>
        <w:color w:val="5A5A5A"/>
        <w:sz w:val="18"/>
      </w:rPr>
      <w:t>1</w:t>
    </w:r>
    <w:r>
      <w:rPr>
        <w:color w:val="5A5A5A"/>
        <w:sz w:val="18"/>
      </w:rP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A9031" w14:textId="77777777" w:rsidR="00FB291E" w:rsidRDefault="00FB291E">
      <w:pPr>
        <w:spacing w:after="0" w:line="240" w:lineRule="auto"/>
      </w:pPr>
      <w:r>
        <w:separator/>
      </w:r>
    </w:p>
  </w:footnote>
  <w:footnote w:type="continuationSeparator" w:id="0">
    <w:p w14:paraId="33BDB94A" w14:textId="77777777" w:rsidR="00FB291E" w:rsidRDefault="00FB29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C8E43"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A62A" w14:textId="77777777" w:rsidR="000817FF" w:rsidRDefault="00FB291E">
    <w:pPr>
      <w:pStyle w:val="a5"/>
      <w:jc w:val="center"/>
    </w:pPr>
    <w:r>
      <w:rPr>
        <w:color w:val="5A5A5A"/>
        <w:sz w:val="18"/>
      </w:rPr>
      <w:t>基于</w:t>
    </w:r>
    <w:r>
      <w:rPr>
        <w:color w:val="5A5A5A"/>
        <w:sz w:val="18"/>
      </w:rPr>
      <w:t xml:space="preserve"> FAERS </w:t>
    </w:r>
    <w:r>
      <w:rPr>
        <w:color w:val="5A5A5A"/>
        <w:sz w:val="18"/>
      </w:rPr>
      <w:t>数据库的老年人唑吡坦相关跌倒事件药物警戒研究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8386519">
    <w:abstractNumId w:val="8"/>
  </w:num>
  <w:num w:numId="2" w16cid:durableId="410006133">
    <w:abstractNumId w:val="6"/>
  </w:num>
  <w:num w:numId="3" w16cid:durableId="124546610">
    <w:abstractNumId w:val="5"/>
  </w:num>
  <w:num w:numId="4" w16cid:durableId="420878812">
    <w:abstractNumId w:val="4"/>
  </w:num>
  <w:num w:numId="5" w16cid:durableId="1773159224">
    <w:abstractNumId w:val="7"/>
  </w:num>
  <w:num w:numId="6" w16cid:durableId="1849519469">
    <w:abstractNumId w:val="3"/>
  </w:num>
  <w:num w:numId="7" w16cid:durableId="1579364723">
    <w:abstractNumId w:val="2"/>
  </w:num>
  <w:num w:numId="8" w16cid:durableId="246424073">
    <w:abstractNumId w:val="1"/>
  </w:num>
  <w:num w:numId="9" w16cid:durableId="1302030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7FF"/>
    <w:rsid w:val="0015074B"/>
    <w:rsid w:val="0029639D"/>
    <w:rsid w:val="00326F90"/>
    <w:rsid w:val="00AA1D8D"/>
    <w:rsid w:val="00B47730"/>
    <w:rsid w:val="00CB0664"/>
    <w:rsid w:val="00DE6F59"/>
    <w:rsid w:val="00DF3AC9"/>
    <w:rsid w:val="00FB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B23ADA"/>
  <w14:defaultImageDpi w14:val="300"/>
  <w15:docId w15:val="{23077FC8-CFF6-4F82-9A22-ADC320CB0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F3AC9"/>
  </w:style>
  <w:style w:type="paragraph" w:styleId="TOC2">
    <w:name w:val="toc 2"/>
    <w:basedOn w:val="a1"/>
    <w:next w:val="a1"/>
    <w:autoRedefine/>
    <w:uiPriority w:val="39"/>
    <w:unhideWhenUsed/>
    <w:rsid w:val="00DF3AC9"/>
    <w:pPr>
      <w:ind w:leftChars="200" w:left="420"/>
    </w:pPr>
  </w:style>
  <w:style w:type="paragraph" w:styleId="TOC3">
    <w:name w:val="toc 3"/>
    <w:basedOn w:val="a1"/>
    <w:next w:val="a1"/>
    <w:autoRedefine/>
    <w:uiPriority w:val="39"/>
    <w:unhideWhenUsed/>
    <w:rsid w:val="00DF3AC9"/>
    <w:pPr>
      <w:ind w:leftChars="400" w:left="840"/>
    </w:pPr>
  </w:style>
  <w:style w:type="paragraph" w:styleId="TOC4">
    <w:name w:val="toc 4"/>
    <w:basedOn w:val="a1"/>
    <w:next w:val="a1"/>
    <w:autoRedefine/>
    <w:uiPriority w:val="39"/>
    <w:unhideWhenUsed/>
    <w:rsid w:val="00DF3AC9"/>
    <w:pPr>
      <w:widowControl w:val="0"/>
      <w:spacing w:after="160" w:line="278" w:lineRule="auto"/>
      <w:ind w:leftChars="600" w:left="126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DF3AC9"/>
    <w:pPr>
      <w:widowControl w:val="0"/>
      <w:spacing w:after="160" w:line="278" w:lineRule="auto"/>
      <w:ind w:leftChars="800" w:left="168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DF3AC9"/>
    <w:pPr>
      <w:widowControl w:val="0"/>
      <w:spacing w:after="160" w:line="278" w:lineRule="auto"/>
      <w:ind w:leftChars="1000" w:left="210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DF3AC9"/>
    <w:pPr>
      <w:widowControl w:val="0"/>
      <w:spacing w:after="160" w:line="278" w:lineRule="auto"/>
      <w:ind w:leftChars="1200" w:left="252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DF3AC9"/>
    <w:pPr>
      <w:widowControl w:val="0"/>
      <w:spacing w:after="160" w:line="278" w:lineRule="auto"/>
      <w:ind w:leftChars="1400" w:left="294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DF3AC9"/>
    <w:pPr>
      <w:widowControl w:val="0"/>
      <w:spacing w:after="160" w:line="278" w:lineRule="auto"/>
      <w:ind w:leftChars="1600" w:left="336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DF3AC9"/>
    <w:rPr>
      <w:color w:val="0000FF" w:themeColor="hyperlink"/>
      <w:u w:val="single"/>
    </w:rPr>
  </w:style>
  <w:style w:type="character" w:styleId="affa">
    <w:name w:val="Unresolved Mention"/>
    <w:basedOn w:val="a2"/>
    <w:uiPriority w:val="99"/>
    <w:semiHidden/>
    <w:unhideWhenUsed/>
    <w:rsid w:val="00DF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34377</Words>
  <Characters>54933</Characters>
  <Application>Microsoft Office Word</Application>
  <DocSecurity>0</DocSecurity>
  <Lines>1967</Lines>
  <Paragraphs>1141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yanlin shao</cp:lastModifiedBy>
  <cp:revision>2</cp:revision>
  <dcterms:created xsi:type="dcterms:W3CDTF">2013-12-23T23:15:00Z</dcterms:created>
  <dcterms:modified xsi:type="dcterms:W3CDTF">2026-05-21T10:39:00Z</dcterms:modified>
  <cp:category/>
</cp:coreProperties>
</file>