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DF1B" w14:textId="77777777" w:rsidR="0092061E" w:rsidRDefault="00817EEB">
      <w:pPr>
        <w:spacing w:after="160" w:line="264" w:lineRule="auto"/>
        <w:rPr>
          <w:lang w:eastAsia="zh-CN"/>
        </w:rPr>
      </w:pPr>
      <w:r>
        <w:rPr>
          <w:rFonts w:eastAsia="黑体"/>
          <w:b/>
          <w:sz w:val="29"/>
          <w:lang w:eastAsia="zh-CN"/>
        </w:rPr>
        <w:t>基于</w:t>
      </w:r>
      <w:r>
        <w:rPr>
          <w:rFonts w:eastAsia="黑体"/>
          <w:b/>
          <w:sz w:val="29"/>
          <w:lang w:eastAsia="zh-CN"/>
        </w:rPr>
        <w:t xml:space="preserve"> FAERS </w:t>
      </w:r>
      <w:r>
        <w:rPr>
          <w:rFonts w:eastAsia="黑体"/>
          <w:b/>
          <w:sz w:val="29"/>
          <w:lang w:eastAsia="zh-CN"/>
        </w:rPr>
        <w:t>数据库的</w:t>
      </w:r>
      <w:proofErr w:type="gramStart"/>
      <w:r>
        <w:rPr>
          <w:rFonts w:eastAsia="黑体"/>
          <w:b/>
          <w:sz w:val="29"/>
          <w:lang w:eastAsia="zh-CN"/>
        </w:rPr>
        <w:t>唑吡坦相关</w:t>
      </w:r>
      <w:proofErr w:type="gramEnd"/>
      <w:r>
        <w:rPr>
          <w:rFonts w:eastAsia="黑体"/>
          <w:b/>
          <w:sz w:val="29"/>
          <w:lang w:eastAsia="zh-CN"/>
        </w:rPr>
        <w:t>老年跌倒事件信号挖掘及报告特征分析</w:t>
      </w:r>
    </w:p>
    <w:p w14:paraId="0114D2B3" w14:textId="77777777" w:rsidR="0092061E" w:rsidRDefault="00817EEB">
      <w:pPr>
        <w:spacing w:after="40" w:line="252" w:lineRule="auto"/>
        <w:rPr>
          <w:lang w:eastAsia="zh-CN"/>
        </w:rPr>
      </w:pPr>
      <w:r>
        <w:rPr>
          <w:rFonts w:eastAsia="仿宋"/>
          <w:lang w:eastAsia="zh-CN"/>
        </w:rPr>
        <w:t>作者：邵燕</w:t>
      </w:r>
      <w:proofErr w:type="gramStart"/>
      <w:r>
        <w:rPr>
          <w:rFonts w:eastAsia="仿宋"/>
          <w:lang w:eastAsia="zh-CN"/>
        </w:rPr>
        <w:t>鳞</w:t>
      </w:r>
      <w:proofErr w:type="gramEnd"/>
    </w:p>
    <w:p w14:paraId="16E3BFDF" w14:textId="6B2B1DB9" w:rsidR="0092061E" w:rsidRDefault="00817EEB">
      <w:pPr>
        <w:spacing w:after="40" w:line="252" w:lineRule="auto"/>
        <w:rPr>
          <w:lang w:eastAsia="zh-CN"/>
        </w:rPr>
      </w:pPr>
      <w:r>
        <w:rPr>
          <w:rFonts w:eastAsia="仿宋"/>
          <w:lang w:eastAsia="zh-CN"/>
        </w:rPr>
        <w:t>工作单位：中山大学，广东省</w:t>
      </w:r>
      <w:r w:rsidR="00736B1E">
        <w:rPr>
          <w:rFonts w:eastAsia="仿宋" w:hint="eastAsia"/>
          <w:lang w:eastAsia="zh-CN"/>
        </w:rPr>
        <w:t>深圳</w:t>
      </w:r>
      <w:r>
        <w:rPr>
          <w:rFonts w:eastAsia="仿宋"/>
          <w:lang w:eastAsia="zh-CN"/>
        </w:rPr>
        <w:t>市，</w:t>
      </w:r>
      <w:r>
        <w:rPr>
          <w:rFonts w:eastAsia="仿宋"/>
          <w:lang w:eastAsia="zh-CN"/>
        </w:rPr>
        <w:t>51</w:t>
      </w:r>
      <w:r w:rsidR="00736B1E">
        <w:rPr>
          <w:rFonts w:eastAsia="仿宋" w:hint="eastAsia"/>
          <w:lang w:eastAsia="zh-CN"/>
        </w:rPr>
        <w:t>8000</w:t>
      </w:r>
      <w:r>
        <w:rPr>
          <w:rFonts w:eastAsia="仿宋"/>
          <w:lang w:eastAsia="zh-CN"/>
        </w:rPr>
        <w:t>，中国</w:t>
      </w:r>
    </w:p>
    <w:p w14:paraId="3A44933F" w14:textId="20FBD06B" w:rsidR="0092061E" w:rsidRDefault="00817EEB">
      <w:pPr>
        <w:spacing w:after="40" w:line="252" w:lineRule="auto"/>
        <w:rPr>
          <w:lang w:eastAsia="zh-CN"/>
        </w:rPr>
      </w:pPr>
      <w:r>
        <w:rPr>
          <w:rFonts w:eastAsia="仿宋"/>
          <w:lang w:eastAsia="zh-CN"/>
        </w:rPr>
        <w:t>通信作者：</w:t>
      </w:r>
      <w:r w:rsidR="00736B1E">
        <w:rPr>
          <w:rFonts w:eastAsia="仿宋" w:hint="eastAsia"/>
          <w:lang w:eastAsia="zh-CN"/>
        </w:rPr>
        <w:t>刘娟</w:t>
      </w:r>
      <w:r>
        <w:rPr>
          <w:rFonts w:eastAsia="仿宋"/>
          <w:lang w:eastAsia="zh-CN"/>
        </w:rPr>
        <w:t>，</w:t>
      </w:r>
      <w:r>
        <w:rPr>
          <w:rFonts w:eastAsia="仿宋"/>
          <w:lang w:eastAsia="zh-CN"/>
        </w:rPr>
        <w:t>E-mail</w:t>
      </w:r>
      <w:r>
        <w:rPr>
          <w:rFonts w:eastAsia="仿宋"/>
          <w:lang w:eastAsia="zh-CN"/>
        </w:rPr>
        <w:t>：</w:t>
      </w:r>
      <w:r w:rsidR="00736B1E">
        <w:rPr>
          <w:rFonts w:eastAsia="仿宋" w:hint="eastAsia"/>
          <w:lang w:eastAsia="zh-CN"/>
        </w:rPr>
        <w:t>xxx</w:t>
      </w:r>
    </w:p>
    <w:p w14:paraId="520E5D8A" w14:textId="77777777" w:rsidR="00C2408B" w:rsidRDefault="00817EEB" w:rsidP="00C2408B">
      <w:pPr>
        <w:spacing w:after="40" w:line="252" w:lineRule="auto"/>
        <w:rPr>
          <w:lang w:eastAsia="zh-CN"/>
        </w:rPr>
      </w:pPr>
      <w:r>
        <w:rPr>
          <w:rFonts w:eastAsia="仿宋"/>
          <w:lang w:eastAsia="zh-CN"/>
        </w:rPr>
        <w:t>作者贡献：邵燕</w:t>
      </w:r>
      <w:proofErr w:type="gramStart"/>
      <w:r>
        <w:rPr>
          <w:rFonts w:eastAsia="仿宋"/>
          <w:lang w:eastAsia="zh-CN"/>
        </w:rPr>
        <w:t>鳞</w:t>
      </w:r>
      <w:proofErr w:type="gramEnd"/>
      <w:r>
        <w:rPr>
          <w:rFonts w:eastAsia="仿宋"/>
          <w:lang w:eastAsia="zh-CN"/>
        </w:rPr>
        <w:t>负责研究设计、数据分析、论文撰写与修订，并对全文负责。</w:t>
      </w:r>
    </w:p>
    <w:p w14:paraId="302DDDD4" w14:textId="0477850F" w:rsidR="00926B1E" w:rsidRPr="00C2408B" w:rsidRDefault="00C2408B" w:rsidP="00C2408B">
      <w:pPr>
        <w:spacing w:after="40" w:line="252" w:lineRule="auto"/>
        <w:ind w:firstLine="420"/>
        <w:rPr>
          <w:lang w:eastAsia="zh-CN"/>
        </w:rPr>
      </w:pPr>
      <w:r>
        <w:rPr>
          <w:rFonts w:eastAsia="黑体" w:hint="eastAsia"/>
          <w:b/>
          <w:sz w:val="20"/>
          <w:lang w:eastAsia="zh-CN"/>
        </w:rPr>
        <w:t>【</w:t>
      </w:r>
      <w:r w:rsidR="00817EEB">
        <w:rPr>
          <w:rFonts w:eastAsia="黑体"/>
          <w:b/>
          <w:sz w:val="20"/>
          <w:lang w:eastAsia="zh-CN"/>
        </w:rPr>
        <w:t>摘要</w:t>
      </w:r>
      <w:r>
        <w:rPr>
          <w:rFonts w:eastAsia="黑体" w:hint="eastAsia"/>
          <w:b/>
          <w:sz w:val="20"/>
          <w:lang w:eastAsia="zh-CN"/>
        </w:rPr>
        <w:t>】</w:t>
      </w:r>
      <w:r w:rsidR="00926B1E" w:rsidRPr="00926B1E">
        <w:rPr>
          <w:rFonts w:hint="eastAsia"/>
          <w:b/>
          <w:lang w:eastAsia="zh-CN"/>
        </w:rPr>
        <w:t>目的</w:t>
      </w:r>
      <w:r w:rsidR="00926B1E" w:rsidRPr="00926B1E">
        <w:rPr>
          <w:rFonts w:hint="eastAsia"/>
          <w:lang w:eastAsia="zh-CN"/>
        </w:rPr>
        <w:t xml:space="preserve"> </w:t>
      </w:r>
      <w:r>
        <w:rPr>
          <w:rFonts w:hint="eastAsia"/>
          <w:lang w:eastAsia="zh-CN"/>
        </w:rPr>
        <w:t xml:space="preserve"> </w:t>
      </w:r>
      <w:r w:rsidR="00926B1E" w:rsidRPr="00926B1E">
        <w:rPr>
          <w:rFonts w:hint="eastAsia"/>
          <w:lang w:eastAsia="zh-CN"/>
        </w:rPr>
        <w:t>基于美国食品药品监督管理局不良事件报告系统数据库，挖掘</w:t>
      </w:r>
      <w:proofErr w:type="gramStart"/>
      <w:r w:rsidR="00926B1E" w:rsidRPr="00926B1E">
        <w:rPr>
          <w:rFonts w:hint="eastAsia"/>
          <w:lang w:eastAsia="zh-CN"/>
        </w:rPr>
        <w:t>唑吡坦相关</w:t>
      </w:r>
      <w:proofErr w:type="gramEnd"/>
      <w:r w:rsidR="00926B1E" w:rsidRPr="00926B1E">
        <w:rPr>
          <w:rFonts w:hint="eastAsia"/>
          <w:lang w:eastAsia="zh-CN"/>
        </w:rPr>
        <w:t>老年跌倒事件的药物警戒信号，为老年患者安全用药提供参考。</w:t>
      </w:r>
      <w:r w:rsidR="00926B1E" w:rsidRPr="00926B1E">
        <w:rPr>
          <w:rFonts w:hint="eastAsia"/>
          <w:lang w:eastAsia="zh-CN"/>
        </w:rPr>
        <w:t xml:space="preserve"> </w:t>
      </w:r>
      <w:r w:rsidR="00926B1E" w:rsidRPr="00926B1E">
        <w:rPr>
          <w:rFonts w:hint="eastAsia"/>
          <w:b/>
          <w:lang w:eastAsia="zh-CN"/>
        </w:rPr>
        <w:t>方法</w:t>
      </w:r>
      <w:r w:rsidR="00926B1E" w:rsidRPr="00926B1E">
        <w:rPr>
          <w:rFonts w:hint="eastAsia"/>
          <w:lang w:eastAsia="zh-CN"/>
        </w:rPr>
        <w:t xml:space="preserve"> </w:t>
      </w:r>
      <w:r>
        <w:rPr>
          <w:rFonts w:hint="eastAsia"/>
          <w:lang w:eastAsia="zh-CN"/>
        </w:rPr>
        <w:t xml:space="preserve"> </w:t>
      </w:r>
      <w:r w:rsidR="00926B1E" w:rsidRPr="00926B1E">
        <w:rPr>
          <w:rFonts w:hint="eastAsia"/>
          <w:lang w:eastAsia="zh-CN"/>
        </w:rPr>
        <w:t>提取该数据库</w:t>
      </w:r>
      <w:r w:rsidR="00926B1E" w:rsidRPr="00926B1E">
        <w:rPr>
          <w:rFonts w:hint="eastAsia"/>
          <w:lang w:eastAsia="zh-CN"/>
        </w:rPr>
        <w:t>2004</w:t>
      </w:r>
      <w:r w:rsidR="00926B1E" w:rsidRPr="00926B1E">
        <w:rPr>
          <w:rFonts w:hint="eastAsia"/>
          <w:lang w:eastAsia="zh-CN"/>
        </w:rPr>
        <w:t>年第</w:t>
      </w:r>
      <w:r w:rsidR="00926B1E" w:rsidRPr="00926B1E">
        <w:rPr>
          <w:rFonts w:hint="eastAsia"/>
          <w:lang w:eastAsia="zh-CN"/>
        </w:rPr>
        <w:t>1</w:t>
      </w:r>
      <w:r w:rsidR="00926B1E" w:rsidRPr="00926B1E">
        <w:rPr>
          <w:rFonts w:hint="eastAsia"/>
          <w:lang w:eastAsia="zh-CN"/>
        </w:rPr>
        <w:t>季度至</w:t>
      </w:r>
      <w:r w:rsidR="00926B1E" w:rsidRPr="00926B1E">
        <w:rPr>
          <w:rFonts w:hint="eastAsia"/>
          <w:lang w:eastAsia="zh-CN"/>
        </w:rPr>
        <w:t>2025</w:t>
      </w:r>
      <w:r w:rsidR="00926B1E" w:rsidRPr="00926B1E">
        <w:rPr>
          <w:rFonts w:hint="eastAsia"/>
          <w:lang w:eastAsia="zh-CN"/>
        </w:rPr>
        <w:t>年第</w:t>
      </w:r>
      <w:r w:rsidR="00926B1E" w:rsidRPr="00926B1E">
        <w:rPr>
          <w:rFonts w:hint="eastAsia"/>
          <w:lang w:eastAsia="zh-CN"/>
        </w:rPr>
        <w:t>4</w:t>
      </w:r>
      <w:r w:rsidR="00926B1E" w:rsidRPr="00926B1E">
        <w:rPr>
          <w:rFonts w:hint="eastAsia"/>
          <w:lang w:eastAsia="zh-CN"/>
        </w:rPr>
        <w:t>季度</w:t>
      </w:r>
      <w:proofErr w:type="gramStart"/>
      <w:r w:rsidR="00926B1E" w:rsidRPr="00926B1E">
        <w:rPr>
          <w:rFonts w:hint="eastAsia"/>
          <w:lang w:eastAsia="zh-CN"/>
        </w:rPr>
        <w:t>病例级报告</w:t>
      </w:r>
      <w:proofErr w:type="gramEnd"/>
      <w:r w:rsidR="00926B1E" w:rsidRPr="00926B1E">
        <w:rPr>
          <w:rFonts w:hint="eastAsia"/>
          <w:lang w:eastAsia="zh-CN"/>
        </w:rPr>
        <w:t>，纳入</w:t>
      </w:r>
      <w:r w:rsidR="00926B1E" w:rsidRPr="00926B1E">
        <w:rPr>
          <w:rFonts w:hint="eastAsia"/>
          <w:lang w:eastAsia="zh-CN"/>
        </w:rPr>
        <w:t>65</w:t>
      </w:r>
      <w:r w:rsidR="00926B1E" w:rsidRPr="00926B1E">
        <w:rPr>
          <w:rFonts w:hint="eastAsia"/>
          <w:lang w:eastAsia="zh-CN"/>
        </w:rPr>
        <w:t>～</w:t>
      </w:r>
      <w:r w:rsidR="00926B1E" w:rsidRPr="00926B1E">
        <w:rPr>
          <w:rFonts w:hint="eastAsia"/>
          <w:lang w:eastAsia="zh-CN"/>
        </w:rPr>
        <w:t>120</w:t>
      </w:r>
      <w:r w:rsidR="00926B1E" w:rsidRPr="00926B1E">
        <w:rPr>
          <w:rFonts w:hint="eastAsia"/>
          <w:lang w:eastAsia="zh-CN"/>
        </w:rPr>
        <w:t>岁老年病例。以</w:t>
      </w:r>
      <w:proofErr w:type="gramStart"/>
      <w:r w:rsidR="00926B1E" w:rsidRPr="00926B1E">
        <w:rPr>
          <w:rFonts w:hint="eastAsia"/>
          <w:lang w:eastAsia="zh-CN"/>
        </w:rPr>
        <w:t>唑吡</w:t>
      </w:r>
      <w:proofErr w:type="gramEnd"/>
      <w:r w:rsidR="00926B1E" w:rsidRPr="00926B1E">
        <w:rPr>
          <w:rFonts w:hint="eastAsia"/>
          <w:lang w:eastAsia="zh-CN"/>
        </w:rPr>
        <w:t>坦列为主要或次要怀疑药物为主分析口径，以主要怀疑药物为敏感性分析口径；以</w:t>
      </w:r>
      <w:r w:rsidR="00926B1E" w:rsidRPr="00926B1E">
        <w:rPr>
          <w:rFonts w:hint="eastAsia"/>
          <w:lang w:eastAsia="zh-CN"/>
        </w:rPr>
        <w:t>MedDRA</w:t>
      </w:r>
      <w:r w:rsidR="00926B1E" w:rsidRPr="00926B1E">
        <w:rPr>
          <w:rFonts w:hint="eastAsia"/>
          <w:lang w:eastAsia="zh-CN"/>
        </w:rPr>
        <w:t>首选语</w:t>
      </w:r>
      <w:r w:rsidR="00926B1E" w:rsidRPr="00926B1E">
        <w:rPr>
          <w:rFonts w:hint="eastAsia"/>
          <w:lang w:eastAsia="zh-CN"/>
        </w:rPr>
        <w:t>FALL</w:t>
      </w:r>
      <w:r w:rsidR="00926B1E" w:rsidRPr="00926B1E">
        <w:rPr>
          <w:rFonts w:hint="eastAsia"/>
          <w:lang w:eastAsia="zh-CN"/>
        </w:rPr>
        <w:t>或</w:t>
      </w:r>
      <w:r w:rsidR="00926B1E" w:rsidRPr="00926B1E">
        <w:rPr>
          <w:rFonts w:hint="eastAsia"/>
          <w:lang w:eastAsia="zh-CN"/>
        </w:rPr>
        <w:t>DROP ATTACKS</w:t>
      </w:r>
      <w:r w:rsidR="00926B1E" w:rsidRPr="00926B1E">
        <w:rPr>
          <w:rFonts w:hint="eastAsia"/>
          <w:lang w:eastAsia="zh-CN"/>
        </w:rPr>
        <w:t>定义跌倒事件，采用</w:t>
      </w:r>
      <w:r w:rsidR="00926B1E" w:rsidRPr="00926B1E">
        <w:rPr>
          <w:rFonts w:hint="eastAsia"/>
          <w:lang w:eastAsia="zh-CN"/>
        </w:rPr>
        <w:t>ROR</w:t>
      </w:r>
      <w:r w:rsidR="00926B1E" w:rsidRPr="00926B1E">
        <w:rPr>
          <w:rFonts w:hint="eastAsia"/>
          <w:lang w:eastAsia="zh-CN"/>
        </w:rPr>
        <w:t>、</w:t>
      </w:r>
      <w:r w:rsidR="00926B1E" w:rsidRPr="00926B1E">
        <w:rPr>
          <w:rFonts w:hint="eastAsia"/>
          <w:lang w:eastAsia="zh-CN"/>
        </w:rPr>
        <w:t>PRR</w:t>
      </w:r>
      <w:r w:rsidR="00926B1E" w:rsidRPr="00926B1E">
        <w:rPr>
          <w:rFonts w:hint="eastAsia"/>
          <w:lang w:eastAsia="zh-CN"/>
        </w:rPr>
        <w:t>、</w:t>
      </w:r>
      <w:r w:rsidR="00926B1E" w:rsidRPr="00926B1E">
        <w:rPr>
          <w:rFonts w:hint="eastAsia"/>
          <w:lang w:eastAsia="zh-CN"/>
        </w:rPr>
        <w:t>IC</w:t>
      </w:r>
      <w:r w:rsidR="00926B1E" w:rsidRPr="00926B1E">
        <w:rPr>
          <w:rFonts w:hint="eastAsia"/>
          <w:lang w:eastAsia="zh-CN"/>
        </w:rPr>
        <w:t>、</w:t>
      </w:r>
      <w:r w:rsidR="00926B1E" w:rsidRPr="00926B1E">
        <w:rPr>
          <w:rFonts w:hint="eastAsia"/>
          <w:lang w:eastAsia="zh-CN"/>
        </w:rPr>
        <w:t>EBGM</w:t>
      </w:r>
      <w:r w:rsidR="00926B1E" w:rsidRPr="00926B1E">
        <w:rPr>
          <w:rFonts w:hint="eastAsia"/>
          <w:lang w:eastAsia="zh-CN"/>
        </w:rPr>
        <w:t>、调整后</w:t>
      </w:r>
      <w:r w:rsidR="00926B1E" w:rsidRPr="00926B1E">
        <w:rPr>
          <w:rFonts w:hint="eastAsia"/>
          <w:lang w:eastAsia="zh-CN"/>
        </w:rPr>
        <w:t>ROR</w:t>
      </w:r>
      <w:r w:rsidR="00926B1E" w:rsidRPr="00926B1E">
        <w:rPr>
          <w:rFonts w:hint="eastAsia"/>
          <w:lang w:eastAsia="zh-CN"/>
        </w:rPr>
        <w:t>、共现网络和机器学习方法分析。</w:t>
      </w:r>
      <w:r w:rsidR="00926B1E" w:rsidRPr="00926B1E">
        <w:rPr>
          <w:rFonts w:hint="eastAsia"/>
          <w:lang w:eastAsia="zh-CN"/>
        </w:rPr>
        <w:t xml:space="preserve"> </w:t>
      </w:r>
      <w:r w:rsidR="00926B1E" w:rsidRPr="00926B1E">
        <w:rPr>
          <w:rFonts w:hint="eastAsia"/>
          <w:b/>
          <w:lang w:eastAsia="zh-CN"/>
        </w:rPr>
        <w:t>结果</w:t>
      </w:r>
      <w:r w:rsidR="00926B1E" w:rsidRPr="00926B1E">
        <w:rPr>
          <w:rFonts w:hint="eastAsia"/>
          <w:lang w:eastAsia="zh-CN"/>
        </w:rPr>
        <w:t xml:space="preserve"> </w:t>
      </w:r>
      <w:r>
        <w:rPr>
          <w:rFonts w:hint="eastAsia"/>
          <w:lang w:eastAsia="zh-CN"/>
        </w:rPr>
        <w:t xml:space="preserve"> </w:t>
      </w:r>
      <w:proofErr w:type="gramStart"/>
      <w:r w:rsidR="00926B1E" w:rsidRPr="00926B1E">
        <w:rPr>
          <w:rFonts w:hint="eastAsia"/>
          <w:lang w:eastAsia="zh-CN"/>
        </w:rPr>
        <w:t>主分析识别唑吡坦相关</w:t>
      </w:r>
      <w:proofErr w:type="gramEnd"/>
      <w:r w:rsidR="00926B1E" w:rsidRPr="00926B1E">
        <w:rPr>
          <w:rFonts w:hint="eastAsia"/>
          <w:lang w:eastAsia="zh-CN"/>
        </w:rPr>
        <w:t>报告</w:t>
      </w:r>
      <w:r w:rsidR="00926B1E" w:rsidRPr="00926B1E">
        <w:rPr>
          <w:rFonts w:hint="eastAsia"/>
          <w:lang w:eastAsia="zh-CN"/>
        </w:rPr>
        <w:t>7798</w:t>
      </w:r>
      <w:r w:rsidR="00926B1E" w:rsidRPr="00926B1E">
        <w:rPr>
          <w:rFonts w:hint="eastAsia"/>
          <w:lang w:eastAsia="zh-CN"/>
        </w:rPr>
        <w:t>例，其中跌倒事件</w:t>
      </w:r>
      <w:r w:rsidR="00926B1E" w:rsidRPr="00926B1E">
        <w:rPr>
          <w:rFonts w:hint="eastAsia"/>
          <w:lang w:eastAsia="zh-CN"/>
        </w:rPr>
        <w:t>1058</w:t>
      </w:r>
      <w:r w:rsidR="00926B1E" w:rsidRPr="00926B1E">
        <w:rPr>
          <w:rFonts w:hint="eastAsia"/>
          <w:lang w:eastAsia="zh-CN"/>
        </w:rPr>
        <w:t>例，跌倒报告占比为</w:t>
      </w:r>
      <w:r w:rsidR="00926B1E" w:rsidRPr="00926B1E">
        <w:rPr>
          <w:rFonts w:hint="eastAsia"/>
          <w:lang w:eastAsia="zh-CN"/>
        </w:rPr>
        <w:t>13.57%</w:t>
      </w:r>
      <w:r w:rsidR="00926B1E" w:rsidRPr="00926B1E">
        <w:rPr>
          <w:rFonts w:hint="eastAsia"/>
          <w:lang w:eastAsia="zh-CN"/>
        </w:rPr>
        <w:t>，非</w:t>
      </w:r>
      <w:proofErr w:type="gramStart"/>
      <w:r w:rsidR="00926B1E" w:rsidRPr="00926B1E">
        <w:rPr>
          <w:rFonts w:hint="eastAsia"/>
          <w:lang w:eastAsia="zh-CN"/>
        </w:rPr>
        <w:t>唑吡坦报告组</w:t>
      </w:r>
      <w:proofErr w:type="gramEnd"/>
      <w:r w:rsidR="00926B1E" w:rsidRPr="00926B1E">
        <w:rPr>
          <w:rFonts w:hint="eastAsia"/>
          <w:lang w:eastAsia="zh-CN"/>
        </w:rPr>
        <w:t>为</w:t>
      </w:r>
      <w:r w:rsidR="00926B1E" w:rsidRPr="00926B1E">
        <w:rPr>
          <w:rFonts w:hint="eastAsia"/>
          <w:lang w:eastAsia="zh-CN"/>
        </w:rPr>
        <w:t>3.17%</w:t>
      </w:r>
      <w:r w:rsidR="00926B1E" w:rsidRPr="00926B1E">
        <w:rPr>
          <w:rFonts w:hint="eastAsia"/>
          <w:lang w:eastAsia="zh-CN"/>
        </w:rPr>
        <w:t>。</w:t>
      </w:r>
      <w:proofErr w:type="gramStart"/>
      <w:r w:rsidR="00926B1E" w:rsidRPr="00926B1E">
        <w:rPr>
          <w:rFonts w:hint="eastAsia"/>
          <w:lang w:eastAsia="zh-CN"/>
        </w:rPr>
        <w:t>唑吡</w:t>
      </w:r>
      <w:proofErr w:type="gramEnd"/>
      <w:r w:rsidR="00926B1E" w:rsidRPr="00926B1E">
        <w:rPr>
          <w:rFonts w:hint="eastAsia"/>
          <w:lang w:eastAsia="zh-CN"/>
        </w:rPr>
        <w:t>坦与跌倒事件呈稳定阳性报告信号，</w:t>
      </w:r>
      <w:r w:rsidR="00926B1E" w:rsidRPr="00926B1E">
        <w:rPr>
          <w:rFonts w:hint="eastAsia"/>
          <w:lang w:eastAsia="zh-CN"/>
        </w:rPr>
        <w:t>ROR</w:t>
      </w:r>
      <w:r w:rsidR="00926B1E" w:rsidRPr="00926B1E">
        <w:rPr>
          <w:rFonts w:hint="eastAsia"/>
          <w:lang w:eastAsia="zh-CN"/>
        </w:rPr>
        <w:t>为</w:t>
      </w:r>
      <w:r w:rsidR="00926B1E" w:rsidRPr="00926B1E">
        <w:rPr>
          <w:rFonts w:hint="eastAsia"/>
          <w:lang w:eastAsia="zh-CN"/>
        </w:rPr>
        <w:t>4.80</w:t>
      </w:r>
      <w:r w:rsidR="00926B1E" w:rsidRPr="00926B1E">
        <w:rPr>
          <w:rFonts w:hint="eastAsia"/>
          <w:lang w:eastAsia="zh-CN"/>
        </w:rPr>
        <w:t>（</w:t>
      </w:r>
      <w:r w:rsidR="00926B1E" w:rsidRPr="00926B1E">
        <w:rPr>
          <w:rFonts w:hint="eastAsia"/>
          <w:lang w:eastAsia="zh-CN"/>
        </w:rPr>
        <w:t>95%CI</w:t>
      </w:r>
      <w:r w:rsidR="00926B1E" w:rsidRPr="00926B1E">
        <w:rPr>
          <w:rFonts w:hint="eastAsia"/>
          <w:lang w:eastAsia="zh-CN"/>
        </w:rPr>
        <w:t>：</w:t>
      </w:r>
      <w:r w:rsidR="00926B1E" w:rsidRPr="00926B1E">
        <w:rPr>
          <w:rFonts w:hint="eastAsia"/>
          <w:lang w:eastAsia="zh-CN"/>
        </w:rPr>
        <w:t>4.49</w:t>
      </w:r>
      <w:r w:rsidR="00926B1E" w:rsidRPr="00926B1E">
        <w:rPr>
          <w:rFonts w:hint="eastAsia"/>
          <w:lang w:eastAsia="zh-CN"/>
        </w:rPr>
        <w:t>～</w:t>
      </w:r>
      <w:r w:rsidR="00926B1E" w:rsidRPr="00926B1E">
        <w:rPr>
          <w:rFonts w:hint="eastAsia"/>
          <w:lang w:eastAsia="zh-CN"/>
        </w:rPr>
        <w:t>5.12</w:t>
      </w:r>
      <w:r w:rsidR="00926B1E" w:rsidRPr="00926B1E">
        <w:rPr>
          <w:rFonts w:hint="eastAsia"/>
          <w:lang w:eastAsia="zh-CN"/>
        </w:rPr>
        <w:t>）；进一步调整后，调整后</w:t>
      </w:r>
      <w:r w:rsidR="00926B1E" w:rsidRPr="00926B1E">
        <w:rPr>
          <w:rFonts w:hint="eastAsia"/>
          <w:lang w:eastAsia="zh-CN"/>
        </w:rPr>
        <w:t>ROR</w:t>
      </w:r>
      <w:r w:rsidR="00926B1E" w:rsidRPr="00926B1E">
        <w:rPr>
          <w:rFonts w:hint="eastAsia"/>
          <w:lang w:eastAsia="zh-CN"/>
        </w:rPr>
        <w:t>为</w:t>
      </w:r>
      <w:r w:rsidR="00926B1E" w:rsidRPr="00926B1E">
        <w:rPr>
          <w:rFonts w:hint="eastAsia"/>
          <w:lang w:eastAsia="zh-CN"/>
        </w:rPr>
        <w:t>2.74</w:t>
      </w:r>
      <w:r w:rsidR="00926B1E" w:rsidRPr="00926B1E">
        <w:rPr>
          <w:rFonts w:hint="eastAsia"/>
          <w:lang w:eastAsia="zh-CN"/>
        </w:rPr>
        <w:t>（</w:t>
      </w:r>
      <w:r w:rsidR="00926B1E" w:rsidRPr="00926B1E">
        <w:rPr>
          <w:rFonts w:hint="eastAsia"/>
          <w:lang w:eastAsia="zh-CN"/>
        </w:rPr>
        <w:t>95%CI</w:t>
      </w:r>
      <w:r w:rsidR="00926B1E" w:rsidRPr="00926B1E">
        <w:rPr>
          <w:rFonts w:hint="eastAsia"/>
          <w:lang w:eastAsia="zh-CN"/>
        </w:rPr>
        <w:t>：</w:t>
      </w:r>
      <w:r w:rsidR="00926B1E" w:rsidRPr="00926B1E">
        <w:rPr>
          <w:rFonts w:hint="eastAsia"/>
          <w:lang w:eastAsia="zh-CN"/>
        </w:rPr>
        <w:t>2.56</w:t>
      </w:r>
      <w:r w:rsidR="00926B1E" w:rsidRPr="00926B1E">
        <w:rPr>
          <w:rFonts w:hint="eastAsia"/>
          <w:lang w:eastAsia="zh-CN"/>
        </w:rPr>
        <w:t>～</w:t>
      </w:r>
      <w:r w:rsidR="00926B1E" w:rsidRPr="00926B1E">
        <w:rPr>
          <w:rFonts w:hint="eastAsia"/>
          <w:lang w:eastAsia="zh-CN"/>
        </w:rPr>
        <w:t>2.93</w:t>
      </w:r>
      <w:r w:rsidR="00926B1E" w:rsidRPr="00926B1E">
        <w:rPr>
          <w:rFonts w:hint="eastAsia"/>
          <w:lang w:eastAsia="zh-CN"/>
        </w:rPr>
        <w:t>）。</w:t>
      </w:r>
      <w:r w:rsidR="00926B1E" w:rsidRPr="00926B1E">
        <w:rPr>
          <w:rFonts w:hint="eastAsia"/>
          <w:lang w:eastAsia="zh-CN"/>
        </w:rPr>
        <w:t xml:space="preserve"> </w:t>
      </w:r>
      <w:r w:rsidR="00926B1E" w:rsidRPr="00926B1E">
        <w:rPr>
          <w:rFonts w:hint="eastAsia"/>
          <w:b/>
          <w:lang w:eastAsia="zh-CN"/>
        </w:rPr>
        <w:t>结论</w:t>
      </w:r>
      <w:r w:rsidR="00926B1E" w:rsidRPr="00926B1E">
        <w:rPr>
          <w:rFonts w:hint="eastAsia"/>
          <w:lang w:eastAsia="zh-CN"/>
        </w:rPr>
        <w:t xml:space="preserve"> </w:t>
      </w:r>
      <w:proofErr w:type="gramStart"/>
      <w:r w:rsidR="00926B1E" w:rsidRPr="00926B1E">
        <w:rPr>
          <w:rFonts w:hint="eastAsia"/>
          <w:lang w:eastAsia="zh-CN"/>
        </w:rPr>
        <w:t>唑吡坦在</w:t>
      </w:r>
      <w:proofErr w:type="gramEnd"/>
      <w:r w:rsidR="00926B1E" w:rsidRPr="00926B1E">
        <w:rPr>
          <w:rFonts w:hint="eastAsia"/>
          <w:lang w:eastAsia="zh-CN"/>
        </w:rPr>
        <w:t>老年病例中与跌倒事件报告增加相关，相关报告常伴随神经认知、眩晕</w:t>
      </w:r>
      <w:r w:rsidR="00926B1E" w:rsidRPr="00926B1E">
        <w:rPr>
          <w:rFonts w:hint="eastAsia"/>
          <w:lang w:eastAsia="zh-CN"/>
        </w:rPr>
        <w:t>/</w:t>
      </w:r>
      <w:r w:rsidR="00926B1E" w:rsidRPr="00926B1E">
        <w:rPr>
          <w:rFonts w:hint="eastAsia"/>
          <w:lang w:eastAsia="zh-CN"/>
        </w:rPr>
        <w:t>晕厥、步态</w:t>
      </w:r>
      <w:r w:rsidR="00926B1E" w:rsidRPr="00926B1E">
        <w:rPr>
          <w:rFonts w:hint="eastAsia"/>
          <w:lang w:eastAsia="zh-CN"/>
        </w:rPr>
        <w:t>/</w:t>
      </w:r>
      <w:r w:rsidR="00926B1E" w:rsidRPr="00926B1E">
        <w:rPr>
          <w:rFonts w:hint="eastAsia"/>
          <w:lang w:eastAsia="zh-CN"/>
        </w:rPr>
        <w:t>平衡和低血压特征。该结果只能提示药物警戒信号，不能证明因果关系。</w:t>
      </w:r>
    </w:p>
    <w:p w14:paraId="04F05E49" w14:textId="5E5B6889" w:rsidR="0092061E" w:rsidRDefault="00C2408B">
      <w:pPr>
        <w:ind w:firstLine="420"/>
        <w:rPr>
          <w:lang w:eastAsia="zh-CN"/>
        </w:rPr>
      </w:pPr>
      <w:r>
        <w:rPr>
          <w:rFonts w:hint="eastAsia"/>
          <w:b/>
          <w:lang w:eastAsia="zh-CN"/>
        </w:rPr>
        <w:t>【</w:t>
      </w:r>
      <w:r w:rsidR="00817EEB" w:rsidRPr="00926B1E">
        <w:rPr>
          <w:b/>
          <w:lang w:eastAsia="zh-CN"/>
        </w:rPr>
        <w:t>关键词</w:t>
      </w:r>
      <w:r w:rsidR="00817EEB">
        <w:rPr>
          <w:lang w:eastAsia="zh-CN"/>
        </w:rPr>
        <w:t xml:space="preserve"> </w:t>
      </w:r>
      <w:r>
        <w:rPr>
          <w:rFonts w:hint="eastAsia"/>
          <w:lang w:eastAsia="zh-CN"/>
        </w:rPr>
        <w:t>】</w:t>
      </w:r>
      <w:proofErr w:type="gramStart"/>
      <w:r w:rsidR="00817EEB">
        <w:rPr>
          <w:lang w:eastAsia="zh-CN"/>
        </w:rPr>
        <w:t>唑吡</w:t>
      </w:r>
      <w:proofErr w:type="gramEnd"/>
      <w:r w:rsidR="00817EEB">
        <w:rPr>
          <w:lang w:eastAsia="zh-CN"/>
        </w:rPr>
        <w:t>坦；美国不良事件报告系统；跌倒；老年人；药物警戒；信号挖掘；机器学习</w:t>
      </w:r>
    </w:p>
    <w:p w14:paraId="145DC979" w14:textId="77777777" w:rsidR="0092061E" w:rsidRDefault="00817EEB" w:rsidP="00C2408B">
      <w:r>
        <w:rPr>
          <w:b/>
        </w:rPr>
        <w:t>Signal Mining and Reporting Characteristics of Zolpidem-Related Falls in Older Adults Based on the FAERS Database</w:t>
      </w:r>
    </w:p>
    <w:p w14:paraId="6D06EE36" w14:textId="77777777" w:rsidR="0092061E" w:rsidRDefault="00817EEB">
      <w:pPr>
        <w:spacing w:after="40" w:line="252" w:lineRule="auto"/>
      </w:pPr>
      <w:r>
        <w:rPr>
          <w:rFonts w:eastAsia="仿宋"/>
        </w:rPr>
        <w:t>Authors: Shao Yanlin</w:t>
      </w:r>
    </w:p>
    <w:p w14:paraId="3DED83DB" w14:textId="4F355E70" w:rsidR="0092061E" w:rsidRDefault="00817EEB">
      <w:pPr>
        <w:spacing w:after="40" w:line="252" w:lineRule="auto"/>
      </w:pPr>
      <w:r>
        <w:rPr>
          <w:rFonts w:eastAsia="仿宋"/>
        </w:rPr>
        <w:t xml:space="preserve">Affiliation: Sun Yat-sen University, </w:t>
      </w:r>
      <w:r w:rsidR="00736B1E">
        <w:rPr>
          <w:rFonts w:eastAsia="仿宋" w:hint="eastAsia"/>
          <w:lang w:eastAsia="zh-CN"/>
        </w:rPr>
        <w:t>Shenzhen</w:t>
      </w:r>
      <w:r>
        <w:rPr>
          <w:rFonts w:eastAsia="仿宋"/>
        </w:rPr>
        <w:t xml:space="preserve"> 51</w:t>
      </w:r>
      <w:r w:rsidR="00736B1E">
        <w:rPr>
          <w:rFonts w:eastAsia="仿宋" w:hint="eastAsia"/>
          <w:lang w:eastAsia="zh-CN"/>
        </w:rPr>
        <w:t>8000</w:t>
      </w:r>
      <w:r>
        <w:rPr>
          <w:rFonts w:eastAsia="仿宋"/>
        </w:rPr>
        <w:t>, Guangdong, China</w:t>
      </w:r>
    </w:p>
    <w:p w14:paraId="104A8143" w14:textId="360EC2AC" w:rsidR="00C2408B" w:rsidRDefault="00817EEB" w:rsidP="00C2408B">
      <w:pPr>
        <w:spacing w:after="40" w:line="252" w:lineRule="auto"/>
        <w:rPr>
          <w:rFonts w:hint="eastAsia"/>
          <w:lang w:eastAsia="zh-CN"/>
        </w:rPr>
      </w:pPr>
      <w:r>
        <w:rPr>
          <w:rFonts w:eastAsia="仿宋"/>
        </w:rPr>
        <w:t xml:space="preserve">Corresponding author: </w:t>
      </w:r>
      <w:r w:rsidR="00736B1E">
        <w:rPr>
          <w:rFonts w:eastAsia="仿宋" w:hint="eastAsia"/>
          <w:lang w:eastAsia="zh-CN"/>
        </w:rPr>
        <w:t>Liu Juan</w:t>
      </w:r>
      <w:r>
        <w:rPr>
          <w:rFonts w:eastAsia="仿宋"/>
        </w:rPr>
        <w:t xml:space="preserve">, E-mail: </w:t>
      </w:r>
      <w:r w:rsidR="00C2408B">
        <w:rPr>
          <w:rFonts w:eastAsia="仿宋" w:hint="eastAsia"/>
          <w:lang w:eastAsia="zh-CN"/>
        </w:rPr>
        <w:t>XXX</w:t>
      </w:r>
    </w:p>
    <w:p w14:paraId="22D2FF6B" w14:textId="2033B0A5" w:rsidR="00926B1E" w:rsidRPr="00C2408B" w:rsidRDefault="00C2408B" w:rsidP="00C2408B">
      <w:pPr>
        <w:spacing w:after="40" w:line="252" w:lineRule="auto"/>
        <w:ind w:firstLine="420"/>
      </w:pPr>
      <w:r>
        <w:rPr>
          <w:rFonts w:eastAsia="黑体" w:hint="eastAsia"/>
          <w:b/>
          <w:sz w:val="20"/>
          <w:lang w:eastAsia="zh-CN"/>
        </w:rPr>
        <w:t>【</w:t>
      </w:r>
      <w:r w:rsidR="00817EEB">
        <w:rPr>
          <w:rFonts w:eastAsia="黑体"/>
          <w:b/>
          <w:sz w:val="20"/>
        </w:rPr>
        <w:t>Abstract</w:t>
      </w:r>
      <w:r>
        <w:rPr>
          <w:rFonts w:eastAsia="黑体" w:hint="eastAsia"/>
          <w:b/>
          <w:sz w:val="20"/>
          <w:lang w:eastAsia="zh-CN"/>
        </w:rPr>
        <w:t>]</w:t>
      </w:r>
      <w:r>
        <w:rPr>
          <w:rFonts w:eastAsia="黑体" w:hint="eastAsia"/>
          <w:b/>
          <w:sz w:val="20"/>
          <w:lang w:eastAsia="zh-CN"/>
        </w:rPr>
        <w:t>】</w:t>
      </w:r>
      <w:proofErr w:type="spellStart"/>
      <w:r w:rsidR="00926B1E" w:rsidRPr="00926B1E">
        <w:rPr>
          <w:b/>
        </w:rPr>
        <w:t>Objective</w:t>
      </w:r>
      <w:r w:rsidR="00926B1E" w:rsidRPr="00926B1E">
        <w:t>To</w:t>
      </w:r>
      <w:proofErr w:type="spellEnd"/>
      <w:r w:rsidR="00926B1E" w:rsidRPr="00926B1E">
        <w:t xml:space="preserve"> mine pharmacovigilance signals of zolpidem-related falls in older adults using the U.S. Food and Drug Administration Adverse Event Reporting System (FAERS), and to provide evidence for safer use of sedative-hypnotic drugs in older patients. </w:t>
      </w:r>
      <w:r w:rsidR="00926B1E" w:rsidRPr="00926B1E">
        <w:rPr>
          <w:b/>
        </w:rPr>
        <w:t>Methods</w:t>
      </w:r>
      <w:r w:rsidR="00926B1E" w:rsidRPr="00926B1E">
        <w:t xml:space="preserve">: Case-level FAERS reports from the first quarter of 2004 to the fourth quarter of 2025 were extracted. Older cases aged 65-120 years with recorded male or female sex were included. Reports in which zolpidem was coded as a primary or secondary suspect drug were used for the main analysis, and reports with zolpidem as the primary suspect drug were used for sensitivity analysis. Falls were defined by MedDRA preferred terms FALL or DROP ATTACKS. ROR, PRR, IC, EBGM, adjusted ROR, PT co-occurrence network analysis, and machine-learning-assisted analysis were performed. </w:t>
      </w:r>
      <w:proofErr w:type="gramStart"/>
      <w:r w:rsidR="00926B1E" w:rsidRPr="00926B1E">
        <w:rPr>
          <w:b/>
        </w:rPr>
        <w:t>Results</w:t>
      </w:r>
      <w:r>
        <w:rPr>
          <w:rFonts w:hint="eastAsia"/>
          <w:lang w:eastAsia="zh-CN"/>
        </w:rPr>
        <w:t xml:space="preserve">  </w:t>
      </w:r>
      <w:r w:rsidR="00926B1E" w:rsidRPr="00926B1E">
        <w:t>A</w:t>
      </w:r>
      <w:proofErr w:type="gramEnd"/>
      <w:r w:rsidR="00926B1E" w:rsidRPr="00926B1E">
        <w:t xml:space="preserve"> total of 7,798 zolpidem-related reports </w:t>
      </w:r>
      <w:proofErr w:type="gramStart"/>
      <w:r w:rsidR="00926B1E" w:rsidRPr="00926B1E">
        <w:t>were</w:t>
      </w:r>
      <w:proofErr w:type="gramEnd"/>
      <w:r w:rsidR="00926B1E" w:rsidRPr="00926B1E">
        <w:t xml:space="preserve"> identified in the main analysis, including 1,058 fall reports. The proportion of fall reports was 13.57% in the zolpidem group and 3.17% in the non-zolpidem group. Zolpidem showed a stable positive reporting signal for falls, with an ROR of 4.80 (95%CI: 4.49-5.12). After adjustment for core clinical factors and further adjustment for reporting source and indication-related factors, the adjusted RORs were 3.28 (95%CI: 3.07-3.51) and 2.74 (95%CI: 2.56-2.93), respectively. </w:t>
      </w:r>
      <w:r w:rsidR="00926B1E" w:rsidRPr="00926B1E">
        <w:rPr>
          <w:b/>
        </w:rPr>
        <w:t>Conclusion</w:t>
      </w:r>
      <w:r>
        <w:rPr>
          <w:rFonts w:hint="eastAsia"/>
          <w:lang w:eastAsia="zh-CN"/>
        </w:rPr>
        <w:t xml:space="preserve">  </w:t>
      </w:r>
      <w:r w:rsidR="00926B1E" w:rsidRPr="00926B1E">
        <w:t xml:space="preserve"> FAERS data suggest that zolpidem is associated with increased reporting of falls among older adults. Co-occurrence network and machine-learning-assisted analyses indicate that zolpidem-related fall reports are often accompanied by neurocognitive, dizziness/syncope, gait/balance, and hypotension-related features. Because FAERS is a spontaneous reporting database, these findings indicate pharmacovigilance signals rather than causal relationships.</w:t>
      </w:r>
    </w:p>
    <w:p w14:paraId="4281975F" w14:textId="471F9CE6" w:rsidR="0092061E" w:rsidRDefault="00817EEB">
      <w:pPr>
        <w:ind w:firstLine="420"/>
      </w:pPr>
      <w:r w:rsidRPr="00926B1E">
        <w:rPr>
          <w:b/>
        </w:rPr>
        <w:t>Keywords:</w:t>
      </w:r>
      <w:r>
        <w:t xml:space="preserve"> Zolpidem; FDA Adverse Event Reporting System; Falls; Older adults; Pharmacovigilance; Signal mining; Machine learning</w:t>
      </w:r>
    </w:p>
    <w:p w14:paraId="2F42F9EC" w14:textId="77777777" w:rsidR="001A414E" w:rsidRDefault="001A414E">
      <w:pPr>
        <w:keepNext/>
        <w:spacing w:before="100" w:after="60" w:line="276" w:lineRule="auto"/>
        <w:rPr>
          <w:rFonts w:eastAsia="黑体" w:hint="eastAsia"/>
          <w:b/>
          <w:sz w:val="20"/>
          <w:lang w:eastAsia="zh-CN"/>
        </w:rPr>
        <w:sectPr w:rsidR="001A414E" w:rsidSect="001A414E">
          <w:footerReference w:type="default" r:id="rId8"/>
          <w:pgSz w:w="11906" w:h="16838"/>
          <w:pgMar w:top="1440" w:right="1219" w:bottom="1247" w:left="1219" w:header="720" w:footer="720" w:gutter="0"/>
          <w:cols w:space="454"/>
          <w:docGrid w:linePitch="360"/>
        </w:sectPr>
      </w:pPr>
    </w:p>
    <w:p w14:paraId="0098F39A" w14:textId="301F49E6" w:rsidR="0092061E" w:rsidRDefault="0092061E">
      <w:pPr>
        <w:keepNext/>
        <w:spacing w:before="100" w:after="60" w:line="276" w:lineRule="auto"/>
        <w:rPr>
          <w:rFonts w:hint="eastAsia"/>
          <w:lang w:eastAsia="zh-CN"/>
        </w:rPr>
      </w:pPr>
    </w:p>
    <w:p w14:paraId="06C6177E" w14:textId="77777777" w:rsidR="0092061E" w:rsidRDefault="00817EEB">
      <w:pPr>
        <w:ind w:firstLine="420"/>
        <w:rPr>
          <w:lang w:eastAsia="zh-CN"/>
        </w:rPr>
      </w:pPr>
      <w:r>
        <w:rPr>
          <w:lang w:eastAsia="zh-CN"/>
        </w:rPr>
        <w:t>跌倒是老年人常见且后果严重的安全问题，可导致骨折、头部损伤、住院、活动能力下降，甚至死亡</w:t>
      </w:r>
      <w:r>
        <w:rPr>
          <w:vertAlign w:val="superscript"/>
          <w:lang w:eastAsia="zh-CN"/>
        </w:rPr>
        <w:t>[1]</w:t>
      </w:r>
      <w:r>
        <w:rPr>
          <w:lang w:eastAsia="zh-CN"/>
        </w:rPr>
        <w:t>。随着人口老龄化加重，如何识别并减少可干预的跌倒风险因素，已经成为老年合理用药和药物警戒中的重要内容</w:t>
      </w:r>
      <w:r>
        <w:rPr>
          <w:vertAlign w:val="superscript"/>
          <w:lang w:eastAsia="zh-CN"/>
        </w:rPr>
        <w:t>[1]</w:t>
      </w:r>
      <w:r>
        <w:rPr>
          <w:lang w:eastAsia="zh-CN"/>
        </w:rPr>
        <w:t>。镇静催眠药物可影响觉醒水平、认知功能、反应速度和运动协调能力，因此一直被认为是老年跌倒风险管理中的重点药物类别</w:t>
      </w:r>
      <w:r>
        <w:rPr>
          <w:vertAlign w:val="superscript"/>
          <w:lang w:eastAsia="zh-CN"/>
        </w:rPr>
        <w:t>[2][3][4]</w:t>
      </w:r>
      <w:r>
        <w:rPr>
          <w:lang w:eastAsia="zh-CN"/>
        </w:rPr>
        <w:t>。</w:t>
      </w:r>
    </w:p>
    <w:p w14:paraId="787FE741" w14:textId="77777777" w:rsidR="0092061E" w:rsidRDefault="00817EEB">
      <w:pPr>
        <w:ind w:firstLine="420"/>
        <w:rPr>
          <w:lang w:eastAsia="zh-CN"/>
        </w:rPr>
      </w:pPr>
      <w:proofErr w:type="gramStart"/>
      <w:r>
        <w:rPr>
          <w:lang w:eastAsia="zh-CN"/>
        </w:rPr>
        <w:t>唑吡</w:t>
      </w:r>
      <w:proofErr w:type="gramEnd"/>
      <w:r>
        <w:rPr>
          <w:lang w:eastAsia="zh-CN"/>
        </w:rPr>
        <w:t>坦是临床常用的非苯二氮䓬类镇静催眠药，主要用于失眠治疗。与传统苯二氮䓬类药物相比，</w:t>
      </w:r>
      <w:proofErr w:type="gramStart"/>
      <w:r>
        <w:rPr>
          <w:lang w:eastAsia="zh-CN"/>
        </w:rPr>
        <w:t>唑吡坦常</w:t>
      </w:r>
      <w:proofErr w:type="gramEnd"/>
      <w:r>
        <w:rPr>
          <w:lang w:eastAsia="zh-CN"/>
        </w:rPr>
        <w:t>被认为具有不同的受体选择性，但在老年患者中，其镇静、眩晕、意识模糊、步态不稳和次日残余效应等问题仍需关注</w:t>
      </w:r>
      <w:r>
        <w:rPr>
          <w:vertAlign w:val="superscript"/>
          <w:lang w:eastAsia="zh-CN"/>
        </w:rPr>
        <w:t>[5][6][7]</w:t>
      </w:r>
      <w:r>
        <w:rPr>
          <w:lang w:eastAsia="zh-CN"/>
        </w:rPr>
        <w:t>。既往研究提示，</w:t>
      </w:r>
      <w:r>
        <w:rPr>
          <w:lang w:eastAsia="zh-CN"/>
        </w:rPr>
        <w:t xml:space="preserve">Z-drugs </w:t>
      </w:r>
      <w:r>
        <w:rPr>
          <w:lang w:eastAsia="zh-CN"/>
        </w:rPr>
        <w:t>或</w:t>
      </w:r>
      <w:proofErr w:type="gramStart"/>
      <w:r>
        <w:rPr>
          <w:lang w:eastAsia="zh-CN"/>
        </w:rPr>
        <w:t>唑吡坦在</w:t>
      </w:r>
      <w:proofErr w:type="gramEnd"/>
      <w:r>
        <w:rPr>
          <w:lang w:eastAsia="zh-CN"/>
        </w:rPr>
        <w:t>老年人群中与跌倒、骨折或髋部骨折风险增加有关</w:t>
      </w:r>
      <w:r>
        <w:rPr>
          <w:vertAlign w:val="superscript"/>
          <w:lang w:eastAsia="zh-CN"/>
        </w:rPr>
        <w:t>[2][3][4]</w:t>
      </w:r>
      <w:r>
        <w:rPr>
          <w:lang w:eastAsia="zh-CN"/>
        </w:rPr>
        <w:t>。美国食品药品监督管理局（</w:t>
      </w:r>
      <w:r>
        <w:rPr>
          <w:lang w:eastAsia="zh-CN"/>
        </w:rPr>
        <w:t>FDA</w:t>
      </w:r>
      <w:r>
        <w:rPr>
          <w:lang w:eastAsia="zh-CN"/>
        </w:rPr>
        <w:t>）曾针对</w:t>
      </w:r>
      <w:proofErr w:type="gramStart"/>
      <w:r>
        <w:rPr>
          <w:lang w:eastAsia="zh-CN"/>
        </w:rPr>
        <w:t>唑吡坦发布</w:t>
      </w:r>
      <w:proofErr w:type="gramEnd"/>
      <w:r>
        <w:rPr>
          <w:lang w:eastAsia="zh-CN"/>
        </w:rPr>
        <w:t>剂量调整和安全警示，老年</w:t>
      </w:r>
      <w:proofErr w:type="gramStart"/>
      <w:r>
        <w:rPr>
          <w:lang w:eastAsia="zh-CN"/>
        </w:rPr>
        <w:t>潜在不</w:t>
      </w:r>
      <w:proofErr w:type="gramEnd"/>
      <w:r>
        <w:rPr>
          <w:lang w:eastAsia="zh-CN"/>
        </w:rPr>
        <w:t>适当用药标准也持续提醒</w:t>
      </w:r>
      <w:r>
        <w:rPr>
          <w:lang w:eastAsia="zh-CN"/>
        </w:rPr>
        <w:t xml:space="preserve"> Z-drugs </w:t>
      </w:r>
      <w:r>
        <w:rPr>
          <w:lang w:eastAsia="zh-CN"/>
        </w:rPr>
        <w:t>相关跌倒和骨折风险</w:t>
      </w:r>
      <w:r>
        <w:rPr>
          <w:vertAlign w:val="superscript"/>
          <w:lang w:eastAsia="zh-CN"/>
        </w:rPr>
        <w:t>[5][6][7]</w:t>
      </w:r>
      <w:r>
        <w:rPr>
          <w:lang w:eastAsia="zh-CN"/>
        </w:rPr>
        <w:t>。</w:t>
      </w:r>
    </w:p>
    <w:p w14:paraId="5DD7B3F1" w14:textId="77777777" w:rsidR="0092061E" w:rsidRDefault="00817EEB">
      <w:pPr>
        <w:ind w:firstLine="420"/>
        <w:rPr>
          <w:lang w:eastAsia="zh-CN"/>
        </w:rPr>
      </w:pPr>
      <w:r>
        <w:rPr>
          <w:lang w:eastAsia="zh-CN"/>
        </w:rPr>
        <w:t>目前基于</w:t>
      </w:r>
      <w:r>
        <w:rPr>
          <w:lang w:eastAsia="zh-CN"/>
        </w:rPr>
        <w:t xml:space="preserve"> FAERS </w:t>
      </w:r>
      <w:r>
        <w:rPr>
          <w:lang w:eastAsia="zh-CN"/>
        </w:rPr>
        <w:t>的药物警戒研究多采用</w:t>
      </w:r>
      <w:r>
        <w:rPr>
          <w:lang w:eastAsia="zh-CN"/>
        </w:rPr>
        <w:t xml:space="preserve"> ROR</w:t>
      </w:r>
      <w:r>
        <w:rPr>
          <w:lang w:eastAsia="zh-CN"/>
        </w:rPr>
        <w:t>、</w:t>
      </w:r>
      <w:r>
        <w:rPr>
          <w:lang w:eastAsia="zh-CN"/>
        </w:rPr>
        <w:t>PRR</w:t>
      </w:r>
      <w:r>
        <w:rPr>
          <w:lang w:eastAsia="zh-CN"/>
        </w:rPr>
        <w:t>、</w:t>
      </w:r>
      <w:r>
        <w:rPr>
          <w:lang w:eastAsia="zh-CN"/>
        </w:rPr>
        <w:t xml:space="preserve">BCPNN </w:t>
      </w:r>
      <w:r>
        <w:rPr>
          <w:lang w:eastAsia="zh-CN"/>
        </w:rPr>
        <w:t>或</w:t>
      </w:r>
      <w:r>
        <w:rPr>
          <w:lang w:eastAsia="zh-CN"/>
        </w:rPr>
        <w:t xml:space="preserve"> MGPS </w:t>
      </w:r>
      <w:r>
        <w:rPr>
          <w:lang w:eastAsia="zh-CN"/>
        </w:rPr>
        <w:t>等比例失衡法，常见写法是描述报告基本特征、</w:t>
      </w:r>
      <w:r>
        <w:rPr>
          <w:lang w:eastAsia="zh-CN"/>
        </w:rPr>
        <w:t xml:space="preserve">SOC/PT </w:t>
      </w:r>
      <w:r>
        <w:rPr>
          <w:lang w:eastAsia="zh-CN"/>
        </w:rPr>
        <w:t>分布和阳性信号</w:t>
      </w:r>
      <w:r>
        <w:rPr>
          <w:vertAlign w:val="superscript"/>
          <w:lang w:eastAsia="zh-CN"/>
        </w:rPr>
        <w:t>[8][9][10][11][12][13]</w:t>
      </w:r>
      <w:r>
        <w:rPr>
          <w:lang w:eastAsia="zh-CN"/>
        </w:rPr>
        <w:t>。然而，仅靠传统信号挖掘较难判断信号在不同分析口径下是否一致，也较难呈现跌倒报告背后的临床特征组合。为进一步补充证据，本研究基于</w:t>
      </w:r>
      <w:r>
        <w:rPr>
          <w:lang w:eastAsia="zh-CN"/>
        </w:rPr>
        <w:t xml:space="preserve"> FAERS 2004—2025 </w:t>
      </w:r>
      <w:r>
        <w:rPr>
          <w:lang w:eastAsia="zh-CN"/>
        </w:rPr>
        <w:t>年数据，围绕老年病例中</w:t>
      </w:r>
      <w:proofErr w:type="gramStart"/>
      <w:r>
        <w:rPr>
          <w:lang w:eastAsia="zh-CN"/>
        </w:rPr>
        <w:t>唑</w:t>
      </w:r>
      <w:r>
        <w:rPr>
          <w:lang w:eastAsia="zh-CN"/>
        </w:rPr>
        <w:t>吡坦相关</w:t>
      </w:r>
      <w:proofErr w:type="gramEnd"/>
      <w:r>
        <w:rPr>
          <w:lang w:eastAsia="zh-CN"/>
        </w:rPr>
        <w:t>跌倒事件开展多层次分析，包括传统比例失衡法、调整后报告比值模型、</w:t>
      </w:r>
      <w:r>
        <w:rPr>
          <w:lang w:eastAsia="zh-CN"/>
        </w:rPr>
        <w:t xml:space="preserve">Z-drugs </w:t>
      </w:r>
      <w:r>
        <w:rPr>
          <w:lang w:eastAsia="zh-CN"/>
        </w:rPr>
        <w:t>内部比较、</w:t>
      </w:r>
      <w:r>
        <w:rPr>
          <w:lang w:eastAsia="zh-CN"/>
        </w:rPr>
        <w:t xml:space="preserve">PT </w:t>
      </w:r>
      <w:r>
        <w:rPr>
          <w:lang w:eastAsia="zh-CN"/>
        </w:rPr>
        <w:t>共现网络和机器学习辅助分析，以期为老年患者使用</w:t>
      </w:r>
      <w:proofErr w:type="gramStart"/>
      <w:r>
        <w:rPr>
          <w:lang w:eastAsia="zh-CN"/>
        </w:rPr>
        <w:t>唑吡坦时</w:t>
      </w:r>
      <w:proofErr w:type="gramEnd"/>
      <w:r>
        <w:rPr>
          <w:lang w:eastAsia="zh-CN"/>
        </w:rPr>
        <w:t>的风险识别和临床监测提供参考。</w:t>
      </w:r>
    </w:p>
    <w:p w14:paraId="371F086E" w14:textId="77777777" w:rsidR="0092061E" w:rsidRDefault="00817EEB">
      <w:pPr>
        <w:keepNext/>
        <w:spacing w:before="100" w:after="60" w:line="276" w:lineRule="auto"/>
        <w:rPr>
          <w:lang w:eastAsia="zh-CN"/>
        </w:rPr>
      </w:pPr>
      <w:r>
        <w:rPr>
          <w:rFonts w:eastAsia="黑体"/>
          <w:b/>
          <w:sz w:val="20"/>
          <w:lang w:eastAsia="zh-CN"/>
        </w:rPr>
        <w:t xml:space="preserve">2 </w:t>
      </w:r>
      <w:r>
        <w:rPr>
          <w:rFonts w:eastAsia="黑体"/>
          <w:b/>
          <w:sz w:val="20"/>
          <w:lang w:eastAsia="zh-CN"/>
        </w:rPr>
        <w:t>资料与方法</w:t>
      </w:r>
    </w:p>
    <w:p w14:paraId="3C9342AC" w14:textId="77777777" w:rsidR="0092061E" w:rsidRDefault="00817EEB">
      <w:pPr>
        <w:keepNext/>
        <w:spacing w:before="60" w:after="40" w:line="264" w:lineRule="auto"/>
        <w:rPr>
          <w:lang w:eastAsia="zh-CN"/>
        </w:rPr>
      </w:pPr>
      <w:r>
        <w:rPr>
          <w:rFonts w:eastAsia="楷体"/>
          <w:b/>
          <w:sz w:val="18"/>
          <w:lang w:eastAsia="zh-CN"/>
        </w:rPr>
        <w:t xml:space="preserve">2.1 </w:t>
      </w:r>
      <w:r>
        <w:rPr>
          <w:rFonts w:eastAsia="楷体"/>
          <w:b/>
          <w:sz w:val="18"/>
          <w:lang w:eastAsia="zh-CN"/>
        </w:rPr>
        <w:t>数据来源</w:t>
      </w:r>
    </w:p>
    <w:p w14:paraId="78718ABC" w14:textId="77777777" w:rsidR="0092061E" w:rsidRDefault="00817EEB">
      <w:pPr>
        <w:ind w:firstLine="420"/>
        <w:rPr>
          <w:lang w:eastAsia="zh-CN"/>
        </w:rPr>
      </w:pPr>
      <w:r>
        <w:rPr>
          <w:lang w:eastAsia="zh-CN"/>
        </w:rPr>
        <w:t>本研究数据来源于</w:t>
      </w:r>
      <w:r>
        <w:rPr>
          <w:lang w:eastAsia="zh-CN"/>
        </w:rPr>
        <w:t xml:space="preserve"> FAERS </w:t>
      </w:r>
      <w:r>
        <w:rPr>
          <w:lang w:eastAsia="zh-CN"/>
        </w:rPr>
        <w:t>数据库，时间范围为</w:t>
      </w:r>
      <w:r>
        <w:rPr>
          <w:lang w:eastAsia="zh-CN"/>
        </w:rPr>
        <w:t xml:space="preserve"> 2004 </w:t>
      </w:r>
      <w:r>
        <w:rPr>
          <w:lang w:eastAsia="zh-CN"/>
        </w:rPr>
        <w:t>年第</w:t>
      </w:r>
      <w:r>
        <w:rPr>
          <w:lang w:eastAsia="zh-CN"/>
        </w:rPr>
        <w:t xml:space="preserve"> 1 </w:t>
      </w:r>
      <w:r>
        <w:rPr>
          <w:lang w:eastAsia="zh-CN"/>
        </w:rPr>
        <w:t>季度至</w:t>
      </w:r>
      <w:r>
        <w:rPr>
          <w:lang w:eastAsia="zh-CN"/>
        </w:rPr>
        <w:t xml:space="preserve"> 2025 </w:t>
      </w:r>
      <w:r>
        <w:rPr>
          <w:lang w:eastAsia="zh-CN"/>
        </w:rPr>
        <w:t>年第</w:t>
      </w:r>
      <w:r>
        <w:rPr>
          <w:lang w:eastAsia="zh-CN"/>
        </w:rPr>
        <w:t xml:space="preserve"> 4 </w:t>
      </w:r>
      <w:r>
        <w:rPr>
          <w:lang w:eastAsia="zh-CN"/>
        </w:rPr>
        <w:t>季度</w:t>
      </w:r>
      <w:r>
        <w:rPr>
          <w:vertAlign w:val="superscript"/>
          <w:lang w:eastAsia="zh-CN"/>
        </w:rPr>
        <w:t>[14]</w:t>
      </w:r>
      <w:r>
        <w:rPr>
          <w:lang w:eastAsia="zh-CN"/>
        </w:rPr>
        <w:t>。</w:t>
      </w:r>
      <w:r>
        <w:rPr>
          <w:lang w:eastAsia="zh-CN"/>
        </w:rPr>
        <w:t xml:space="preserve">FAERS </w:t>
      </w:r>
      <w:r>
        <w:rPr>
          <w:lang w:eastAsia="zh-CN"/>
        </w:rPr>
        <w:t>是</w:t>
      </w:r>
      <w:r>
        <w:rPr>
          <w:lang w:eastAsia="zh-CN"/>
        </w:rPr>
        <w:t xml:space="preserve"> FDA </w:t>
      </w:r>
      <w:r>
        <w:rPr>
          <w:lang w:eastAsia="zh-CN"/>
        </w:rPr>
        <w:t>用于收集药品和治疗性生物制品不良事件报告的自发报告系统，其公开数据常用于药物警戒信号挖掘</w:t>
      </w:r>
      <w:r>
        <w:rPr>
          <w:vertAlign w:val="superscript"/>
          <w:lang w:eastAsia="zh-CN"/>
        </w:rPr>
        <w:t>[8][14]</w:t>
      </w:r>
      <w:r>
        <w:rPr>
          <w:lang w:eastAsia="zh-CN"/>
        </w:rPr>
        <w:t>。提取</w:t>
      </w:r>
      <w:r>
        <w:rPr>
          <w:lang w:eastAsia="zh-CN"/>
        </w:rPr>
        <w:t xml:space="preserve"> DEMO</w:t>
      </w:r>
      <w:r>
        <w:rPr>
          <w:lang w:eastAsia="zh-CN"/>
        </w:rPr>
        <w:t>、</w:t>
      </w:r>
      <w:r>
        <w:rPr>
          <w:lang w:eastAsia="zh-CN"/>
        </w:rPr>
        <w:t>DRUG</w:t>
      </w:r>
      <w:r>
        <w:rPr>
          <w:lang w:eastAsia="zh-CN"/>
        </w:rPr>
        <w:t>、</w:t>
      </w:r>
      <w:r>
        <w:rPr>
          <w:lang w:eastAsia="zh-CN"/>
        </w:rPr>
        <w:t>REAC</w:t>
      </w:r>
      <w:r>
        <w:rPr>
          <w:lang w:eastAsia="zh-CN"/>
        </w:rPr>
        <w:t>、</w:t>
      </w:r>
      <w:r>
        <w:rPr>
          <w:lang w:eastAsia="zh-CN"/>
        </w:rPr>
        <w:t xml:space="preserve">OUTC </w:t>
      </w:r>
      <w:r>
        <w:rPr>
          <w:lang w:eastAsia="zh-CN"/>
        </w:rPr>
        <w:t>等表，并按病例编号构建</w:t>
      </w:r>
      <w:proofErr w:type="gramStart"/>
      <w:r>
        <w:rPr>
          <w:lang w:eastAsia="zh-CN"/>
        </w:rPr>
        <w:t>病例级分析</w:t>
      </w:r>
      <w:proofErr w:type="gramEnd"/>
      <w:r>
        <w:rPr>
          <w:lang w:eastAsia="zh-CN"/>
        </w:rPr>
        <w:t>数据集。数据处理过程中对字段名称进行标准化，剔除删除病例记录，并按</w:t>
      </w:r>
      <w:r>
        <w:rPr>
          <w:lang w:eastAsia="zh-CN"/>
        </w:rPr>
        <w:t xml:space="preserve"> </w:t>
      </w:r>
      <w:proofErr w:type="spellStart"/>
      <w:r>
        <w:rPr>
          <w:lang w:eastAsia="zh-CN"/>
        </w:rPr>
        <w:t>caseid</w:t>
      </w:r>
      <w:proofErr w:type="spellEnd"/>
      <w:r>
        <w:rPr>
          <w:lang w:eastAsia="zh-CN"/>
        </w:rPr>
        <w:t>、报告日期、</w:t>
      </w:r>
      <w:proofErr w:type="spellStart"/>
      <w:r>
        <w:rPr>
          <w:lang w:eastAsia="zh-CN"/>
        </w:rPr>
        <w:t>caseversion</w:t>
      </w:r>
      <w:proofErr w:type="spellEnd"/>
      <w:r>
        <w:rPr>
          <w:lang w:eastAsia="zh-CN"/>
        </w:rPr>
        <w:t xml:space="preserve"> </w:t>
      </w:r>
      <w:r>
        <w:rPr>
          <w:lang w:eastAsia="zh-CN"/>
        </w:rPr>
        <w:t>和</w:t>
      </w:r>
      <w:r>
        <w:rPr>
          <w:lang w:eastAsia="zh-CN"/>
        </w:rPr>
        <w:t xml:space="preserve"> </w:t>
      </w:r>
      <w:proofErr w:type="spellStart"/>
      <w:r>
        <w:rPr>
          <w:lang w:eastAsia="zh-CN"/>
        </w:rPr>
        <w:t>primaryid</w:t>
      </w:r>
      <w:proofErr w:type="spellEnd"/>
      <w:r>
        <w:rPr>
          <w:lang w:eastAsia="zh-CN"/>
        </w:rPr>
        <w:t xml:space="preserve"> </w:t>
      </w:r>
      <w:r>
        <w:rPr>
          <w:lang w:eastAsia="zh-CN"/>
        </w:rPr>
        <w:t>保留每个病例的最新版本。</w:t>
      </w:r>
    </w:p>
    <w:p w14:paraId="36E44EBA" w14:textId="23A46E35" w:rsidR="00DD4410" w:rsidRDefault="00817EEB">
      <w:pPr>
        <w:ind w:firstLine="420"/>
        <w:rPr>
          <w:lang w:eastAsia="zh-CN"/>
        </w:rPr>
      </w:pPr>
      <w:r>
        <w:rPr>
          <w:lang w:eastAsia="zh-CN"/>
        </w:rPr>
        <w:t>本研究使用</w:t>
      </w:r>
      <w:r>
        <w:rPr>
          <w:lang w:eastAsia="zh-CN"/>
        </w:rPr>
        <w:t>FAERS</w:t>
      </w:r>
      <w:r>
        <w:rPr>
          <w:lang w:eastAsia="zh-CN"/>
        </w:rPr>
        <w:t>公开、去标识化数据，不涉及可识别的个人身份信息，不直接接触研究对象，</w:t>
      </w:r>
      <w:r w:rsidR="00A27536">
        <w:rPr>
          <w:lang w:eastAsia="zh-CN"/>
        </w:rPr>
        <w:t xml:space="preserve"> </w:t>
      </w:r>
    </w:p>
    <w:p w14:paraId="6FACF5EE" w14:textId="77777777" w:rsidR="0092061E" w:rsidRDefault="00817EEB">
      <w:pPr>
        <w:keepNext/>
        <w:spacing w:before="60" w:after="40" w:line="264" w:lineRule="auto"/>
        <w:rPr>
          <w:lang w:eastAsia="zh-CN"/>
        </w:rPr>
      </w:pPr>
      <w:r>
        <w:rPr>
          <w:rFonts w:eastAsia="楷体"/>
          <w:b/>
          <w:sz w:val="18"/>
          <w:lang w:eastAsia="zh-CN"/>
        </w:rPr>
        <w:t xml:space="preserve">2.2 </w:t>
      </w:r>
      <w:r>
        <w:rPr>
          <w:rFonts w:eastAsia="楷体"/>
          <w:b/>
          <w:sz w:val="18"/>
          <w:lang w:eastAsia="zh-CN"/>
        </w:rPr>
        <w:t>研究对象</w:t>
      </w:r>
    </w:p>
    <w:p w14:paraId="5963ACC9" w14:textId="77777777" w:rsidR="0092061E" w:rsidRDefault="00817EEB">
      <w:pPr>
        <w:ind w:firstLine="420"/>
        <w:rPr>
          <w:lang w:eastAsia="zh-CN"/>
        </w:rPr>
      </w:pPr>
      <w:r>
        <w:rPr>
          <w:lang w:eastAsia="zh-CN"/>
        </w:rPr>
        <w:t>纳入年龄</w:t>
      </w:r>
      <w:r>
        <w:rPr>
          <w:lang w:eastAsia="zh-CN"/>
        </w:rPr>
        <w:t xml:space="preserve"> 65</w:t>
      </w:r>
      <w:r>
        <w:rPr>
          <w:lang w:eastAsia="zh-CN"/>
        </w:rPr>
        <w:t>～</w:t>
      </w:r>
      <w:r>
        <w:rPr>
          <w:lang w:eastAsia="zh-CN"/>
        </w:rPr>
        <w:t xml:space="preserve">120 </w:t>
      </w:r>
      <w:r>
        <w:rPr>
          <w:lang w:eastAsia="zh-CN"/>
        </w:rPr>
        <w:t>岁的老年病例。年龄单位统一换算为岁，性别仅保留记录为男（</w:t>
      </w:r>
      <w:r>
        <w:rPr>
          <w:lang w:eastAsia="zh-CN"/>
        </w:rPr>
        <w:t>M</w:t>
      </w:r>
      <w:r>
        <w:rPr>
          <w:lang w:eastAsia="zh-CN"/>
        </w:rPr>
        <w:t>）或女（</w:t>
      </w:r>
      <w:r>
        <w:rPr>
          <w:lang w:eastAsia="zh-CN"/>
        </w:rPr>
        <w:t>F</w:t>
      </w:r>
      <w:r>
        <w:rPr>
          <w:lang w:eastAsia="zh-CN"/>
        </w:rPr>
        <w:t>）的病例。年龄按</w:t>
      </w:r>
      <w:r>
        <w:rPr>
          <w:lang w:eastAsia="zh-CN"/>
        </w:rPr>
        <w:t xml:space="preserve"> 65</w:t>
      </w:r>
      <w:r>
        <w:rPr>
          <w:lang w:eastAsia="zh-CN"/>
        </w:rPr>
        <w:t>～</w:t>
      </w:r>
      <w:r>
        <w:rPr>
          <w:lang w:eastAsia="zh-CN"/>
        </w:rPr>
        <w:t xml:space="preserve">74 </w:t>
      </w:r>
      <w:r>
        <w:rPr>
          <w:lang w:eastAsia="zh-CN"/>
        </w:rPr>
        <w:t>岁、</w:t>
      </w:r>
      <w:r>
        <w:rPr>
          <w:lang w:eastAsia="zh-CN"/>
        </w:rPr>
        <w:t>75</w:t>
      </w:r>
      <w:r>
        <w:rPr>
          <w:lang w:eastAsia="zh-CN"/>
        </w:rPr>
        <w:t>～</w:t>
      </w:r>
      <w:r>
        <w:rPr>
          <w:lang w:eastAsia="zh-CN"/>
        </w:rPr>
        <w:t xml:space="preserve">84 </w:t>
      </w:r>
      <w:proofErr w:type="gramStart"/>
      <w:r>
        <w:rPr>
          <w:lang w:eastAsia="zh-CN"/>
        </w:rPr>
        <w:t>岁和</w:t>
      </w:r>
      <w:proofErr w:type="gramEnd"/>
      <w:r>
        <w:rPr>
          <w:lang w:eastAsia="zh-CN"/>
        </w:rPr>
        <w:t xml:space="preserve"> ≥85 </w:t>
      </w:r>
      <w:r>
        <w:rPr>
          <w:lang w:eastAsia="zh-CN"/>
        </w:rPr>
        <w:t>岁分组。</w:t>
      </w:r>
    </w:p>
    <w:p w14:paraId="5FE888A3" w14:textId="77777777" w:rsidR="0092061E" w:rsidRDefault="00817EEB">
      <w:pPr>
        <w:keepNext/>
        <w:spacing w:before="60" w:after="40" w:line="264" w:lineRule="auto"/>
        <w:rPr>
          <w:lang w:eastAsia="zh-CN"/>
        </w:rPr>
      </w:pPr>
      <w:r>
        <w:rPr>
          <w:rFonts w:eastAsia="楷体"/>
          <w:b/>
          <w:sz w:val="18"/>
          <w:lang w:eastAsia="zh-CN"/>
        </w:rPr>
        <w:lastRenderedPageBreak/>
        <w:t xml:space="preserve">2.3 </w:t>
      </w:r>
      <w:r>
        <w:rPr>
          <w:rFonts w:eastAsia="楷体"/>
          <w:b/>
          <w:sz w:val="18"/>
          <w:lang w:eastAsia="zh-CN"/>
        </w:rPr>
        <w:t>药物相关报告定义</w:t>
      </w:r>
    </w:p>
    <w:p w14:paraId="76CECB73" w14:textId="77777777" w:rsidR="0092061E" w:rsidRDefault="00817EEB">
      <w:pPr>
        <w:ind w:firstLine="420"/>
        <w:rPr>
          <w:lang w:eastAsia="zh-CN"/>
        </w:rPr>
      </w:pPr>
      <w:r>
        <w:rPr>
          <w:lang w:eastAsia="zh-CN"/>
        </w:rPr>
        <w:t>研究药物为</w:t>
      </w:r>
      <w:proofErr w:type="gramStart"/>
      <w:r>
        <w:rPr>
          <w:lang w:eastAsia="zh-CN"/>
        </w:rPr>
        <w:t>唑吡</w:t>
      </w:r>
      <w:proofErr w:type="gramEnd"/>
      <w:r>
        <w:rPr>
          <w:lang w:eastAsia="zh-CN"/>
        </w:rPr>
        <w:t>坦。基于</w:t>
      </w:r>
      <w:r>
        <w:rPr>
          <w:lang w:eastAsia="zh-CN"/>
        </w:rPr>
        <w:t xml:space="preserve"> FAERS DRUG </w:t>
      </w:r>
      <w:r>
        <w:rPr>
          <w:lang w:eastAsia="zh-CN"/>
        </w:rPr>
        <w:t>表中的药品名称字段进行标准化检索，并结合通用名、盐型和常见商品名识别</w:t>
      </w:r>
      <w:proofErr w:type="gramStart"/>
      <w:r>
        <w:rPr>
          <w:lang w:eastAsia="zh-CN"/>
        </w:rPr>
        <w:t>唑吡坦相关</w:t>
      </w:r>
      <w:proofErr w:type="gramEnd"/>
      <w:r>
        <w:rPr>
          <w:lang w:eastAsia="zh-CN"/>
        </w:rPr>
        <w:t>报告</w:t>
      </w:r>
      <w:r>
        <w:rPr>
          <w:vertAlign w:val="superscript"/>
          <w:lang w:eastAsia="zh-CN"/>
        </w:rPr>
        <w:t>[17]</w:t>
      </w:r>
      <w:r>
        <w:rPr>
          <w:lang w:eastAsia="zh-CN"/>
        </w:rPr>
        <w:t>。</w:t>
      </w:r>
      <w:r>
        <w:rPr>
          <w:lang w:eastAsia="zh-CN"/>
        </w:rPr>
        <w:t xml:space="preserve">FAERS </w:t>
      </w:r>
      <w:r>
        <w:rPr>
          <w:lang w:eastAsia="zh-CN"/>
        </w:rPr>
        <w:t>的</w:t>
      </w:r>
      <w:r>
        <w:rPr>
          <w:lang w:eastAsia="zh-CN"/>
        </w:rPr>
        <w:t xml:space="preserve"> DRUG </w:t>
      </w:r>
      <w:r>
        <w:rPr>
          <w:lang w:eastAsia="zh-CN"/>
        </w:rPr>
        <w:t>表会记录药物在不良事件报告中的角色，其中</w:t>
      </w:r>
      <w:r>
        <w:rPr>
          <w:lang w:eastAsia="zh-CN"/>
        </w:rPr>
        <w:t xml:space="preserve"> PS </w:t>
      </w:r>
      <w:r>
        <w:rPr>
          <w:lang w:eastAsia="zh-CN"/>
        </w:rPr>
        <w:t>为</w:t>
      </w:r>
      <w:r>
        <w:rPr>
          <w:lang w:eastAsia="zh-CN"/>
        </w:rPr>
        <w:t xml:space="preserve"> primary suspect</w:t>
      </w:r>
      <w:r>
        <w:rPr>
          <w:lang w:eastAsia="zh-CN"/>
        </w:rPr>
        <w:t>，即主要怀疑药物；</w:t>
      </w:r>
      <w:r>
        <w:rPr>
          <w:lang w:eastAsia="zh-CN"/>
        </w:rPr>
        <w:t xml:space="preserve">SS </w:t>
      </w:r>
      <w:r>
        <w:rPr>
          <w:lang w:eastAsia="zh-CN"/>
        </w:rPr>
        <w:t>为</w:t>
      </w:r>
      <w:r>
        <w:rPr>
          <w:lang w:eastAsia="zh-CN"/>
        </w:rPr>
        <w:t xml:space="preserve"> secondary suspect</w:t>
      </w:r>
      <w:r>
        <w:rPr>
          <w:lang w:eastAsia="zh-CN"/>
        </w:rPr>
        <w:t>，即次要怀疑药物。</w:t>
      </w:r>
      <w:proofErr w:type="gramStart"/>
      <w:r>
        <w:rPr>
          <w:lang w:eastAsia="zh-CN"/>
        </w:rPr>
        <w:t>主分析</w:t>
      </w:r>
      <w:proofErr w:type="gramEnd"/>
      <w:r>
        <w:rPr>
          <w:lang w:eastAsia="zh-CN"/>
        </w:rPr>
        <w:t>采用</w:t>
      </w:r>
      <w:r>
        <w:rPr>
          <w:lang w:eastAsia="zh-CN"/>
        </w:rPr>
        <w:t xml:space="preserve"> PS+SS </w:t>
      </w:r>
      <w:r>
        <w:rPr>
          <w:lang w:eastAsia="zh-CN"/>
        </w:rPr>
        <w:t>口径，即将</w:t>
      </w:r>
      <w:proofErr w:type="gramStart"/>
      <w:r>
        <w:rPr>
          <w:lang w:eastAsia="zh-CN"/>
        </w:rPr>
        <w:t>唑吡坦被</w:t>
      </w:r>
      <w:proofErr w:type="gramEnd"/>
      <w:r>
        <w:rPr>
          <w:lang w:eastAsia="zh-CN"/>
        </w:rPr>
        <w:t>列为</w:t>
      </w:r>
      <w:r>
        <w:rPr>
          <w:lang w:eastAsia="zh-CN"/>
        </w:rPr>
        <w:t xml:space="preserve"> PS </w:t>
      </w:r>
      <w:r>
        <w:rPr>
          <w:lang w:eastAsia="zh-CN"/>
        </w:rPr>
        <w:t>或</w:t>
      </w:r>
      <w:r>
        <w:rPr>
          <w:lang w:eastAsia="zh-CN"/>
        </w:rPr>
        <w:t xml:space="preserve"> SS </w:t>
      </w:r>
      <w:r>
        <w:rPr>
          <w:lang w:eastAsia="zh-CN"/>
        </w:rPr>
        <w:t>的病例定义为</w:t>
      </w:r>
      <w:proofErr w:type="gramStart"/>
      <w:r>
        <w:rPr>
          <w:lang w:eastAsia="zh-CN"/>
        </w:rPr>
        <w:t>唑吡坦相关</w:t>
      </w:r>
      <w:proofErr w:type="gramEnd"/>
      <w:r>
        <w:rPr>
          <w:lang w:eastAsia="zh-CN"/>
        </w:rPr>
        <w:t>报告。敏感性分析采用</w:t>
      </w:r>
      <w:r>
        <w:rPr>
          <w:lang w:eastAsia="zh-CN"/>
        </w:rPr>
        <w:t xml:space="preserve"> PS only </w:t>
      </w:r>
      <w:r>
        <w:rPr>
          <w:lang w:eastAsia="zh-CN"/>
        </w:rPr>
        <w:t>口径，即仅将</w:t>
      </w:r>
      <w:proofErr w:type="gramStart"/>
      <w:r>
        <w:rPr>
          <w:lang w:eastAsia="zh-CN"/>
        </w:rPr>
        <w:t>唑吡坦被</w:t>
      </w:r>
      <w:proofErr w:type="gramEnd"/>
      <w:r>
        <w:rPr>
          <w:lang w:eastAsia="zh-CN"/>
        </w:rPr>
        <w:t>列为</w:t>
      </w:r>
      <w:r>
        <w:rPr>
          <w:lang w:eastAsia="zh-CN"/>
        </w:rPr>
        <w:t xml:space="preserve"> PS </w:t>
      </w:r>
      <w:r>
        <w:rPr>
          <w:lang w:eastAsia="zh-CN"/>
        </w:rPr>
        <w:t>的病例定义为</w:t>
      </w:r>
      <w:proofErr w:type="gramStart"/>
      <w:r>
        <w:rPr>
          <w:lang w:eastAsia="zh-CN"/>
        </w:rPr>
        <w:t>唑吡坦相关</w:t>
      </w:r>
      <w:proofErr w:type="gramEnd"/>
      <w:r>
        <w:rPr>
          <w:lang w:eastAsia="zh-CN"/>
        </w:rPr>
        <w:t>报告。为减少混合用药影响，</w:t>
      </w:r>
      <w:proofErr w:type="gramStart"/>
      <w:r>
        <w:rPr>
          <w:lang w:eastAsia="zh-CN"/>
        </w:rPr>
        <w:t>主分析</w:t>
      </w:r>
      <w:proofErr w:type="gramEnd"/>
      <w:r>
        <w:rPr>
          <w:lang w:eastAsia="zh-CN"/>
        </w:rPr>
        <w:t>和敏感性分析均排除同时报告</w:t>
      </w:r>
      <w:proofErr w:type="gramStart"/>
      <w:r>
        <w:rPr>
          <w:lang w:eastAsia="zh-CN"/>
        </w:rPr>
        <w:t>唑吡</w:t>
      </w:r>
      <w:proofErr w:type="gramEnd"/>
      <w:r>
        <w:rPr>
          <w:lang w:eastAsia="zh-CN"/>
        </w:rPr>
        <w:t>坦和其他</w:t>
      </w:r>
      <w:r>
        <w:rPr>
          <w:lang w:eastAsia="zh-CN"/>
        </w:rPr>
        <w:t xml:space="preserve"> Z-drugs </w:t>
      </w:r>
      <w:r>
        <w:rPr>
          <w:lang w:eastAsia="zh-CN"/>
        </w:rPr>
        <w:t>可疑用药的病例。</w:t>
      </w:r>
    </w:p>
    <w:p w14:paraId="765FECBE" w14:textId="77777777" w:rsidR="0092061E" w:rsidRDefault="00817EEB">
      <w:pPr>
        <w:keepNext/>
        <w:spacing w:before="60" w:after="40" w:line="264" w:lineRule="auto"/>
        <w:rPr>
          <w:lang w:eastAsia="zh-CN"/>
        </w:rPr>
      </w:pPr>
      <w:r>
        <w:rPr>
          <w:rFonts w:eastAsia="楷体"/>
          <w:b/>
          <w:sz w:val="18"/>
          <w:lang w:eastAsia="zh-CN"/>
        </w:rPr>
        <w:t xml:space="preserve">2.4 </w:t>
      </w:r>
      <w:r>
        <w:rPr>
          <w:rFonts w:eastAsia="楷体"/>
          <w:b/>
          <w:sz w:val="18"/>
          <w:lang w:eastAsia="zh-CN"/>
        </w:rPr>
        <w:t>结局定义</w:t>
      </w:r>
    </w:p>
    <w:p w14:paraId="590A1980" w14:textId="77777777" w:rsidR="0092061E" w:rsidRDefault="00817EEB">
      <w:pPr>
        <w:ind w:firstLine="420"/>
        <w:rPr>
          <w:lang w:eastAsia="zh-CN"/>
        </w:rPr>
      </w:pPr>
      <w:r>
        <w:rPr>
          <w:lang w:eastAsia="zh-CN"/>
        </w:rPr>
        <w:t>主要结局为严格</w:t>
      </w:r>
      <w:r>
        <w:rPr>
          <w:lang w:eastAsia="zh-CN"/>
        </w:rPr>
        <w:t xml:space="preserve"> PT </w:t>
      </w:r>
      <w:r>
        <w:rPr>
          <w:lang w:eastAsia="zh-CN"/>
        </w:rPr>
        <w:t>定义的跌倒事件。若</w:t>
      </w:r>
      <w:r>
        <w:rPr>
          <w:lang w:eastAsia="zh-CN"/>
        </w:rPr>
        <w:t xml:space="preserve"> REAC </w:t>
      </w:r>
      <w:r>
        <w:rPr>
          <w:lang w:eastAsia="zh-CN"/>
        </w:rPr>
        <w:t>表中</w:t>
      </w:r>
      <w:r>
        <w:rPr>
          <w:lang w:eastAsia="zh-CN"/>
        </w:rPr>
        <w:t xml:space="preserve"> MedDRA PT </w:t>
      </w:r>
      <w:r>
        <w:rPr>
          <w:lang w:eastAsia="zh-CN"/>
        </w:rPr>
        <w:t>命中</w:t>
      </w:r>
      <w:r>
        <w:rPr>
          <w:lang w:eastAsia="zh-CN"/>
        </w:rPr>
        <w:t xml:space="preserve"> FALL </w:t>
      </w:r>
      <w:r>
        <w:rPr>
          <w:lang w:eastAsia="zh-CN"/>
        </w:rPr>
        <w:t>或</w:t>
      </w:r>
      <w:r>
        <w:rPr>
          <w:lang w:eastAsia="zh-CN"/>
        </w:rPr>
        <w:t xml:space="preserve"> DROP ATTACKS</w:t>
      </w:r>
      <w:r>
        <w:rPr>
          <w:lang w:eastAsia="zh-CN"/>
        </w:rPr>
        <w:t>，则定义为跌倒事件。</w:t>
      </w:r>
      <w:r>
        <w:rPr>
          <w:lang w:eastAsia="zh-CN"/>
        </w:rPr>
        <w:t xml:space="preserve">MedDRA </w:t>
      </w:r>
      <w:r>
        <w:rPr>
          <w:lang w:eastAsia="zh-CN"/>
        </w:rPr>
        <w:t>是药品监管和药物警戒中常用的医学术语系统</w:t>
      </w:r>
      <w:r>
        <w:rPr>
          <w:vertAlign w:val="superscript"/>
          <w:lang w:eastAsia="zh-CN"/>
        </w:rPr>
        <w:t>[15]</w:t>
      </w:r>
      <w:r>
        <w:rPr>
          <w:lang w:eastAsia="zh-CN"/>
        </w:rPr>
        <w:t>。采用</w:t>
      </w:r>
      <w:proofErr w:type="gramStart"/>
      <w:r>
        <w:rPr>
          <w:lang w:eastAsia="zh-CN"/>
        </w:rPr>
        <w:t>窄</w:t>
      </w:r>
      <w:proofErr w:type="gramEnd"/>
      <w:r>
        <w:rPr>
          <w:lang w:eastAsia="zh-CN"/>
        </w:rPr>
        <w:t>定义结局的目的是减少宽泛结局带来的误分类。</w:t>
      </w:r>
    </w:p>
    <w:p w14:paraId="738133AA" w14:textId="77777777" w:rsidR="0092061E" w:rsidRDefault="00817EEB">
      <w:pPr>
        <w:keepNext/>
        <w:spacing w:before="60" w:after="40" w:line="264" w:lineRule="auto"/>
        <w:rPr>
          <w:lang w:eastAsia="zh-CN"/>
        </w:rPr>
      </w:pPr>
      <w:r>
        <w:rPr>
          <w:rFonts w:eastAsia="楷体"/>
          <w:b/>
          <w:sz w:val="18"/>
          <w:lang w:eastAsia="zh-CN"/>
        </w:rPr>
        <w:t xml:space="preserve">2.5 </w:t>
      </w:r>
      <w:r>
        <w:rPr>
          <w:rFonts w:eastAsia="楷体"/>
          <w:b/>
          <w:sz w:val="18"/>
          <w:lang w:eastAsia="zh-CN"/>
        </w:rPr>
        <w:t>信号检测方法</w:t>
      </w:r>
    </w:p>
    <w:p w14:paraId="3EA7FDBD" w14:textId="77777777" w:rsidR="0092061E" w:rsidRDefault="00817EEB">
      <w:pPr>
        <w:ind w:firstLine="420"/>
        <w:rPr>
          <w:lang w:eastAsia="zh-CN"/>
        </w:rPr>
      </w:pPr>
      <w:r>
        <w:rPr>
          <w:lang w:eastAsia="zh-CN"/>
        </w:rPr>
        <w:t>采用比例失衡法进行药物警戒信号检测。以是否为</w:t>
      </w:r>
      <w:proofErr w:type="gramStart"/>
      <w:r>
        <w:rPr>
          <w:lang w:eastAsia="zh-CN"/>
        </w:rPr>
        <w:t>唑吡坦相关</w:t>
      </w:r>
      <w:proofErr w:type="gramEnd"/>
      <w:r>
        <w:rPr>
          <w:lang w:eastAsia="zh-CN"/>
        </w:rPr>
        <w:t>报告作为暴露，以是否报告严格跌倒事件作为结局，构建</w:t>
      </w:r>
      <w:r>
        <w:rPr>
          <w:lang w:eastAsia="zh-CN"/>
        </w:rPr>
        <w:t xml:space="preserve"> 2×2 </w:t>
      </w:r>
      <w:r>
        <w:rPr>
          <w:lang w:eastAsia="zh-CN"/>
        </w:rPr>
        <w:t>四格表：</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503"/>
        <w:gridCol w:w="1502"/>
        <w:gridCol w:w="1502"/>
      </w:tblGrid>
      <w:tr w:rsidR="0092061E" w14:paraId="6C9BE4AA" w14:textId="77777777">
        <w:trPr>
          <w:jc w:val="center"/>
        </w:trPr>
        <w:tc>
          <w:tcPr>
            <w:tcW w:w="1502" w:type="dxa"/>
            <w:tcBorders>
              <w:top w:val="single" w:sz="8" w:space="0" w:color="7F7F7F"/>
              <w:left w:val="nil"/>
              <w:bottom w:val="single" w:sz="8" w:space="0" w:color="7F7F7F"/>
              <w:right w:val="nil"/>
            </w:tcBorders>
            <w:shd w:val="clear" w:color="auto" w:fill="EDEDED"/>
            <w:vAlign w:val="center"/>
          </w:tcPr>
          <w:p w14:paraId="4DBE1499" w14:textId="77777777" w:rsidR="0092061E" w:rsidRDefault="00817EEB">
            <w:pPr>
              <w:spacing w:line="240" w:lineRule="auto"/>
              <w:jc w:val="center"/>
            </w:pPr>
            <w:proofErr w:type="spellStart"/>
            <w:r>
              <w:rPr>
                <w:b/>
                <w:sz w:val="14"/>
              </w:rPr>
              <w:t>分组</w:t>
            </w:r>
            <w:proofErr w:type="spellEnd"/>
          </w:p>
        </w:tc>
        <w:tc>
          <w:tcPr>
            <w:tcW w:w="1502" w:type="dxa"/>
            <w:tcBorders>
              <w:top w:val="single" w:sz="8" w:space="0" w:color="7F7F7F"/>
              <w:left w:val="nil"/>
              <w:bottom w:val="single" w:sz="8" w:space="0" w:color="7F7F7F"/>
              <w:right w:val="nil"/>
            </w:tcBorders>
            <w:shd w:val="clear" w:color="auto" w:fill="EDEDED"/>
            <w:vAlign w:val="center"/>
          </w:tcPr>
          <w:p w14:paraId="102922BA" w14:textId="77777777" w:rsidR="0092061E" w:rsidRDefault="00817EEB">
            <w:pPr>
              <w:spacing w:line="240" w:lineRule="auto"/>
              <w:jc w:val="center"/>
            </w:pPr>
            <w:proofErr w:type="spellStart"/>
            <w:r>
              <w:rPr>
                <w:b/>
                <w:sz w:val="14"/>
              </w:rPr>
              <w:t>报告跌倒事件</w:t>
            </w:r>
            <w:proofErr w:type="spellEnd"/>
          </w:p>
        </w:tc>
        <w:tc>
          <w:tcPr>
            <w:tcW w:w="1502" w:type="dxa"/>
            <w:tcBorders>
              <w:top w:val="single" w:sz="8" w:space="0" w:color="7F7F7F"/>
              <w:left w:val="nil"/>
              <w:bottom w:val="single" w:sz="8" w:space="0" w:color="7F7F7F"/>
              <w:right w:val="nil"/>
            </w:tcBorders>
            <w:shd w:val="clear" w:color="auto" w:fill="EDEDED"/>
            <w:vAlign w:val="center"/>
          </w:tcPr>
          <w:p w14:paraId="1525F7B0" w14:textId="77777777" w:rsidR="0092061E" w:rsidRDefault="00817EEB">
            <w:pPr>
              <w:spacing w:line="240" w:lineRule="auto"/>
              <w:jc w:val="center"/>
            </w:pPr>
            <w:proofErr w:type="spellStart"/>
            <w:r>
              <w:rPr>
                <w:b/>
                <w:sz w:val="14"/>
              </w:rPr>
              <w:t>未报告跌倒事件</w:t>
            </w:r>
            <w:proofErr w:type="spellEnd"/>
          </w:p>
        </w:tc>
      </w:tr>
      <w:tr w:rsidR="0092061E" w14:paraId="0CB4BFB9" w14:textId="77777777">
        <w:trPr>
          <w:jc w:val="center"/>
        </w:trPr>
        <w:tc>
          <w:tcPr>
            <w:tcW w:w="1502" w:type="dxa"/>
            <w:tcBorders>
              <w:top w:val="single" w:sz="4" w:space="0" w:color="C8C8C8"/>
              <w:left w:val="nil"/>
              <w:bottom w:val="single" w:sz="4" w:space="0" w:color="C8C8C8"/>
              <w:right w:val="nil"/>
            </w:tcBorders>
            <w:vAlign w:val="center"/>
          </w:tcPr>
          <w:p w14:paraId="33A043C5" w14:textId="77777777" w:rsidR="0092061E" w:rsidRDefault="00817EEB">
            <w:pPr>
              <w:spacing w:line="240" w:lineRule="auto"/>
              <w:jc w:val="center"/>
            </w:pPr>
            <w:proofErr w:type="spellStart"/>
            <w:r>
              <w:rPr>
                <w:sz w:val="14"/>
              </w:rPr>
              <w:t>唑吡坦相关报告</w:t>
            </w:r>
            <w:proofErr w:type="spellEnd"/>
          </w:p>
        </w:tc>
        <w:tc>
          <w:tcPr>
            <w:tcW w:w="1502" w:type="dxa"/>
            <w:tcBorders>
              <w:top w:val="single" w:sz="4" w:space="0" w:color="C8C8C8"/>
              <w:left w:val="nil"/>
              <w:bottom w:val="single" w:sz="4" w:space="0" w:color="C8C8C8"/>
              <w:right w:val="nil"/>
            </w:tcBorders>
            <w:vAlign w:val="center"/>
          </w:tcPr>
          <w:p w14:paraId="2654B9B4" w14:textId="77777777" w:rsidR="0092061E" w:rsidRDefault="00817EEB">
            <w:pPr>
              <w:spacing w:line="240" w:lineRule="auto"/>
              <w:jc w:val="center"/>
            </w:pPr>
            <w:r>
              <w:rPr>
                <w:sz w:val="14"/>
              </w:rPr>
              <w:t>a</w:t>
            </w:r>
          </w:p>
        </w:tc>
        <w:tc>
          <w:tcPr>
            <w:tcW w:w="1502" w:type="dxa"/>
            <w:tcBorders>
              <w:top w:val="single" w:sz="4" w:space="0" w:color="C8C8C8"/>
              <w:left w:val="nil"/>
              <w:bottom w:val="single" w:sz="4" w:space="0" w:color="C8C8C8"/>
              <w:right w:val="nil"/>
            </w:tcBorders>
            <w:vAlign w:val="center"/>
          </w:tcPr>
          <w:p w14:paraId="1B64FFC4" w14:textId="77777777" w:rsidR="0092061E" w:rsidRDefault="00817EEB">
            <w:pPr>
              <w:spacing w:line="240" w:lineRule="auto"/>
              <w:jc w:val="center"/>
            </w:pPr>
            <w:r>
              <w:rPr>
                <w:sz w:val="14"/>
              </w:rPr>
              <w:t>b</w:t>
            </w:r>
          </w:p>
        </w:tc>
      </w:tr>
      <w:tr w:rsidR="0092061E" w14:paraId="09E65F34" w14:textId="77777777">
        <w:trPr>
          <w:jc w:val="center"/>
        </w:trPr>
        <w:tc>
          <w:tcPr>
            <w:tcW w:w="1502" w:type="dxa"/>
            <w:tcBorders>
              <w:top w:val="single" w:sz="4" w:space="0" w:color="C8C8C8"/>
              <w:left w:val="nil"/>
              <w:bottom w:val="single" w:sz="4" w:space="0" w:color="C8C8C8"/>
              <w:right w:val="nil"/>
            </w:tcBorders>
            <w:vAlign w:val="center"/>
          </w:tcPr>
          <w:p w14:paraId="0D2BD48E" w14:textId="77777777" w:rsidR="0092061E" w:rsidRDefault="00817EEB">
            <w:pPr>
              <w:spacing w:line="240" w:lineRule="auto"/>
              <w:jc w:val="center"/>
            </w:pPr>
            <w:proofErr w:type="spellStart"/>
            <w:r>
              <w:rPr>
                <w:sz w:val="14"/>
              </w:rPr>
              <w:t>非唑吡坦相关报告</w:t>
            </w:r>
            <w:proofErr w:type="spellEnd"/>
          </w:p>
        </w:tc>
        <w:tc>
          <w:tcPr>
            <w:tcW w:w="1502" w:type="dxa"/>
            <w:tcBorders>
              <w:top w:val="single" w:sz="4" w:space="0" w:color="C8C8C8"/>
              <w:left w:val="nil"/>
              <w:bottom w:val="single" w:sz="4" w:space="0" w:color="C8C8C8"/>
              <w:right w:val="nil"/>
            </w:tcBorders>
            <w:vAlign w:val="center"/>
          </w:tcPr>
          <w:p w14:paraId="658615D7" w14:textId="77777777" w:rsidR="0092061E" w:rsidRDefault="00817EEB">
            <w:pPr>
              <w:spacing w:line="240" w:lineRule="auto"/>
              <w:jc w:val="center"/>
            </w:pPr>
            <w:r>
              <w:rPr>
                <w:sz w:val="14"/>
              </w:rPr>
              <w:t>c</w:t>
            </w:r>
          </w:p>
        </w:tc>
        <w:tc>
          <w:tcPr>
            <w:tcW w:w="1502" w:type="dxa"/>
            <w:tcBorders>
              <w:top w:val="single" w:sz="4" w:space="0" w:color="C8C8C8"/>
              <w:left w:val="nil"/>
              <w:bottom w:val="single" w:sz="4" w:space="0" w:color="C8C8C8"/>
              <w:right w:val="nil"/>
            </w:tcBorders>
            <w:vAlign w:val="center"/>
          </w:tcPr>
          <w:p w14:paraId="6400B32B" w14:textId="77777777" w:rsidR="0092061E" w:rsidRDefault="00817EEB">
            <w:pPr>
              <w:spacing w:line="240" w:lineRule="auto"/>
              <w:jc w:val="center"/>
            </w:pPr>
            <w:r>
              <w:rPr>
                <w:sz w:val="14"/>
              </w:rPr>
              <w:t>d</w:t>
            </w:r>
          </w:p>
        </w:tc>
      </w:tr>
    </w:tbl>
    <w:p w14:paraId="65DEF48D" w14:textId="77777777" w:rsidR="0092061E" w:rsidRDefault="0092061E"/>
    <w:p w14:paraId="3558BAF0" w14:textId="77777777" w:rsidR="0092061E" w:rsidRDefault="00817EEB">
      <w:pPr>
        <w:ind w:firstLine="420"/>
        <w:rPr>
          <w:lang w:eastAsia="zh-CN"/>
        </w:rPr>
      </w:pPr>
      <w:r>
        <w:rPr>
          <w:lang w:eastAsia="zh-CN"/>
        </w:rPr>
        <w:t>其中，</w:t>
      </w:r>
      <w:r>
        <w:rPr>
          <w:lang w:eastAsia="zh-CN"/>
        </w:rPr>
        <w:t xml:space="preserve">a </w:t>
      </w:r>
      <w:r>
        <w:rPr>
          <w:lang w:eastAsia="zh-CN"/>
        </w:rPr>
        <w:t>为</w:t>
      </w:r>
      <w:proofErr w:type="gramStart"/>
      <w:r>
        <w:rPr>
          <w:lang w:eastAsia="zh-CN"/>
        </w:rPr>
        <w:t>唑吡坦相关</w:t>
      </w:r>
      <w:proofErr w:type="gramEnd"/>
      <w:r>
        <w:rPr>
          <w:lang w:eastAsia="zh-CN"/>
        </w:rPr>
        <w:t>报告且发生跌倒事件的病例数，</w:t>
      </w:r>
      <w:r>
        <w:rPr>
          <w:lang w:eastAsia="zh-CN"/>
        </w:rPr>
        <w:t xml:space="preserve">b </w:t>
      </w:r>
      <w:r>
        <w:rPr>
          <w:lang w:eastAsia="zh-CN"/>
        </w:rPr>
        <w:t>为</w:t>
      </w:r>
      <w:proofErr w:type="gramStart"/>
      <w:r>
        <w:rPr>
          <w:lang w:eastAsia="zh-CN"/>
        </w:rPr>
        <w:t>唑吡坦相关</w:t>
      </w:r>
      <w:proofErr w:type="gramEnd"/>
      <w:r>
        <w:rPr>
          <w:lang w:eastAsia="zh-CN"/>
        </w:rPr>
        <w:t>报告但未发生跌倒事件的病例数，</w:t>
      </w:r>
      <w:r>
        <w:rPr>
          <w:lang w:eastAsia="zh-CN"/>
        </w:rPr>
        <w:t xml:space="preserve">c </w:t>
      </w:r>
      <w:r>
        <w:rPr>
          <w:lang w:eastAsia="zh-CN"/>
        </w:rPr>
        <w:t>为非</w:t>
      </w:r>
      <w:proofErr w:type="gramStart"/>
      <w:r>
        <w:rPr>
          <w:lang w:eastAsia="zh-CN"/>
        </w:rPr>
        <w:t>唑吡坦相关</w:t>
      </w:r>
      <w:proofErr w:type="gramEnd"/>
      <w:r>
        <w:rPr>
          <w:lang w:eastAsia="zh-CN"/>
        </w:rPr>
        <w:t>报告且发生跌倒事件的病例数，</w:t>
      </w:r>
      <w:r>
        <w:rPr>
          <w:lang w:eastAsia="zh-CN"/>
        </w:rPr>
        <w:t xml:space="preserve">d </w:t>
      </w:r>
      <w:r>
        <w:rPr>
          <w:lang w:eastAsia="zh-CN"/>
        </w:rPr>
        <w:t>为非</w:t>
      </w:r>
      <w:proofErr w:type="gramStart"/>
      <w:r>
        <w:rPr>
          <w:lang w:eastAsia="zh-CN"/>
        </w:rPr>
        <w:t>唑吡坦相关</w:t>
      </w:r>
      <w:proofErr w:type="gramEnd"/>
      <w:r>
        <w:rPr>
          <w:lang w:eastAsia="zh-CN"/>
        </w:rPr>
        <w:t>报告且未发生跌倒事件的病例数。据此计算</w:t>
      </w:r>
      <w:r>
        <w:rPr>
          <w:lang w:eastAsia="zh-CN"/>
        </w:rPr>
        <w:t xml:space="preserve"> ROR</w:t>
      </w:r>
      <w:r>
        <w:rPr>
          <w:lang w:eastAsia="zh-CN"/>
        </w:rPr>
        <w:t>、</w:t>
      </w:r>
      <w:r>
        <w:rPr>
          <w:lang w:eastAsia="zh-CN"/>
        </w:rPr>
        <w:t>PRR</w:t>
      </w:r>
      <w:r>
        <w:rPr>
          <w:lang w:eastAsia="zh-CN"/>
        </w:rPr>
        <w:t>、</w:t>
      </w:r>
      <w:r>
        <w:rPr>
          <w:lang w:eastAsia="zh-CN"/>
        </w:rPr>
        <w:t xml:space="preserve">IC </w:t>
      </w:r>
      <w:r>
        <w:rPr>
          <w:lang w:eastAsia="zh-CN"/>
        </w:rPr>
        <w:t>和</w:t>
      </w:r>
      <w:r>
        <w:rPr>
          <w:lang w:eastAsia="zh-CN"/>
        </w:rPr>
        <w:t xml:space="preserve"> EBGM </w:t>
      </w:r>
      <w:r>
        <w:rPr>
          <w:lang w:eastAsia="zh-CN"/>
        </w:rPr>
        <w:t>及其相应区间指标</w:t>
      </w:r>
      <w:r>
        <w:rPr>
          <w:vertAlign w:val="superscript"/>
          <w:lang w:eastAsia="zh-CN"/>
        </w:rPr>
        <w:t>[9][10][11][12][13]</w:t>
      </w:r>
      <w:r>
        <w:rPr>
          <w:lang w:eastAsia="zh-CN"/>
        </w:rPr>
        <w:t>。</w:t>
      </w:r>
    </w:p>
    <w:p w14:paraId="28084A60" w14:textId="77777777" w:rsidR="0092061E" w:rsidRDefault="00817EEB">
      <w:pPr>
        <w:ind w:firstLine="420"/>
        <w:rPr>
          <w:lang w:eastAsia="zh-CN"/>
        </w:rPr>
      </w:pPr>
      <w:proofErr w:type="spellStart"/>
      <w:r>
        <w:t>阳性信号判定标准如下：</w:t>
      </w:r>
      <w:r>
        <w:t>ROR</w:t>
      </w:r>
      <w:proofErr w:type="spellEnd"/>
      <w:r>
        <w:t xml:space="preserve"> </w:t>
      </w:r>
      <w:proofErr w:type="spellStart"/>
      <w:r>
        <w:t>信号定义为</w:t>
      </w:r>
      <w:proofErr w:type="spellEnd"/>
      <w:r>
        <w:t xml:space="preserve"> ROR 95%CI </w:t>
      </w:r>
      <w:proofErr w:type="spellStart"/>
      <w:r>
        <w:t>下限</w:t>
      </w:r>
      <w:proofErr w:type="spellEnd"/>
      <w:r>
        <w:t xml:space="preserve"> &gt;1</w:t>
      </w:r>
      <w:r>
        <w:t>；</w:t>
      </w:r>
      <w:r>
        <w:t xml:space="preserve">MHRA/PRR </w:t>
      </w:r>
      <w:proofErr w:type="spellStart"/>
      <w:r>
        <w:t>信号定义为</w:t>
      </w:r>
      <w:proofErr w:type="spellEnd"/>
      <w:r>
        <w:t xml:space="preserve"> a≥3</w:t>
      </w:r>
      <w:r>
        <w:t>、</w:t>
      </w:r>
      <w:r>
        <w:t xml:space="preserve">PRR≥2 </w:t>
      </w:r>
      <w:r>
        <w:t>且</w:t>
      </w:r>
      <w:r>
        <w:t xml:space="preserve"> Yates </w:t>
      </w:r>
      <w:proofErr w:type="spellStart"/>
      <w:r>
        <w:t>校正卡方值</w:t>
      </w:r>
      <w:proofErr w:type="spellEnd"/>
      <w:r>
        <w:t xml:space="preserve"> ≥4</w:t>
      </w:r>
      <w:r>
        <w:t>；</w:t>
      </w:r>
      <w:r>
        <w:t xml:space="preserve">IC </w:t>
      </w:r>
      <w:proofErr w:type="spellStart"/>
      <w:r>
        <w:t>信号定义为</w:t>
      </w:r>
      <w:proofErr w:type="spellEnd"/>
      <w:r>
        <w:t xml:space="preserve"> IC025&gt;0</w:t>
      </w:r>
      <w:r>
        <w:t>；</w:t>
      </w:r>
      <w:r>
        <w:t xml:space="preserve">EBGM </w:t>
      </w:r>
      <w:proofErr w:type="spellStart"/>
      <w:r>
        <w:t>信号定义为</w:t>
      </w:r>
      <w:proofErr w:type="spellEnd"/>
      <w:r>
        <w:t xml:space="preserve"> a≥3 </w:t>
      </w:r>
      <w:r>
        <w:t>且</w:t>
      </w:r>
      <w:r>
        <w:t xml:space="preserve"> EB05≥2</w:t>
      </w:r>
      <w:r>
        <w:t>。</w:t>
      </w:r>
      <w:r>
        <w:rPr>
          <w:lang w:eastAsia="zh-CN"/>
        </w:rPr>
        <w:t>稳定信号要求唑吡坦相关报告数</w:t>
      </w:r>
      <w:r>
        <w:rPr>
          <w:lang w:eastAsia="zh-CN"/>
        </w:rPr>
        <w:t xml:space="preserve"> ≥50 </w:t>
      </w:r>
      <w:r>
        <w:rPr>
          <w:lang w:eastAsia="zh-CN"/>
        </w:rPr>
        <w:t>且唑吡坦相关跌倒报告数</w:t>
      </w:r>
      <w:r>
        <w:rPr>
          <w:lang w:eastAsia="zh-CN"/>
        </w:rPr>
        <w:t xml:space="preserve"> ≥5</w:t>
      </w:r>
      <w:r>
        <w:rPr>
          <w:lang w:eastAsia="zh-CN"/>
        </w:rPr>
        <w:t>。若任一信号检测指标阳性且满足稳定性要求，则认为存在稳定报告信号。</w:t>
      </w:r>
    </w:p>
    <w:p w14:paraId="611A1FC3" w14:textId="77777777" w:rsidR="0092061E" w:rsidRDefault="00817EEB">
      <w:pPr>
        <w:keepNext/>
        <w:spacing w:before="60" w:after="40" w:line="264" w:lineRule="auto"/>
        <w:rPr>
          <w:lang w:eastAsia="zh-CN"/>
        </w:rPr>
      </w:pPr>
      <w:r>
        <w:rPr>
          <w:rFonts w:eastAsia="楷体"/>
          <w:b/>
          <w:sz w:val="18"/>
          <w:lang w:eastAsia="zh-CN"/>
        </w:rPr>
        <w:t xml:space="preserve">2.6 </w:t>
      </w:r>
      <w:r>
        <w:rPr>
          <w:rFonts w:eastAsia="楷体"/>
          <w:b/>
          <w:sz w:val="18"/>
          <w:lang w:eastAsia="zh-CN"/>
        </w:rPr>
        <w:t>调整后分析</w:t>
      </w:r>
    </w:p>
    <w:p w14:paraId="42416258" w14:textId="77777777" w:rsidR="0092061E" w:rsidRDefault="00817EEB">
      <w:pPr>
        <w:ind w:firstLine="420"/>
        <w:rPr>
          <w:lang w:eastAsia="zh-CN"/>
        </w:rPr>
      </w:pPr>
      <w:r>
        <w:rPr>
          <w:lang w:eastAsia="zh-CN"/>
        </w:rPr>
        <w:t>为控制病例构成差异对报告信号的影响，进一步构建</w:t>
      </w:r>
      <w:r>
        <w:rPr>
          <w:lang w:eastAsia="zh-CN"/>
        </w:rPr>
        <w:t xml:space="preserve"> Logistic </w:t>
      </w:r>
      <w:r>
        <w:rPr>
          <w:lang w:eastAsia="zh-CN"/>
        </w:rPr>
        <w:t>回归模型计算调整后报告比值比（</w:t>
      </w:r>
      <w:r>
        <w:rPr>
          <w:lang w:eastAsia="zh-CN"/>
        </w:rPr>
        <w:t>adjusted ROR</w:t>
      </w:r>
      <w:r>
        <w:rPr>
          <w:lang w:eastAsia="zh-CN"/>
        </w:rPr>
        <w:t>）。核心临床调整模型纳入年龄组、性别、报告年份、季度、多重用药、不同药物数量、苯二氮䓬类、抗抑郁药、抗精神病药、阿片类和抗癫痫药。年龄、性别和报告时间变量来自</w:t>
      </w:r>
      <w:r>
        <w:rPr>
          <w:lang w:eastAsia="zh-CN"/>
        </w:rPr>
        <w:t xml:space="preserve"> DEMO </w:t>
      </w:r>
      <w:r>
        <w:rPr>
          <w:lang w:eastAsia="zh-CN"/>
        </w:rPr>
        <w:t>表；药物数量、多重用药和合并用药类别来自</w:t>
      </w:r>
      <w:r>
        <w:rPr>
          <w:lang w:eastAsia="zh-CN"/>
        </w:rPr>
        <w:t xml:space="preserve"> DRUG </w:t>
      </w:r>
      <w:r>
        <w:rPr>
          <w:lang w:eastAsia="zh-CN"/>
        </w:rPr>
        <w:t>表。扩展报告</w:t>
      </w:r>
      <w:r>
        <w:rPr>
          <w:lang w:eastAsia="zh-CN"/>
        </w:rPr>
        <w:t>-</w:t>
      </w:r>
      <w:r>
        <w:rPr>
          <w:lang w:eastAsia="zh-CN"/>
        </w:rPr>
        <w:t>适应证调整模型在核心模型基础上进一步纳入报告国家、报告者类型、电子提交情况，以及失眠、焦虑、抑郁、疼痛、癫痫、眩晕</w:t>
      </w:r>
      <w:r>
        <w:rPr>
          <w:lang w:eastAsia="zh-CN"/>
        </w:rPr>
        <w:t>/</w:t>
      </w:r>
      <w:r>
        <w:rPr>
          <w:lang w:eastAsia="zh-CN"/>
        </w:rPr>
        <w:t>头晕相关适应证。报告来源相关变量来自</w:t>
      </w:r>
      <w:r>
        <w:rPr>
          <w:lang w:eastAsia="zh-CN"/>
        </w:rPr>
        <w:t xml:space="preserve"> DEMO </w:t>
      </w:r>
      <w:r>
        <w:rPr>
          <w:lang w:eastAsia="zh-CN"/>
        </w:rPr>
        <w:t>或报告来源相关字段；适应证变量仅根据</w:t>
      </w:r>
      <w:r>
        <w:rPr>
          <w:lang w:eastAsia="zh-CN"/>
        </w:rPr>
        <w:t xml:space="preserve"> INDI </w:t>
      </w:r>
      <w:r>
        <w:rPr>
          <w:lang w:eastAsia="zh-CN"/>
        </w:rPr>
        <w:t>表或药品适应证字段构建，不使用</w:t>
      </w:r>
      <w:r>
        <w:rPr>
          <w:lang w:eastAsia="zh-CN"/>
        </w:rPr>
        <w:t xml:space="preserve"> REAC </w:t>
      </w:r>
      <w:r>
        <w:rPr>
          <w:lang w:eastAsia="zh-CN"/>
        </w:rPr>
        <w:t>表中的不良反应</w:t>
      </w:r>
      <w:r>
        <w:rPr>
          <w:lang w:eastAsia="zh-CN"/>
        </w:rPr>
        <w:t xml:space="preserve"> PT</w:t>
      </w:r>
      <w:r>
        <w:rPr>
          <w:lang w:eastAsia="zh-CN"/>
        </w:rPr>
        <w:t>，以避免将结局或结局相关症状作为调整变量。</w:t>
      </w:r>
    </w:p>
    <w:p w14:paraId="61669006" w14:textId="77777777" w:rsidR="0092061E" w:rsidRDefault="00817EEB">
      <w:pPr>
        <w:keepNext/>
        <w:spacing w:before="60" w:after="40" w:line="264" w:lineRule="auto"/>
        <w:rPr>
          <w:lang w:eastAsia="zh-CN"/>
        </w:rPr>
      </w:pPr>
      <w:r>
        <w:rPr>
          <w:rFonts w:eastAsia="楷体"/>
          <w:b/>
          <w:sz w:val="18"/>
          <w:lang w:eastAsia="zh-CN"/>
        </w:rPr>
        <w:t xml:space="preserve">2.7 Z-drugs </w:t>
      </w:r>
      <w:r>
        <w:rPr>
          <w:rFonts w:eastAsia="楷体"/>
          <w:b/>
          <w:sz w:val="18"/>
          <w:lang w:eastAsia="zh-CN"/>
        </w:rPr>
        <w:t>内部比较</w:t>
      </w:r>
    </w:p>
    <w:p w14:paraId="36B03004" w14:textId="77777777" w:rsidR="0092061E" w:rsidRDefault="00817EEB">
      <w:pPr>
        <w:ind w:firstLine="420"/>
        <w:rPr>
          <w:lang w:eastAsia="zh-CN"/>
        </w:rPr>
      </w:pPr>
      <w:r>
        <w:rPr>
          <w:lang w:eastAsia="zh-CN"/>
        </w:rPr>
        <w:t>为观察</w:t>
      </w:r>
      <w:proofErr w:type="gramStart"/>
      <w:r>
        <w:rPr>
          <w:lang w:eastAsia="zh-CN"/>
        </w:rPr>
        <w:t>唑吡</w:t>
      </w:r>
      <w:proofErr w:type="gramEnd"/>
      <w:r>
        <w:rPr>
          <w:lang w:eastAsia="zh-CN"/>
        </w:rPr>
        <w:t>坦与其他</w:t>
      </w:r>
      <w:r>
        <w:rPr>
          <w:lang w:eastAsia="zh-CN"/>
        </w:rPr>
        <w:t xml:space="preserve"> Z-drugs </w:t>
      </w:r>
      <w:r>
        <w:rPr>
          <w:lang w:eastAsia="zh-CN"/>
        </w:rPr>
        <w:t>在</w:t>
      </w:r>
      <w:r>
        <w:rPr>
          <w:lang w:eastAsia="zh-CN"/>
        </w:rPr>
        <w:t xml:space="preserve"> FAERS </w:t>
      </w:r>
      <w:r>
        <w:rPr>
          <w:lang w:eastAsia="zh-CN"/>
        </w:rPr>
        <w:t>跌倒报告中的相对报告模式，进一步开展</w:t>
      </w:r>
      <w:r>
        <w:rPr>
          <w:lang w:eastAsia="zh-CN"/>
        </w:rPr>
        <w:t xml:space="preserve"> Z-drugs </w:t>
      </w:r>
      <w:r>
        <w:rPr>
          <w:lang w:eastAsia="zh-CN"/>
        </w:rPr>
        <w:t>内部比较。将仅报告</w:t>
      </w:r>
      <w:proofErr w:type="gramStart"/>
      <w:r>
        <w:rPr>
          <w:lang w:eastAsia="zh-CN"/>
        </w:rPr>
        <w:t>唑吡坦且</w:t>
      </w:r>
      <w:proofErr w:type="gramEnd"/>
      <w:r>
        <w:rPr>
          <w:lang w:eastAsia="zh-CN"/>
        </w:rPr>
        <w:t>未同时报告其他</w:t>
      </w:r>
      <w:r>
        <w:rPr>
          <w:lang w:eastAsia="zh-CN"/>
        </w:rPr>
        <w:t xml:space="preserve"> Z-drugs </w:t>
      </w:r>
      <w:r>
        <w:rPr>
          <w:lang w:eastAsia="zh-CN"/>
        </w:rPr>
        <w:t>可疑用药的病例定义为</w:t>
      </w:r>
      <w:r>
        <w:rPr>
          <w:lang w:eastAsia="zh-CN"/>
        </w:rPr>
        <w:t xml:space="preserve"> </w:t>
      </w:r>
      <w:proofErr w:type="spellStart"/>
      <w:r>
        <w:rPr>
          <w:lang w:eastAsia="zh-CN"/>
        </w:rPr>
        <w:t>zolpidem_only</w:t>
      </w:r>
      <w:proofErr w:type="spellEnd"/>
      <w:r>
        <w:rPr>
          <w:lang w:eastAsia="zh-CN"/>
        </w:rPr>
        <w:t>，将</w:t>
      </w:r>
      <w:proofErr w:type="gramStart"/>
      <w:r>
        <w:rPr>
          <w:lang w:eastAsia="zh-CN"/>
        </w:rPr>
        <w:t>仅报告</w:t>
      </w:r>
      <w:proofErr w:type="gramEnd"/>
      <w:r>
        <w:rPr>
          <w:lang w:eastAsia="zh-CN"/>
        </w:rPr>
        <w:t>其他</w:t>
      </w:r>
      <w:r>
        <w:rPr>
          <w:lang w:eastAsia="zh-CN"/>
        </w:rPr>
        <w:t xml:space="preserve"> Z-drugs </w:t>
      </w:r>
      <w:r>
        <w:rPr>
          <w:lang w:eastAsia="zh-CN"/>
        </w:rPr>
        <w:t>且未同时报告</w:t>
      </w:r>
      <w:proofErr w:type="gramStart"/>
      <w:r>
        <w:rPr>
          <w:lang w:eastAsia="zh-CN"/>
        </w:rPr>
        <w:t>唑吡</w:t>
      </w:r>
      <w:proofErr w:type="gramEnd"/>
      <w:r>
        <w:rPr>
          <w:lang w:eastAsia="zh-CN"/>
        </w:rPr>
        <w:t>坦</w:t>
      </w:r>
      <w:r>
        <w:rPr>
          <w:lang w:eastAsia="zh-CN"/>
        </w:rPr>
        <w:t>可疑用药的病例定义为</w:t>
      </w:r>
      <w:r>
        <w:rPr>
          <w:lang w:eastAsia="zh-CN"/>
        </w:rPr>
        <w:t xml:space="preserve"> </w:t>
      </w:r>
      <w:proofErr w:type="spellStart"/>
      <w:r>
        <w:rPr>
          <w:lang w:eastAsia="zh-CN"/>
        </w:rPr>
        <w:t>other_zdrug_only</w:t>
      </w:r>
      <w:proofErr w:type="spellEnd"/>
      <w:r>
        <w:rPr>
          <w:lang w:eastAsia="zh-CN"/>
        </w:rPr>
        <w:t>，并分别在</w:t>
      </w:r>
      <w:r>
        <w:rPr>
          <w:lang w:eastAsia="zh-CN"/>
        </w:rPr>
        <w:t xml:space="preserve"> PS+SS </w:t>
      </w:r>
      <w:r>
        <w:rPr>
          <w:lang w:eastAsia="zh-CN"/>
        </w:rPr>
        <w:t>和</w:t>
      </w:r>
      <w:r>
        <w:rPr>
          <w:lang w:eastAsia="zh-CN"/>
        </w:rPr>
        <w:t xml:space="preserve"> PS only </w:t>
      </w:r>
      <w:r>
        <w:rPr>
          <w:lang w:eastAsia="zh-CN"/>
        </w:rPr>
        <w:t>口径</w:t>
      </w:r>
      <w:proofErr w:type="gramStart"/>
      <w:r>
        <w:rPr>
          <w:lang w:eastAsia="zh-CN"/>
        </w:rPr>
        <w:t>下计算</w:t>
      </w:r>
      <w:proofErr w:type="gramEnd"/>
      <w:r>
        <w:rPr>
          <w:lang w:eastAsia="zh-CN"/>
        </w:rPr>
        <w:t>严格跌倒事件的</w:t>
      </w:r>
      <w:r>
        <w:rPr>
          <w:lang w:eastAsia="zh-CN"/>
        </w:rPr>
        <w:t xml:space="preserve"> ROR</w:t>
      </w:r>
      <w:r>
        <w:rPr>
          <w:lang w:eastAsia="zh-CN"/>
        </w:rPr>
        <w:t>。该分析用于描述</w:t>
      </w:r>
      <w:r>
        <w:rPr>
          <w:lang w:eastAsia="zh-CN"/>
        </w:rPr>
        <w:t xml:space="preserve"> FAERS </w:t>
      </w:r>
      <w:r>
        <w:rPr>
          <w:lang w:eastAsia="zh-CN"/>
        </w:rPr>
        <w:t>报告模式差异，不用于直接推断不同</w:t>
      </w:r>
      <w:r>
        <w:rPr>
          <w:lang w:eastAsia="zh-CN"/>
        </w:rPr>
        <w:t xml:space="preserve"> Z-drugs </w:t>
      </w:r>
      <w:r>
        <w:rPr>
          <w:lang w:eastAsia="zh-CN"/>
        </w:rPr>
        <w:t>的真实临床跌倒风险高低。</w:t>
      </w:r>
    </w:p>
    <w:p w14:paraId="202ECA45" w14:textId="77777777" w:rsidR="0092061E" w:rsidRDefault="00817EEB">
      <w:pPr>
        <w:keepNext/>
        <w:spacing w:before="60" w:after="40" w:line="264" w:lineRule="auto"/>
        <w:rPr>
          <w:lang w:eastAsia="zh-CN"/>
        </w:rPr>
      </w:pPr>
      <w:r>
        <w:rPr>
          <w:rFonts w:eastAsia="楷体"/>
          <w:b/>
          <w:sz w:val="18"/>
          <w:lang w:eastAsia="zh-CN"/>
        </w:rPr>
        <w:t xml:space="preserve">2.8 PT </w:t>
      </w:r>
      <w:r>
        <w:rPr>
          <w:rFonts w:eastAsia="楷体"/>
          <w:b/>
          <w:sz w:val="18"/>
          <w:lang w:eastAsia="zh-CN"/>
        </w:rPr>
        <w:t>共现网络分析</w:t>
      </w:r>
    </w:p>
    <w:p w14:paraId="3E12711D" w14:textId="77777777" w:rsidR="0092061E" w:rsidRDefault="00817EEB">
      <w:pPr>
        <w:ind w:firstLine="420"/>
        <w:rPr>
          <w:lang w:eastAsia="zh-CN"/>
        </w:rPr>
      </w:pPr>
      <w:r>
        <w:rPr>
          <w:lang w:eastAsia="zh-CN"/>
        </w:rPr>
        <w:t>在</w:t>
      </w:r>
      <w:r>
        <w:rPr>
          <w:lang w:eastAsia="zh-CN"/>
        </w:rPr>
        <w:t xml:space="preserve"> PS+SS </w:t>
      </w:r>
      <w:r>
        <w:rPr>
          <w:lang w:eastAsia="zh-CN"/>
        </w:rPr>
        <w:t>口径下的</w:t>
      </w:r>
      <w:proofErr w:type="gramStart"/>
      <w:r>
        <w:rPr>
          <w:lang w:eastAsia="zh-CN"/>
        </w:rPr>
        <w:t>唑吡坦相关且报告</w:t>
      </w:r>
      <w:proofErr w:type="gramEnd"/>
      <w:r>
        <w:rPr>
          <w:lang w:eastAsia="zh-CN"/>
        </w:rPr>
        <w:t>严格跌倒事件的病例中，提取共同报告的</w:t>
      </w:r>
      <w:r>
        <w:rPr>
          <w:lang w:eastAsia="zh-CN"/>
        </w:rPr>
        <w:t xml:space="preserve"> MedDRA PT</w:t>
      </w:r>
      <w:r>
        <w:rPr>
          <w:lang w:eastAsia="zh-CN"/>
        </w:rPr>
        <w:t>，构建</w:t>
      </w:r>
      <w:r>
        <w:rPr>
          <w:lang w:eastAsia="zh-CN"/>
        </w:rPr>
        <w:t xml:space="preserve"> PT </w:t>
      </w:r>
      <w:r>
        <w:rPr>
          <w:lang w:eastAsia="zh-CN"/>
        </w:rPr>
        <w:t>共现网络。根据同一病例内</w:t>
      </w:r>
      <w:r>
        <w:rPr>
          <w:lang w:eastAsia="zh-CN"/>
        </w:rPr>
        <w:t xml:space="preserve"> PT </w:t>
      </w:r>
      <w:r>
        <w:rPr>
          <w:lang w:eastAsia="zh-CN"/>
        </w:rPr>
        <w:t>的共同出现情况计算</w:t>
      </w:r>
      <w:r>
        <w:rPr>
          <w:lang w:eastAsia="zh-CN"/>
        </w:rPr>
        <w:t xml:space="preserve"> Jaccard </w:t>
      </w:r>
      <w:r>
        <w:rPr>
          <w:lang w:eastAsia="zh-CN"/>
        </w:rPr>
        <w:t>共现强度，并结合社区识别结果归纳主要表型模块，包括意识</w:t>
      </w:r>
      <w:r>
        <w:rPr>
          <w:lang w:eastAsia="zh-CN"/>
        </w:rPr>
        <w:t>/</w:t>
      </w:r>
      <w:r>
        <w:rPr>
          <w:lang w:eastAsia="zh-CN"/>
        </w:rPr>
        <w:t>认知改变、眩晕</w:t>
      </w:r>
      <w:r>
        <w:rPr>
          <w:lang w:eastAsia="zh-CN"/>
        </w:rPr>
        <w:t>/</w:t>
      </w:r>
      <w:r>
        <w:rPr>
          <w:lang w:eastAsia="zh-CN"/>
        </w:rPr>
        <w:t>晕厥相关表现、步态</w:t>
      </w:r>
      <w:r>
        <w:rPr>
          <w:lang w:eastAsia="zh-CN"/>
        </w:rPr>
        <w:t>/</w:t>
      </w:r>
      <w:r>
        <w:rPr>
          <w:lang w:eastAsia="zh-CN"/>
        </w:rPr>
        <w:t>平衡</w:t>
      </w:r>
      <w:r>
        <w:rPr>
          <w:lang w:eastAsia="zh-CN"/>
        </w:rPr>
        <w:t>/</w:t>
      </w:r>
      <w:r>
        <w:rPr>
          <w:lang w:eastAsia="zh-CN"/>
        </w:rPr>
        <w:t>运动控制异常和跌倒损伤后果等。为便于展示报告表型结构，进一步对主要表型模块进行病例层面汇总；同一病例在同一模块内重复出现多个</w:t>
      </w:r>
      <w:r>
        <w:rPr>
          <w:lang w:eastAsia="zh-CN"/>
        </w:rPr>
        <w:t xml:space="preserve"> PT </w:t>
      </w:r>
      <w:r>
        <w:rPr>
          <w:lang w:eastAsia="zh-CN"/>
        </w:rPr>
        <w:t>时，仅计为</w:t>
      </w:r>
      <w:r>
        <w:rPr>
          <w:lang w:eastAsia="zh-CN"/>
        </w:rPr>
        <w:t xml:space="preserve"> 1 </w:t>
      </w:r>
      <w:r>
        <w:rPr>
          <w:lang w:eastAsia="zh-CN"/>
        </w:rPr>
        <w:t>例。低血压、镇静</w:t>
      </w:r>
      <w:r>
        <w:rPr>
          <w:lang w:eastAsia="zh-CN"/>
        </w:rPr>
        <w:t>/</w:t>
      </w:r>
      <w:r>
        <w:rPr>
          <w:lang w:eastAsia="zh-CN"/>
        </w:rPr>
        <w:t>嗜睡等</w:t>
      </w:r>
      <w:r>
        <w:rPr>
          <w:lang w:eastAsia="zh-CN"/>
        </w:rPr>
        <w:t xml:space="preserve"> PT </w:t>
      </w:r>
      <w:r>
        <w:rPr>
          <w:lang w:eastAsia="zh-CN"/>
        </w:rPr>
        <w:t>作为具体共</w:t>
      </w:r>
      <w:proofErr w:type="gramStart"/>
      <w:r>
        <w:rPr>
          <w:lang w:eastAsia="zh-CN"/>
        </w:rPr>
        <w:t>现表现</w:t>
      </w:r>
      <w:proofErr w:type="gramEnd"/>
      <w:r>
        <w:rPr>
          <w:lang w:eastAsia="zh-CN"/>
        </w:rPr>
        <w:t>进行描述，不单独作为病例层面模块重复计数。</w:t>
      </w:r>
    </w:p>
    <w:p w14:paraId="648A3A47" w14:textId="77777777" w:rsidR="0092061E" w:rsidRDefault="00817EEB">
      <w:pPr>
        <w:keepNext/>
        <w:spacing w:before="60" w:after="40" w:line="264" w:lineRule="auto"/>
      </w:pPr>
      <w:r>
        <w:rPr>
          <w:rFonts w:eastAsia="楷体"/>
          <w:b/>
          <w:sz w:val="18"/>
        </w:rPr>
        <w:t xml:space="preserve">2.9 </w:t>
      </w:r>
      <w:proofErr w:type="spellStart"/>
      <w:r>
        <w:rPr>
          <w:rFonts w:eastAsia="楷体"/>
          <w:b/>
          <w:sz w:val="18"/>
        </w:rPr>
        <w:t>机器学习模型</w:t>
      </w:r>
      <w:proofErr w:type="spellEnd"/>
    </w:p>
    <w:p w14:paraId="25EAA058" w14:textId="77777777" w:rsidR="0092061E" w:rsidRDefault="00817EEB">
      <w:pPr>
        <w:ind w:firstLine="420"/>
        <w:rPr>
          <w:lang w:eastAsia="zh-CN"/>
        </w:rPr>
      </w:pPr>
      <w:proofErr w:type="spellStart"/>
      <w:r>
        <w:t>以是否报告严格跌倒事件为分类目标，构建</w:t>
      </w:r>
      <w:proofErr w:type="spellEnd"/>
      <w:r>
        <w:t xml:space="preserve"> Logistic </w:t>
      </w:r>
      <w:proofErr w:type="spellStart"/>
      <w:r>
        <w:t>regression</w:t>
      </w:r>
      <w:r>
        <w:t>、</w:t>
      </w:r>
      <w:proofErr w:type="gramStart"/>
      <w:r>
        <w:t>Random</w:t>
      </w:r>
      <w:proofErr w:type="spellEnd"/>
      <w:r>
        <w:t xml:space="preserve"> forest</w:t>
      </w:r>
      <w:proofErr w:type="gramEnd"/>
      <w:r>
        <w:t xml:space="preserve"> </w:t>
      </w:r>
      <w:r>
        <w:t>和</w:t>
      </w:r>
      <w:r>
        <w:t xml:space="preserve"> </w:t>
      </w:r>
      <w:proofErr w:type="spellStart"/>
      <w:r>
        <w:t>XGBoost</w:t>
      </w:r>
      <w:proofErr w:type="spellEnd"/>
      <w:r>
        <w:t xml:space="preserve"> </w:t>
      </w:r>
      <w:r>
        <w:t>模型。数据按时间划分，</w:t>
      </w:r>
      <w:r>
        <w:t xml:space="preserve">2004—2023 </w:t>
      </w:r>
      <w:r>
        <w:t>年为训练集，</w:t>
      </w:r>
      <w:r>
        <w:t xml:space="preserve">2024 </w:t>
      </w:r>
      <w:r>
        <w:t>年为验证集，</w:t>
      </w:r>
      <w:r>
        <w:t xml:space="preserve">2025 </w:t>
      </w:r>
      <w:proofErr w:type="spellStart"/>
      <w:r>
        <w:t>年为测试集</w:t>
      </w:r>
      <w:proofErr w:type="spellEnd"/>
      <w:r>
        <w:t>。</w:t>
      </w:r>
      <w:r>
        <w:rPr>
          <w:lang w:eastAsia="zh-CN"/>
        </w:rPr>
        <w:t>训练阶段从训练集抽样</w:t>
      </w:r>
      <w:r>
        <w:rPr>
          <w:lang w:eastAsia="zh-CN"/>
        </w:rPr>
        <w:t xml:space="preserve"> 400 000 </w:t>
      </w:r>
      <w:r>
        <w:rPr>
          <w:lang w:eastAsia="zh-CN"/>
        </w:rPr>
        <w:t>条病例记录。参考既往</w:t>
      </w:r>
      <w:r>
        <w:rPr>
          <w:lang w:eastAsia="zh-CN"/>
        </w:rPr>
        <w:t xml:space="preserve"> FAERS </w:t>
      </w:r>
      <w:proofErr w:type="gramStart"/>
      <w:r>
        <w:rPr>
          <w:lang w:eastAsia="zh-CN"/>
        </w:rPr>
        <w:t>机器学习信号检测研究</w:t>
      </w:r>
      <w:r>
        <w:rPr>
          <w:vertAlign w:val="superscript"/>
          <w:lang w:eastAsia="zh-CN"/>
        </w:rPr>
        <w:t>[</w:t>
      </w:r>
      <w:proofErr w:type="gramEnd"/>
      <w:r>
        <w:rPr>
          <w:vertAlign w:val="superscript"/>
          <w:lang w:eastAsia="zh-CN"/>
        </w:rPr>
        <w:t>16][18][</w:t>
      </w:r>
      <w:proofErr w:type="gramStart"/>
      <w:r>
        <w:rPr>
          <w:vertAlign w:val="superscript"/>
          <w:lang w:eastAsia="zh-CN"/>
        </w:rPr>
        <w:t>19]</w:t>
      </w:r>
      <w:r>
        <w:rPr>
          <w:lang w:eastAsia="zh-CN"/>
        </w:rPr>
        <w:t>，</w:t>
      </w:r>
      <w:proofErr w:type="gramEnd"/>
      <w:r>
        <w:rPr>
          <w:lang w:eastAsia="zh-CN"/>
        </w:rPr>
        <w:t>以受试者工作特征曲线下面积（</w:t>
      </w:r>
      <w:r>
        <w:rPr>
          <w:lang w:eastAsia="zh-CN"/>
        </w:rPr>
        <w:t>ROC-AUC</w:t>
      </w:r>
      <w:r>
        <w:rPr>
          <w:lang w:eastAsia="zh-CN"/>
        </w:rPr>
        <w:t>）作为模型性能主要评价指标，</w:t>
      </w:r>
      <w:r>
        <w:rPr>
          <w:lang w:eastAsia="zh-CN"/>
        </w:rPr>
        <w:t xml:space="preserve">AUC </w:t>
      </w:r>
      <w:r>
        <w:rPr>
          <w:lang w:eastAsia="zh-CN"/>
        </w:rPr>
        <w:t>值越高，说明模型对跌倒报告和非跌倒报告的区分能力越好。机器学习模型仅用于识别</w:t>
      </w:r>
      <w:r>
        <w:rPr>
          <w:lang w:eastAsia="zh-CN"/>
        </w:rPr>
        <w:t xml:space="preserve"> FAERS </w:t>
      </w:r>
      <w:r>
        <w:rPr>
          <w:lang w:eastAsia="zh-CN"/>
        </w:rPr>
        <w:t>报告中与跌倒结局共同出现的特征模式，不用于证明因果关系，也不作为临床个体预测工具。</w:t>
      </w:r>
    </w:p>
    <w:p w14:paraId="35160EAF" w14:textId="77777777" w:rsidR="00DD4410" w:rsidRDefault="00817EEB">
      <w:pPr>
        <w:ind w:firstLine="420"/>
        <w:rPr>
          <w:lang w:eastAsia="zh-CN"/>
        </w:rPr>
      </w:pPr>
      <w:proofErr w:type="spellStart"/>
      <w:r>
        <w:t>统计学处理：数据清洗、统计分析和模型构建主要采用</w:t>
      </w:r>
      <w:r>
        <w:t>Python</w:t>
      </w:r>
      <w:proofErr w:type="spellEnd"/>
      <w:r>
        <w:t xml:space="preserve"> 3.11</w:t>
      </w:r>
      <w:r>
        <w:t>完成，使用</w:t>
      </w:r>
      <w:r>
        <w:t>pandas 2.2.2</w:t>
      </w:r>
      <w:r>
        <w:t>、</w:t>
      </w:r>
      <w:r>
        <w:t>NumPy 1.26.4</w:t>
      </w:r>
      <w:r>
        <w:t>、</w:t>
      </w:r>
      <w:r>
        <w:t>SciPy 1.17.1</w:t>
      </w:r>
      <w:r>
        <w:t>、</w:t>
      </w:r>
      <w:r>
        <w:t>scikit-learn 1.7.0</w:t>
      </w:r>
      <w:r>
        <w:t>、</w:t>
      </w:r>
      <w:r>
        <w:t>XGBoost 3.1.0</w:t>
      </w:r>
      <w:r>
        <w:t>、</w:t>
      </w:r>
      <w:r>
        <w:t>statsmodels 0.14.0</w:t>
      </w:r>
      <w:r>
        <w:t>和</w:t>
      </w:r>
      <w:r>
        <w:t>NetworkX 3.</w:t>
      </w:r>
      <w:proofErr w:type="gramStart"/>
      <w:r>
        <w:t>6.1</w:t>
      </w:r>
      <w:r>
        <w:t>等程序包。</w:t>
      </w:r>
      <w:r>
        <w:rPr>
          <w:lang w:eastAsia="zh-CN"/>
        </w:rPr>
        <w:t>双侧</w:t>
      </w:r>
      <w:r>
        <w:rPr>
          <w:lang w:eastAsia="zh-CN"/>
        </w:rPr>
        <w:t>P</w:t>
      </w:r>
      <w:proofErr w:type="gramEnd"/>
      <w:r>
        <w:rPr>
          <w:lang w:eastAsia="zh-CN"/>
        </w:rPr>
        <w:t>＜</w:t>
      </w:r>
      <w:r>
        <w:rPr>
          <w:lang w:eastAsia="zh-CN"/>
        </w:rPr>
        <w:t>0.05</w:t>
      </w:r>
      <w:r>
        <w:rPr>
          <w:lang w:eastAsia="zh-CN"/>
        </w:rPr>
        <w:t>为差异有统计学意义。</w:t>
      </w:r>
    </w:p>
    <w:p w14:paraId="2A3E2AB0" w14:textId="77777777" w:rsidR="0092061E" w:rsidRDefault="00817EEB">
      <w:pPr>
        <w:keepNext/>
        <w:spacing w:before="100" w:after="60" w:line="276" w:lineRule="auto"/>
        <w:rPr>
          <w:lang w:eastAsia="zh-CN"/>
        </w:rPr>
      </w:pPr>
      <w:r>
        <w:rPr>
          <w:rFonts w:eastAsia="黑体"/>
          <w:b/>
          <w:sz w:val="20"/>
          <w:lang w:eastAsia="zh-CN"/>
        </w:rPr>
        <w:t xml:space="preserve">3 </w:t>
      </w:r>
      <w:r>
        <w:rPr>
          <w:rFonts w:eastAsia="黑体"/>
          <w:b/>
          <w:sz w:val="20"/>
          <w:lang w:eastAsia="zh-CN"/>
        </w:rPr>
        <w:t>结果</w:t>
      </w:r>
    </w:p>
    <w:p w14:paraId="2DF876FC" w14:textId="77777777" w:rsidR="0092061E" w:rsidRDefault="00817EEB">
      <w:pPr>
        <w:keepNext/>
        <w:spacing w:before="60" w:after="40" w:line="264" w:lineRule="auto"/>
        <w:rPr>
          <w:lang w:eastAsia="zh-CN"/>
        </w:rPr>
      </w:pPr>
      <w:r>
        <w:rPr>
          <w:rFonts w:eastAsia="楷体"/>
          <w:b/>
          <w:sz w:val="18"/>
          <w:lang w:eastAsia="zh-CN"/>
        </w:rPr>
        <w:t xml:space="preserve">3.1 </w:t>
      </w:r>
      <w:r>
        <w:rPr>
          <w:rFonts w:eastAsia="楷体"/>
          <w:b/>
          <w:sz w:val="18"/>
          <w:lang w:eastAsia="zh-CN"/>
        </w:rPr>
        <w:t>数据集总体情况</w:t>
      </w:r>
    </w:p>
    <w:p w14:paraId="2FF95B3E" w14:textId="77777777" w:rsidR="0092061E" w:rsidRDefault="00817EEB">
      <w:pPr>
        <w:ind w:firstLine="420"/>
        <w:rPr>
          <w:lang w:eastAsia="zh-CN"/>
        </w:rPr>
      </w:pPr>
      <w:r>
        <w:rPr>
          <w:lang w:eastAsia="zh-CN"/>
        </w:rPr>
        <w:t>本研究构建的机器学习特征数据集共包含</w:t>
      </w:r>
      <w:r>
        <w:rPr>
          <w:lang w:eastAsia="zh-CN"/>
        </w:rPr>
        <w:t xml:space="preserve"> 4 155 023 </w:t>
      </w:r>
      <w:r>
        <w:rPr>
          <w:lang w:eastAsia="zh-CN"/>
        </w:rPr>
        <w:t>条</w:t>
      </w:r>
      <w:proofErr w:type="gramStart"/>
      <w:r>
        <w:rPr>
          <w:lang w:eastAsia="zh-CN"/>
        </w:rPr>
        <w:t>病例级记录</w:t>
      </w:r>
      <w:proofErr w:type="gramEnd"/>
      <w:r>
        <w:rPr>
          <w:lang w:eastAsia="zh-CN"/>
        </w:rPr>
        <w:t>，唯一</w:t>
      </w:r>
      <w:r>
        <w:rPr>
          <w:lang w:eastAsia="zh-CN"/>
        </w:rPr>
        <w:t xml:space="preserve"> </w:t>
      </w:r>
      <w:proofErr w:type="spellStart"/>
      <w:r>
        <w:rPr>
          <w:lang w:eastAsia="zh-CN"/>
        </w:rPr>
        <w:t>caseid</w:t>
      </w:r>
      <w:proofErr w:type="spellEnd"/>
      <w:r>
        <w:rPr>
          <w:lang w:eastAsia="zh-CN"/>
        </w:rPr>
        <w:t xml:space="preserve"> </w:t>
      </w:r>
      <w:r>
        <w:rPr>
          <w:lang w:eastAsia="zh-CN"/>
        </w:rPr>
        <w:t>为</w:t>
      </w:r>
      <w:r>
        <w:rPr>
          <w:lang w:eastAsia="zh-CN"/>
        </w:rPr>
        <w:t xml:space="preserve"> 4 155 023 </w:t>
      </w:r>
      <w:proofErr w:type="gramStart"/>
      <w:r>
        <w:rPr>
          <w:lang w:eastAsia="zh-CN"/>
        </w:rPr>
        <w:t>个</w:t>
      </w:r>
      <w:proofErr w:type="gramEnd"/>
      <w:r>
        <w:rPr>
          <w:lang w:eastAsia="zh-CN"/>
        </w:rPr>
        <w:t>，未发现重复</w:t>
      </w:r>
      <w:r>
        <w:rPr>
          <w:lang w:eastAsia="zh-CN"/>
        </w:rPr>
        <w:t xml:space="preserve"> </w:t>
      </w:r>
      <w:proofErr w:type="spellStart"/>
      <w:r>
        <w:rPr>
          <w:lang w:eastAsia="zh-CN"/>
        </w:rPr>
        <w:t>caseid</w:t>
      </w:r>
      <w:proofErr w:type="spellEnd"/>
      <w:r>
        <w:rPr>
          <w:lang w:eastAsia="zh-CN"/>
        </w:rPr>
        <w:t>。</w:t>
      </w:r>
      <w:proofErr w:type="gramStart"/>
      <w:r>
        <w:rPr>
          <w:lang w:eastAsia="zh-CN"/>
        </w:rPr>
        <w:t>主分析按唑吡坦报告</w:t>
      </w:r>
      <w:proofErr w:type="gramEnd"/>
      <w:r>
        <w:rPr>
          <w:lang w:eastAsia="zh-CN"/>
        </w:rPr>
        <w:t>和严格跌倒结局</w:t>
      </w:r>
      <w:proofErr w:type="gramStart"/>
      <w:r>
        <w:rPr>
          <w:lang w:eastAsia="zh-CN"/>
        </w:rPr>
        <w:t>构建四</w:t>
      </w:r>
      <w:proofErr w:type="gramEnd"/>
      <w:r>
        <w:rPr>
          <w:lang w:eastAsia="zh-CN"/>
        </w:rPr>
        <w:t>格表，纳入病例</w:t>
      </w:r>
      <w:r>
        <w:rPr>
          <w:lang w:eastAsia="zh-CN"/>
        </w:rPr>
        <w:t xml:space="preserve"> 4 154 673 </w:t>
      </w:r>
      <w:r>
        <w:rPr>
          <w:lang w:eastAsia="zh-CN"/>
        </w:rPr>
        <w:t>例，研究流程见图</w:t>
      </w:r>
      <w:r>
        <w:rPr>
          <w:lang w:eastAsia="zh-CN"/>
        </w:rPr>
        <w:t xml:space="preserve"> 1</w:t>
      </w:r>
      <w:r>
        <w:rPr>
          <w:lang w:eastAsia="zh-CN"/>
        </w:rPr>
        <w:t>。不同分析模块因变量构建和排除规则不同，纳入病例数略有差异。</w:t>
      </w:r>
      <w:proofErr w:type="gramStart"/>
      <w:r>
        <w:rPr>
          <w:lang w:eastAsia="zh-CN"/>
        </w:rPr>
        <w:t>主分析</w:t>
      </w:r>
      <w:proofErr w:type="gramEnd"/>
      <w:r>
        <w:rPr>
          <w:lang w:eastAsia="zh-CN"/>
        </w:rPr>
        <w:t>采用</w:t>
      </w:r>
      <w:r>
        <w:rPr>
          <w:lang w:eastAsia="zh-CN"/>
        </w:rPr>
        <w:t xml:space="preserve"> PS+SS </w:t>
      </w:r>
      <w:r>
        <w:rPr>
          <w:lang w:eastAsia="zh-CN"/>
        </w:rPr>
        <w:t>口径，</w:t>
      </w:r>
      <w:proofErr w:type="gramStart"/>
      <w:r>
        <w:rPr>
          <w:lang w:eastAsia="zh-CN"/>
        </w:rPr>
        <w:t>唑吡坦相关</w:t>
      </w:r>
      <w:proofErr w:type="gramEnd"/>
      <w:r>
        <w:rPr>
          <w:lang w:eastAsia="zh-CN"/>
        </w:rPr>
        <w:t>报告为</w:t>
      </w:r>
      <w:r>
        <w:rPr>
          <w:lang w:eastAsia="zh-CN"/>
        </w:rPr>
        <w:t xml:space="preserve"> 7 798 </w:t>
      </w:r>
      <w:r>
        <w:rPr>
          <w:lang w:eastAsia="zh-CN"/>
        </w:rPr>
        <w:t>例，其中发生严格跌倒事件</w:t>
      </w:r>
      <w:r>
        <w:rPr>
          <w:lang w:eastAsia="zh-CN"/>
        </w:rPr>
        <w:t xml:space="preserve"> 1 058 </w:t>
      </w:r>
      <w:r>
        <w:rPr>
          <w:lang w:eastAsia="zh-CN"/>
        </w:rPr>
        <w:t>例，</w:t>
      </w:r>
      <w:proofErr w:type="gramStart"/>
      <w:r>
        <w:rPr>
          <w:lang w:eastAsia="zh-CN"/>
        </w:rPr>
        <w:t>唑吡坦报告组跌倒</w:t>
      </w:r>
      <w:proofErr w:type="gramEnd"/>
      <w:r>
        <w:rPr>
          <w:lang w:eastAsia="zh-CN"/>
        </w:rPr>
        <w:t>报告占比为</w:t>
      </w:r>
      <w:r>
        <w:rPr>
          <w:lang w:eastAsia="zh-CN"/>
        </w:rPr>
        <w:t xml:space="preserve"> 13.57%</w:t>
      </w:r>
      <w:r>
        <w:rPr>
          <w:lang w:eastAsia="zh-CN"/>
        </w:rPr>
        <w:t>；非</w:t>
      </w:r>
      <w:proofErr w:type="gramStart"/>
      <w:r>
        <w:rPr>
          <w:lang w:eastAsia="zh-CN"/>
        </w:rPr>
        <w:t>唑吡坦报告组跌倒</w:t>
      </w:r>
      <w:proofErr w:type="gramEnd"/>
      <w:r>
        <w:rPr>
          <w:lang w:eastAsia="zh-CN"/>
        </w:rPr>
        <w:t>事件</w:t>
      </w:r>
      <w:r>
        <w:rPr>
          <w:lang w:eastAsia="zh-CN"/>
        </w:rPr>
        <w:t xml:space="preserve"> 131 398 </w:t>
      </w:r>
      <w:r>
        <w:rPr>
          <w:lang w:eastAsia="zh-CN"/>
        </w:rPr>
        <w:t>例，跌倒报告占比为</w:t>
      </w:r>
      <w:r>
        <w:rPr>
          <w:lang w:eastAsia="zh-CN"/>
        </w:rPr>
        <w:t xml:space="preserve"> 3.17%</w:t>
      </w:r>
      <w:r>
        <w:rPr>
          <w:lang w:eastAsia="zh-CN"/>
        </w:rPr>
        <w:t>。</w:t>
      </w:r>
    </w:p>
    <w:p w14:paraId="0C2E2E1F" w14:textId="77777777" w:rsidR="0092061E" w:rsidRDefault="00817EEB">
      <w:pPr>
        <w:jc w:val="center"/>
      </w:pPr>
      <w:r>
        <w:rPr>
          <w:noProof/>
        </w:rPr>
        <w:drawing>
          <wp:inline distT="0" distB="0" distL="0" distR="0" wp14:anchorId="4356BA95" wp14:editId="7140CA01">
            <wp:extent cx="2861999" cy="19981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tudy_flow.jpg"/>
                    <pic:cNvPicPr/>
                  </pic:nvPicPr>
                  <pic:blipFill>
                    <a:blip r:embed="rId9"/>
                    <a:stretch>
                      <a:fillRect/>
                    </a:stretch>
                  </pic:blipFill>
                  <pic:spPr>
                    <a:xfrm>
                      <a:off x="0" y="0"/>
                      <a:ext cx="2861999" cy="1998196"/>
                    </a:xfrm>
                    <a:prstGeom prst="rect">
                      <a:avLst/>
                    </a:prstGeom>
                  </pic:spPr>
                </pic:pic>
              </a:graphicData>
            </a:graphic>
          </wp:inline>
        </w:drawing>
      </w:r>
    </w:p>
    <w:p w14:paraId="62AC1182" w14:textId="77777777" w:rsidR="0092061E" w:rsidRDefault="00817EEB">
      <w:pPr>
        <w:spacing w:before="60" w:after="80" w:line="264" w:lineRule="auto"/>
        <w:jc w:val="center"/>
      </w:pPr>
      <w:r>
        <w:rPr>
          <w:rFonts w:eastAsia="黑体"/>
          <w:sz w:val="15"/>
        </w:rPr>
        <w:t>图</w:t>
      </w:r>
      <w:r>
        <w:rPr>
          <w:rFonts w:eastAsia="黑体"/>
          <w:sz w:val="15"/>
        </w:rPr>
        <w:t xml:space="preserve"> 1 </w:t>
      </w:r>
      <w:proofErr w:type="spellStart"/>
      <w:r>
        <w:rPr>
          <w:rFonts w:eastAsia="黑体"/>
          <w:sz w:val="15"/>
        </w:rPr>
        <w:t>研究对象筛选和分析流程</w:t>
      </w:r>
      <w:proofErr w:type="spellEnd"/>
      <w:r>
        <w:rPr>
          <w:rFonts w:eastAsia="黑体"/>
          <w:sz w:val="15"/>
        </w:rPr>
        <w:br/>
        <w:t>Figure 1 Flowchart of study population selection and analysis</w:t>
      </w:r>
    </w:p>
    <w:p w14:paraId="7E28958B" w14:textId="77777777" w:rsidR="0092061E" w:rsidRDefault="00817EEB">
      <w:pPr>
        <w:keepNext/>
        <w:spacing w:before="60" w:after="40" w:line="264" w:lineRule="auto"/>
      </w:pPr>
      <w:r>
        <w:rPr>
          <w:rFonts w:eastAsia="楷体"/>
          <w:b/>
          <w:sz w:val="18"/>
        </w:rPr>
        <w:t xml:space="preserve">3.2 </w:t>
      </w:r>
      <w:proofErr w:type="spellStart"/>
      <w:r>
        <w:rPr>
          <w:rFonts w:eastAsia="楷体"/>
          <w:b/>
          <w:sz w:val="18"/>
        </w:rPr>
        <w:t>唑吡坦相关跌倒事件主信号分析</w:t>
      </w:r>
      <w:proofErr w:type="spellEnd"/>
    </w:p>
    <w:p w14:paraId="75FDF638" w14:textId="77777777" w:rsidR="0092061E" w:rsidRDefault="00817EEB">
      <w:pPr>
        <w:ind w:firstLine="420"/>
        <w:rPr>
          <w:lang w:eastAsia="zh-CN"/>
        </w:rPr>
      </w:pPr>
      <w:proofErr w:type="spellStart"/>
      <w:r>
        <w:t>主分析显示，唑吡坦报告组中的跌倒事件报告占比明显高于非唑吡坦报告组。</w:t>
      </w:r>
      <w:r>
        <w:t>ROR</w:t>
      </w:r>
      <w:proofErr w:type="spellEnd"/>
      <w:r>
        <w:t xml:space="preserve"> </w:t>
      </w:r>
      <w:r>
        <w:t>为</w:t>
      </w:r>
      <w:r>
        <w:t xml:space="preserve"> 4.80</w:t>
      </w:r>
      <w:r>
        <w:t>（</w:t>
      </w:r>
      <w:r>
        <w:t>95%CI</w:t>
      </w:r>
      <w:r>
        <w:t>：</w:t>
      </w:r>
      <w:r>
        <w:t>4.49</w:t>
      </w:r>
      <w:r>
        <w:t>～</w:t>
      </w:r>
      <w:r>
        <w:t>5.12</w:t>
      </w:r>
      <w:r>
        <w:t>），</w:t>
      </w:r>
      <w:r>
        <w:t xml:space="preserve">PRR </w:t>
      </w:r>
      <w:r>
        <w:t>为</w:t>
      </w:r>
      <w:r>
        <w:t xml:space="preserve"> 4.28</w:t>
      </w:r>
      <w:r>
        <w:t>（</w:t>
      </w:r>
      <w:r>
        <w:t>95%CI</w:t>
      </w:r>
      <w:r>
        <w:t>：</w:t>
      </w:r>
      <w:r>
        <w:t>4.05</w:t>
      </w:r>
      <w:r>
        <w:t>～</w:t>
      </w:r>
      <w:r>
        <w:t>4.53</w:t>
      </w:r>
      <w:r>
        <w:t>），</w:t>
      </w:r>
      <w:r>
        <w:t xml:space="preserve">IC </w:t>
      </w:r>
      <w:r>
        <w:t>为</w:t>
      </w:r>
      <w:r>
        <w:t xml:space="preserve"> 2.09</w:t>
      </w:r>
      <w:r>
        <w:t>（</w:t>
      </w:r>
      <w:r>
        <w:t xml:space="preserve">IC025 </w:t>
      </w:r>
      <w:r>
        <w:t>为</w:t>
      </w:r>
      <w:r>
        <w:t xml:space="preserve"> 2.00</w:t>
      </w:r>
      <w:r>
        <w:t>），</w:t>
      </w:r>
      <w:r>
        <w:t xml:space="preserve">EBGM </w:t>
      </w:r>
      <w:r>
        <w:t>为</w:t>
      </w:r>
      <w:r>
        <w:t xml:space="preserve"> 4.24</w:t>
      </w:r>
      <w:r>
        <w:t>（</w:t>
      </w:r>
      <w:r>
        <w:t xml:space="preserve">EB05 </w:t>
      </w:r>
      <w:r>
        <w:t>为</w:t>
      </w:r>
      <w:r>
        <w:t xml:space="preserve"> 4.03</w:t>
      </w:r>
      <w:r>
        <w:t>）。</w:t>
      </w:r>
      <w:r>
        <w:rPr>
          <w:lang w:eastAsia="zh-CN"/>
        </w:rPr>
        <w:t>ROR</w:t>
      </w:r>
      <w:r>
        <w:rPr>
          <w:lang w:eastAsia="zh-CN"/>
        </w:rPr>
        <w:t>、</w:t>
      </w:r>
      <w:r>
        <w:rPr>
          <w:lang w:eastAsia="zh-CN"/>
        </w:rPr>
        <w:t>PRR</w:t>
      </w:r>
      <w:r>
        <w:rPr>
          <w:lang w:eastAsia="zh-CN"/>
        </w:rPr>
        <w:t>、</w:t>
      </w:r>
      <w:r>
        <w:rPr>
          <w:lang w:eastAsia="zh-CN"/>
        </w:rPr>
        <w:t xml:space="preserve">IC </w:t>
      </w:r>
      <w:r>
        <w:rPr>
          <w:lang w:eastAsia="zh-CN"/>
        </w:rPr>
        <w:t>和</w:t>
      </w:r>
      <w:r>
        <w:rPr>
          <w:lang w:eastAsia="zh-CN"/>
        </w:rPr>
        <w:t xml:space="preserve"> EBGM </w:t>
      </w:r>
      <w:r>
        <w:rPr>
          <w:lang w:eastAsia="zh-CN"/>
        </w:rPr>
        <w:t>均达到阳性信号标准，且满足稳定性要求，提示唑吡坦相关老年跌倒事件在</w:t>
      </w:r>
      <w:r>
        <w:rPr>
          <w:lang w:eastAsia="zh-CN"/>
        </w:rPr>
        <w:t xml:space="preserve"> FAERS </w:t>
      </w:r>
      <w:r>
        <w:rPr>
          <w:lang w:eastAsia="zh-CN"/>
        </w:rPr>
        <w:t>中存在稳定报告信号。</w:t>
      </w:r>
    </w:p>
    <w:p w14:paraId="2ADBC4F2" w14:textId="77777777" w:rsidR="0092061E" w:rsidRDefault="00817EEB">
      <w:pPr>
        <w:spacing w:before="60" w:after="80" w:line="264" w:lineRule="auto"/>
        <w:jc w:val="center"/>
      </w:pPr>
      <w:r>
        <w:rPr>
          <w:rFonts w:eastAsia="黑体"/>
          <w:sz w:val="15"/>
        </w:rPr>
        <w:t>表</w:t>
      </w:r>
      <w:r>
        <w:rPr>
          <w:rFonts w:eastAsia="黑体"/>
          <w:sz w:val="15"/>
        </w:rPr>
        <w:t xml:space="preserve"> 1 </w:t>
      </w:r>
      <w:proofErr w:type="spellStart"/>
      <w:r>
        <w:rPr>
          <w:rFonts w:eastAsia="黑体"/>
          <w:sz w:val="15"/>
        </w:rPr>
        <w:t>唑吡坦相关跌倒事件主分析和敏感性分析结果</w:t>
      </w:r>
      <w:proofErr w:type="spellEnd"/>
      <w:r>
        <w:rPr>
          <w:rFonts w:eastAsia="黑体"/>
          <w:sz w:val="15"/>
        </w:rPr>
        <w:br/>
        <w:t>Table 1 Main and sensitivity analyses of zolpidem-related falls</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500"/>
        <w:gridCol w:w="500"/>
        <w:gridCol w:w="501"/>
        <w:gridCol w:w="501"/>
        <w:gridCol w:w="501"/>
        <w:gridCol w:w="501"/>
        <w:gridCol w:w="501"/>
        <w:gridCol w:w="501"/>
        <w:gridCol w:w="501"/>
      </w:tblGrid>
      <w:tr w:rsidR="0092061E" w14:paraId="2BD7E6EF" w14:textId="77777777">
        <w:trPr>
          <w:jc w:val="center"/>
        </w:trPr>
        <w:tc>
          <w:tcPr>
            <w:tcW w:w="500" w:type="dxa"/>
            <w:tcBorders>
              <w:top w:val="single" w:sz="8" w:space="0" w:color="7F7F7F"/>
              <w:left w:val="nil"/>
              <w:bottom w:val="single" w:sz="8" w:space="0" w:color="7F7F7F"/>
              <w:right w:val="nil"/>
            </w:tcBorders>
            <w:shd w:val="clear" w:color="auto" w:fill="EDEDED"/>
            <w:vAlign w:val="center"/>
          </w:tcPr>
          <w:p w14:paraId="4C1F4278" w14:textId="77777777" w:rsidR="0092061E" w:rsidRDefault="00817EEB">
            <w:pPr>
              <w:spacing w:line="240" w:lineRule="auto"/>
              <w:jc w:val="center"/>
            </w:pPr>
            <w:proofErr w:type="spellStart"/>
            <w:r>
              <w:rPr>
                <w:b/>
                <w:sz w:val="11"/>
              </w:rPr>
              <w:lastRenderedPageBreak/>
              <w:t>分析</w:t>
            </w:r>
            <w:proofErr w:type="spellEnd"/>
          </w:p>
        </w:tc>
        <w:tc>
          <w:tcPr>
            <w:tcW w:w="500" w:type="dxa"/>
            <w:tcBorders>
              <w:top w:val="single" w:sz="8" w:space="0" w:color="7F7F7F"/>
              <w:left w:val="nil"/>
              <w:bottom w:val="single" w:sz="8" w:space="0" w:color="7F7F7F"/>
              <w:right w:val="nil"/>
            </w:tcBorders>
            <w:shd w:val="clear" w:color="auto" w:fill="EDEDED"/>
            <w:vAlign w:val="center"/>
          </w:tcPr>
          <w:p w14:paraId="6645C52A" w14:textId="77777777" w:rsidR="0092061E" w:rsidRDefault="00817EEB">
            <w:pPr>
              <w:spacing w:line="240" w:lineRule="auto"/>
              <w:jc w:val="center"/>
            </w:pPr>
            <w:proofErr w:type="spellStart"/>
            <w:r>
              <w:rPr>
                <w:b/>
                <w:sz w:val="11"/>
              </w:rPr>
              <w:t>暴露定义</w:t>
            </w:r>
            <w:proofErr w:type="spellEnd"/>
          </w:p>
        </w:tc>
        <w:tc>
          <w:tcPr>
            <w:tcW w:w="500" w:type="dxa"/>
            <w:tcBorders>
              <w:top w:val="single" w:sz="8" w:space="0" w:color="7F7F7F"/>
              <w:left w:val="nil"/>
              <w:bottom w:val="single" w:sz="8" w:space="0" w:color="7F7F7F"/>
              <w:right w:val="nil"/>
            </w:tcBorders>
            <w:shd w:val="clear" w:color="auto" w:fill="EDEDED"/>
            <w:vAlign w:val="center"/>
          </w:tcPr>
          <w:p w14:paraId="1DA9D8B7" w14:textId="77777777" w:rsidR="0092061E" w:rsidRDefault="00817EEB">
            <w:pPr>
              <w:spacing w:line="240" w:lineRule="auto"/>
              <w:jc w:val="center"/>
            </w:pPr>
            <w:proofErr w:type="spellStart"/>
            <w:r>
              <w:rPr>
                <w:b/>
                <w:sz w:val="11"/>
              </w:rPr>
              <w:t>唑吡坦相关报告数</w:t>
            </w:r>
            <w:proofErr w:type="spellEnd"/>
          </w:p>
        </w:tc>
        <w:tc>
          <w:tcPr>
            <w:tcW w:w="500" w:type="dxa"/>
            <w:tcBorders>
              <w:top w:val="single" w:sz="8" w:space="0" w:color="7F7F7F"/>
              <w:left w:val="nil"/>
              <w:bottom w:val="single" w:sz="8" w:space="0" w:color="7F7F7F"/>
              <w:right w:val="nil"/>
            </w:tcBorders>
            <w:shd w:val="clear" w:color="auto" w:fill="EDEDED"/>
            <w:vAlign w:val="center"/>
          </w:tcPr>
          <w:p w14:paraId="17EBB302" w14:textId="77777777" w:rsidR="0092061E" w:rsidRDefault="00817EEB">
            <w:pPr>
              <w:spacing w:line="240" w:lineRule="auto"/>
              <w:jc w:val="center"/>
            </w:pPr>
            <w:proofErr w:type="spellStart"/>
            <w:r>
              <w:rPr>
                <w:b/>
                <w:sz w:val="11"/>
              </w:rPr>
              <w:t>跌倒报告数</w:t>
            </w:r>
            <w:proofErr w:type="spellEnd"/>
          </w:p>
        </w:tc>
        <w:tc>
          <w:tcPr>
            <w:tcW w:w="500" w:type="dxa"/>
            <w:tcBorders>
              <w:top w:val="single" w:sz="8" w:space="0" w:color="7F7F7F"/>
              <w:left w:val="nil"/>
              <w:bottom w:val="single" w:sz="8" w:space="0" w:color="7F7F7F"/>
              <w:right w:val="nil"/>
            </w:tcBorders>
            <w:shd w:val="clear" w:color="auto" w:fill="EDEDED"/>
            <w:vAlign w:val="center"/>
          </w:tcPr>
          <w:p w14:paraId="483F14FD" w14:textId="77777777" w:rsidR="0092061E" w:rsidRDefault="00817EEB">
            <w:pPr>
              <w:spacing w:line="240" w:lineRule="auto"/>
              <w:jc w:val="center"/>
            </w:pPr>
            <w:proofErr w:type="spellStart"/>
            <w:r>
              <w:rPr>
                <w:b/>
                <w:sz w:val="11"/>
              </w:rPr>
              <w:t>跌倒报告占比</w:t>
            </w:r>
            <w:proofErr w:type="spellEnd"/>
          </w:p>
        </w:tc>
        <w:tc>
          <w:tcPr>
            <w:tcW w:w="500" w:type="dxa"/>
            <w:tcBorders>
              <w:top w:val="single" w:sz="8" w:space="0" w:color="7F7F7F"/>
              <w:left w:val="nil"/>
              <w:bottom w:val="single" w:sz="8" w:space="0" w:color="7F7F7F"/>
              <w:right w:val="nil"/>
            </w:tcBorders>
            <w:shd w:val="clear" w:color="auto" w:fill="EDEDED"/>
            <w:vAlign w:val="center"/>
          </w:tcPr>
          <w:p w14:paraId="37150FC4" w14:textId="77777777" w:rsidR="0092061E" w:rsidRDefault="00817EEB">
            <w:pPr>
              <w:spacing w:line="240" w:lineRule="auto"/>
              <w:jc w:val="center"/>
            </w:pPr>
            <w:r>
              <w:rPr>
                <w:b/>
                <w:sz w:val="11"/>
              </w:rPr>
              <w:t>ROR</w:t>
            </w:r>
            <w:r>
              <w:rPr>
                <w:b/>
                <w:sz w:val="11"/>
              </w:rPr>
              <w:t>（</w:t>
            </w:r>
            <w:r>
              <w:rPr>
                <w:b/>
                <w:sz w:val="11"/>
              </w:rPr>
              <w:t>95%CI</w:t>
            </w:r>
            <w:r>
              <w:rPr>
                <w:b/>
                <w:sz w:val="11"/>
              </w:rPr>
              <w:t>）</w:t>
            </w:r>
          </w:p>
        </w:tc>
        <w:tc>
          <w:tcPr>
            <w:tcW w:w="500" w:type="dxa"/>
            <w:tcBorders>
              <w:top w:val="single" w:sz="8" w:space="0" w:color="7F7F7F"/>
              <w:left w:val="nil"/>
              <w:bottom w:val="single" w:sz="8" w:space="0" w:color="7F7F7F"/>
              <w:right w:val="nil"/>
            </w:tcBorders>
            <w:shd w:val="clear" w:color="auto" w:fill="EDEDED"/>
            <w:vAlign w:val="center"/>
          </w:tcPr>
          <w:p w14:paraId="3E0AB496" w14:textId="77777777" w:rsidR="0092061E" w:rsidRDefault="00817EEB">
            <w:pPr>
              <w:spacing w:line="240" w:lineRule="auto"/>
              <w:jc w:val="center"/>
            </w:pPr>
            <w:r>
              <w:rPr>
                <w:b/>
                <w:sz w:val="11"/>
              </w:rPr>
              <w:t>PRR</w:t>
            </w:r>
          </w:p>
        </w:tc>
        <w:tc>
          <w:tcPr>
            <w:tcW w:w="500" w:type="dxa"/>
            <w:tcBorders>
              <w:top w:val="single" w:sz="8" w:space="0" w:color="7F7F7F"/>
              <w:left w:val="nil"/>
              <w:bottom w:val="single" w:sz="8" w:space="0" w:color="7F7F7F"/>
              <w:right w:val="nil"/>
            </w:tcBorders>
            <w:shd w:val="clear" w:color="auto" w:fill="EDEDED"/>
            <w:vAlign w:val="center"/>
          </w:tcPr>
          <w:p w14:paraId="3BBEA4ED" w14:textId="77777777" w:rsidR="0092061E" w:rsidRDefault="00817EEB">
            <w:pPr>
              <w:spacing w:line="240" w:lineRule="auto"/>
              <w:jc w:val="center"/>
            </w:pPr>
            <w:r>
              <w:rPr>
                <w:b/>
                <w:sz w:val="11"/>
              </w:rPr>
              <w:t>IC</w:t>
            </w:r>
            <w:r>
              <w:rPr>
                <w:b/>
                <w:sz w:val="11"/>
              </w:rPr>
              <w:t>（</w:t>
            </w:r>
            <w:r>
              <w:rPr>
                <w:b/>
                <w:sz w:val="11"/>
              </w:rPr>
              <w:t>IC025</w:t>
            </w:r>
            <w:r>
              <w:rPr>
                <w:b/>
                <w:sz w:val="11"/>
              </w:rPr>
              <w:t>）</w:t>
            </w:r>
          </w:p>
        </w:tc>
        <w:tc>
          <w:tcPr>
            <w:tcW w:w="500" w:type="dxa"/>
            <w:tcBorders>
              <w:top w:val="single" w:sz="8" w:space="0" w:color="7F7F7F"/>
              <w:left w:val="nil"/>
              <w:bottom w:val="single" w:sz="8" w:space="0" w:color="7F7F7F"/>
              <w:right w:val="nil"/>
            </w:tcBorders>
            <w:shd w:val="clear" w:color="auto" w:fill="EDEDED"/>
            <w:vAlign w:val="center"/>
          </w:tcPr>
          <w:p w14:paraId="1BC9E80C" w14:textId="77777777" w:rsidR="0092061E" w:rsidRDefault="00817EEB">
            <w:pPr>
              <w:spacing w:line="240" w:lineRule="auto"/>
              <w:jc w:val="center"/>
            </w:pPr>
            <w:r>
              <w:rPr>
                <w:b/>
                <w:sz w:val="11"/>
              </w:rPr>
              <w:t>EBGM</w:t>
            </w:r>
            <w:r>
              <w:rPr>
                <w:b/>
                <w:sz w:val="11"/>
              </w:rPr>
              <w:t>（</w:t>
            </w:r>
            <w:r>
              <w:rPr>
                <w:b/>
                <w:sz w:val="11"/>
              </w:rPr>
              <w:t>EB05</w:t>
            </w:r>
            <w:r>
              <w:rPr>
                <w:b/>
                <w:sz w:val="11"/>
              </w:rPr>
              <w:t>）</w:t>
            </w:r>
          </w:p>
        </w:tc>
      </w:tr>
      <w:tr w:rsidR="0092061E" w14:paraId="620ED4BB" w14:textId="77777777">
        <w:trPr>
          <w:jc w:val="center"/>
        </w:trPr>
        <w:tc>
          <w:tcPr>
            <w:tcW w:w="500" w:type="dxa"/>
            <w:tcBorders>
              <w:top w:val="single" w:sz="4" w:space="0" w:color="C8C8C8"/>
              <w:left w:val="nil"/>
              <w:bottom w:val="single" w:sz="4" w:space="0" w:color="C8C8C8"/>
              <w:right w:val="nil"/>
            </w:tcBorders>
            <w:vAlign w:val="center"/>
          </w:tcPr>
          <w:p w14:paraId="14C318BF" w14:textId="77777777" w:rsidR="0092061E" w:rsidRDefault="00817EEB">
            <w:pPr>
              <w:spacing w:line="240" w:lineRule="auto"/>
              <w:jc w:val="center"/>
            </w:pPr>
            <w:proofErr w:type="spellStart"/>
            <w:r>
              <w:rPr>
                <w:sz w:val="11"/>
              </w:rPr>
              <w:t>主分析</w:t>
            </w:r>
            <w:proofErr w:type="spellEnd"/>
          </w:p>
        </w:tc>
        <w:tc>
          <w:tcPr>
            <w:tcW w:w="500" w:type="dxa"/>
            <w:tcBorders>
              <w:top w:val="single" w:sz="4" w:space="0" w:color="C8C8C8"/>
              <w:left w:val="nil"/>
              <w:bottom w:val="single" w:sz="4" w:space="0" w:color="C8C8C8"/>
              <w:right w:val="nil"/>
            </w:tcBorders>
            <w:vAlign w:val="center"/>
          </w:tcPr>
          <w:p w14:paraId="1B991A86" w14:textId="77777777" w:rsidR="0092061E" w:rsidRDefault="00817EEB">
            <w:pPr>
              <w:spacing w:line="240" w:lineRule="auto"/>
              <w:jc w:val="center"/>
            </w:pPr>
            <w:r>
              <w:rPr>
                <w:sz w:val="11"/>
              </w:rPr>
              <w:t>PS+SS</w:t>
            </w:r>
          </w:p>
        </w:tc>
        <w:tc>
          <w:tcPr>
            <w:tcW w:w="500" w:type="dxa"/>
            <w:tcBorders>
              <w:top w:val="single" w:sz="4" w:space="0" w:color="C8C8C8"/>
              <w:left w:val="nil"/>
              <w:bottom w:val="single" w:sz="4" w:space="0" w:color="C8C8C8"/>
              <w:right w:val="nil"/>
            </w:tcBorders>
            <w:vAlign w:val="center"/>
          </w:tcPr>
          <w:p w14:paraId="5B9B56ED" w14:textId="77777777" w:rsidR="0092061E" w:rsidRDefault="00817EEB">
            <w:pPr>
              <w:spacing w:line="240" w:lineRule="auto"/>
              <w:jc w:val="center"/>
            </w:pPr>
            <w:r>
              <w:rPr>
                <w:sz w:val="11"/>
              </w:rPr>
              <w:t>7 798</w:t>
            </w:r>
          </w:p>
        </w:tc>
        <w:tc>
          <w:tcPr>
            <w:tcW w:w="500" w:type="dxa"/>
            <w:tcBorders>
              <w:top w:val="single" w:sz="4" w:space="0" w:color="C8C8C8"/>
              <w:left w:val="nil"/>
              <w:bottom w:val="single" w:sz="4" w:space="0" w:color="C8C8C8"/>
              <w:right w:val="nil"/>
            </w:tcBorders>
            <w:vAlign w:val="center"/>
          </w:tcPr>
          <w:p w14:paraId="7162B08A" w14:textId="77777777" w:rsidR="0092061E" w:rsidRDefault="00817EEB">
            <w:pPr>
              <w:spacing w:line="240" w:lineRule="auto"/>
              <w:jc w:val="center"/>
            </w:pPr>
            <w:r>
              <w:rPr>
                <w:sz w:val="11"/>
              </w:rPr>
              <w:t>1 058</w:t>
            </w:r>
          </w:p>
        </w:tc>
        <w:tc>
          <w:tcPr>
            <w:tcW w:w="500" w:type="dxa"/>
            <w:tcBorders>
              <w:top w:val="single" w:sz="4" w:space="0" w:color="C8C8C8"/>
              <w:left w:val="nil"/>
              <w:bottom w:val="single" w:sz="4" w:space="0" w:color="C8C8C8"/>
              <w:right w:val="nil"/>
            </w:tcBorders>
            <w:vAlign w:val="center"/>
          </w:tcPr>
          <w:p w14:paraId="721B944B" w14:textId="77777777" w:rsidR="0092061E" w:rsidRDefault="00817EEB">
            <w:pPr>
              <w:spacing w:line="240" w:lineRule="auto"/>
              <w:jc w:val="center"/>
            </w:pPr>
            <w:r>
              <w:rPr>
                <w:sz w:val="11"/>
              </w:rPr>
              <w:t>13.57%</w:t>
            </w:r>
          </w:p>
        </w:tc>
        <w:tc>
          <w:tcPr>
            <w:tcW w:w="500" w:type="dxa"/>
            <w:tcBorders>
              <w:top w:val="single" w:sz="4" w:space="0" w:color="C8C8C8"/>
              <w:left w:val="nil"/>
              <w:bottom w:val="single" w:sz="4" w:space="0" w:color="C8C8C8"/>
              <w:right w:val="nil"/>
            </w:tcBorders>
            <w:vAlign w:val="center"/>
          </w:tcPr>
          <w:p w14:paraId="2714EC52" w14:textId="77777777" w:rsidR="0092061E" w:rsidRDefault="00817EEB">
            <w:pPr>
              <w:spacing w:line="240" w:lineRule="auto"/>
              <w:jc w:val="center"/>
            </w:pPr>
            <w:r>
              <w:rPr>
                <w:sz w:val="11"/>
              </w:rPr>
              <w:t>4.80</w:t>
            </w:r>
            <w:r>
              <w:rPr>
                <w:sz w:val="11"/>
              </w:rPr>
              <w:t>（</w:t>
            </w:r>
            <w:r>
              <w:rPr>
                <w:sz w:val="11"/>
              </w:rPr>
              <w:t>4.49</w:t>
            </w:r>
            <w:r>
              <w:rPr>
                <w:sz w:val="11"/>
              </w:rPr>
              <w:t>～</w:t>
            </w:r>
            <w:r>
              <w:rPr>
                <w:sz w:val="11"/>
              </w:rPr>
              <w:t>5.12</w:t>
            </w:r>
            <w:r>
              <w:rPr>
                <w:sz w:val="11"/>
              </w:rPr>
              <w:t>）</w:t>
            </w:r>
          </w:p>
        </w:tc>
        <w:tc>
          <w:tcPr>
            <w:tcW w:w="500" w:type="dxa"/>
            <w:tcBorders>
              <w:top w:val="single" w:sz="4" w:space="0" w:color="C8C8C8"/>
              <w:left w:val="nil"/>
              <w:bottom w:val="single" w:sz="4" w:space="0" w:color="C8C8C8"/>
              <w:right w:val="nil"/>
            </w:tcBorders>
            <w:vAlign w:val="center"/>
          </w:tcPr>
          <w:p w14:paraId="68BACEFE" w14:textId="77777777" w:rsidR="0092061E" w:rsidRDefault="00817EEB">
            <w:pPr>
              <w:spacing w:line="240" w:lineRule="auto"/>
              <w:jc w:val="center"/>
            </w:pPr>
            <w:r>
              <w:rPr>
                <w:sz w:val="11"/>
              </w:rPr>
              <w:t>4.28</w:t>
            </w:r>
          </w:p>
        </w:tc>
        <w:tc>
          <w:tcPr>
            <w:tcW w:w="500" w:type="dxa"/>
            <w:tcBorders>
              <w:top w:val="single" w:sz="4" w:space="0" w:color="C8C8C8"/>
              <w:left w:val="nil"/>
              <w:bottom w:val="single" w:sz="4" w:space="0" w:color="C8C8C8"/>
              <w:right w:val="nil"/>
            </w:tcBorders>
            <w:vAlign w:val="center"/>
          </w:tcPr>
          <w:p w14:paraId="61A3D1DE" w14:textId="77777777" w:rsidR="0092061E" w:rsidRDefault="00817EEB">
            <w:pPr>
              <w:spacing w:line="240" w:lineRule="auto"/>
              <w:jc w:val="center"/>
            </w:pPr>
            <w:r>
              <w:rPr>
                <w:sz w:val="11"/>
              </w:rPr>
              <w:t>2.09</w:t>
            </w:r>
            <w:r>
              <w:rPr>
                <w:sz w:val="11"/>
              </w:rPr>
              <w:t>（</w:t>
            </w:r>
            <w:r>
              <w:rPr>
                <w:sz w:val="11"/>
              </w:rPr>
              <w:t>2.00</w:t>
            </w:r>
            <w:r>
              <w:rPr>
                <w:sz w:val="11"/>
              </w:rPr>
              <w:t>）</w:t>
            </w:r>
          </w:p>
        </w:tc>
        <w:tc>
          <w:tcPr>
            <w:tcW w:w="500" w:type="dxa"/>
            <w:tcBorders>
              <w:top w:val="single" w:sz="4" w:space="0" w:color="C8C8C8"/>
              <w:left w:val="nil"/>
              <w:bottom w:val="single" w:sz="4" w:space="0" w:color="C8C8C8"/>
              <w:right w:val="nil"/>
            </w:tcBorders>
            <w:vAlign w:val="center"/>
          </w:tcPr>
          <w:p w14:paraId="64B72B8E" w14:textId="77777777" w:rsidR="0092061E" w:rsidRDefault="00817EEB">
            <w:pPr>
              <w:spacing w:line="240" w:lineRule="auto"/>
              <w:jc w:val="center"/>
            </w:pPr>
            <w:r>
              <w:rPr>
                <w:sz w:val="11"/>
              </w:rPr>
              <w:t>4.24</w:t>
            </w:r>
            <w:r>
              <w:rPr>
                <w:sz w:val="11"/>
              </w:rPr>
              <w:t>（</w:t>
            </w:r>
            <w:r>
              <w:rPr>
                <w:sz w:val="11"/>
              </w:rPr>
              <w:t>4.03</w:t>
            </w:r>
            <w:r>
              <w:rPr>
                <w:sz w:val="11"/>
              </w:rPr>
              <w:t>）</w:t>
            </w:r>
          </w:p>
        </w:tc>
      </w:tr>
      <w:tr w:rsidR="0092061E" w14:paraId="51376D18" w14:textId="77777777">
        <w:trPr>
          <w:jc w:val="center"/>
        </w:trPr>
        <w:tc>
          <w:tcPr>
            <w:tcW w:w="500" w:type="dxa"/>
            <w:tcBorders>
              <w:top w:val="single" w:sz="4" w:space="0" w:color="C8C8C8"/>
              <w:left w:val="nil"/>
              <w:bottom w:val="single" w:sz="4" w:space="0" w:color="C8C8C8"/>
              <w:right w:val="nil"/>
            </w:tcBorders>
            <w:vAlign w:val="center"/>
          </w:tcPr>
          <w:p w14:paraId="6E03E438" w14:textId="77777777" w:rsidR="0092061E" w:rsidRDefault="00817EEB">
            <w:pPr>
              <w:spacing w:line="240" w:lineRule="auto"/>
              <w:jc w:val="center"/>
            </w:pPr>
            <w:proofErr w:type="spellStart"/>
            <w:r>
              <w:rPr>
                <w:sz w:val="11"/>
              </w:rPr>
              <w:t>敏感性分析</w:t>
            </w:r>
            <w:proofErr w:type="spellEnd"/>
          </w:p>
        </w:tc>
        <w:tc>
          <w:tcPr>
            <w:tcW w:w="500" w:type="dxa"/>
            <w:tcBorders>
              <w:top w:val="single" w:sz="4" w:space="0" w:color="C8C8C8"/>
              <w:left w:val="nil"/>
              <w:bottom w:val="single" w:sz="4" w:space="0" w:color="C8C8C8"/>
              <w:right w:val="nil"/>
            </w:tcBorders>
            <w:vAlign w:val="center"/>
          </w:tcPr>
          <w:p w14:paraId="265733D4" w14:textId="77777777" w:rsidR="0092061E" w:rsidRDefault="00817EEB">
            <w:pPr>
              <w:spacing w:line="240" w:lineRule="auto"/>
              <w:jc w:val="center"/>
            </w:pPr>
            <w:r>
              <w:rPr>
                <w:sz w:val="11"/>
              </w:rPr>
              <w:t>PS only</w:t>
            </w:r>
          </w:p>
        </w:tc>
        <w:tc>
          <w:tcPr>
            <w:tcW w:w="500" w:type="dxa"/>
            <w:tcBorders>
              <w:top w:val="single" w:sz="4" w:space="0" w:color="C8C8C8"/>
              <w:left w:val="nil"/>
              <w:bottom w:val="single" w:sz="4" w:space="0" w:color="C8C8C8"/>
              <w:right w:val="nil"/>
            </w:tcBorders>
            <w:vAlign w:val="center"/>
          </w:tcPr>
          <w:p w14:paraId="7A6C0CAD" w14:textId="77777777" w:rsidR="0092061E" w:rsidRDefault="00817EEB">
            <w:pPr>
              <w:spacing w:line="240" w:lineRule="auto"/>
              <w:jc w:val="center"/>
            </w:pPr>
            <w:r>
              <w:rPr>
                <w:sz w:val="11"/>
              </w:rPr>
              <w:t>4 314</w:t>
            </w:r>
          </w:p>
        </w:tc>
        <w:tc>
          <w:tcPr>
            <w:tcW w:w="500" w:type="dxa"/>
            <w:tcBorders>
              <w:top w:val="single" w:sz="4" w:space="0" w:color="C8C8C8"/>
              <w:left w:val="nil"/>
              <w:bottom w:val="single" w:sz="4" w:space="0" w:color="C8C8C8"/>
              <w:right w:val="nil"/>
            </w:tcBorders>
            <w:vAlign w:val="center"/>
          </w:tcPr>
          <w:p w14:paraId="1E2F3FB0" w14:textId="77777777" w:rsidR="0092061E" w:rsidRDefault="00817EEB">
            <w:pPr>
              <w:spacing w:line="240" w:lineRule="auto"/>
              <w:jc w:val="center"/>
            </w:pPr>
            <w:r>
              <w:rPr>
                <w:sz w:val="11"/>
              </w:rPr>
              <w:t>474</w:t>
            </w:r>
          </w:p>
        </w:tc>
        <w:tc>
          <w:tcPr>
            <w:tcW w:w="500" w:type="dxa"/>
            <w:tcBorders>
              <w:top w:val="single" w:sz="4" w:space="0" w:color="C8C8C8"/>
              <w:left w:val="nil"/>
              <w:bottom w:val="single" w:sz="4" w:space="0" w:color="C8C8C8"/>
              <w:right w:val="nil"/>
            </w:tcBorders>
            <w:vAlign w:val="center"/>
          </w:tcPr>
          <w:p w14:paraId="15AAF9B7" w14:textId="77777777" w:rsidR="0092061E" w:rsidRDefault="00817EEB">
            <w:pPr>
              <w:spacing w:line="240" w:lineRule="auto"/>
              <w:jc w:val="center"/>
            </w:pPr>
            <w:r>
              <w:rPr>
                <w:sz w:val="11"/>
              </w:rPr>
              <w:t>10.99%</w:t>
            </w:r>
          </w:p>
        </w:tc>
        <w:tc>
          <w:tcPr>
            <w:tcW w:w="500" w:type="dxa"/>
            <w:tcBorders>
              <w:top w:val="single" w:sz="4" w:space="0" w:color="C8C8C8"/>
              <w:left w:val="nil"/>
              <w:bottom w:val="single" w:sz="4" w:space="0" w:color="C8C8C8"/>
              <w:right w:val="nil"/>
            </w:tcBorders>
            <w:vAlign w:val="center"/>
          </w:tcPr>
          <w:p w14:paraId="5B3A8C7D" w14:textId="77777777" w:rsidR="0092061E" w:rsidRDefault="00817EEB">
            <w:pPr>
              <w:spacing w:line="240" w:lineRule="auto"/>
              <w:jc w:val="center"/>
            </w:pPr>
            <w:r>
              <w:rPr>
                <w:sz w:val="11"/>
              </w:rPr>
              <w:t>3.76</w:t>
            </w:r>
            <w:r>
              <w:rPr>
                <w:sz w:val="11"/>
              </w:rPr>
              <w:t>（</w:t>
            </w:r>
            <w:r>
              <w:rPr>
                <w:sz w:val="11"/>
              </w:rPr>
              <w:t>3.42</w:t>
            </w:r>
            <w:r>
              <w:rPr>
                <w:sz w:val="11"/>
              </w:rPr>
              <w:t>～</w:t>
            </w:r>
            <w:r>
              <w:rPr>
                <w:sz w:val="11"/>
              </w:rPr>
              <w:t>4.13</w:t>
            </w:r>
            <w:r>
              <w:rPr>
                <w:sz w:val="11"/>
              </w:rPr>
              <w:t>）</w:t>
            </w:r>
          </w:p>
        </w:tc>
        <w:tc>
          <w:tcPr>
            <w:tcW w:w="500" w:type="dxa"/>
            <w:tcBorders>
              <w:top w:val="single" w:sz="4" w:space="0" w:color="C8C8C8"/>
              <w:left w:val="nil"/>
              <w:bottom w:val="single" w:sz="4" w:space="0" w:color="C8C8C8"/>
              <w:right w:val="nil"/>
            </w:tcBorders>
            <w:vAlign w:val="center"/>
          </w:tcPr>
          <w:p w14:paraId="702C7B49" w14:textId="77777777" w:rsidR="0092061E" w:rsidRDefault="00817EEB">
            <w:pPr>
              <w:spacing w:line="240" w:lineRule="auto"/>
              <w:jc w:val="center"/>
            </w:pPr>
            <w:r>
              <w:rPr>
                <w:sz w:val="11"/>
              </w:rPr>
              <w:t>3.45</w:t>
            </w:r>
          </w:p>
        </w:tc>
        <w:tc>
          <w:tcPr>
            <w:tcW w:w="500" w:type="dxa"/>
            <w:tcBorders>
              <w:top w:val="single" w:sz="4" w:space="0" w:color="C8C8C8"/>
              <w:left w:val="nil"/>
              <w:bottom w:val="single" w:sz="4" w:space="0" w:color="C8C8C8"/>
              <w:right w:val="nil"/>
            </w:tcBorders>
            <w:vAlign w:val="center"/>
          </w:tcPr>
          <w:p w14:paraId="7582A497" w14:textId="77777777" w:rsidR="0092061E" w:rsidRDefault="00817EEB">
            <w:pPr>
              <w:spacing w:line="240" w:lineRule="auto"/>
              <w:jc w:val="center"/>
            </w:pPr>
            <w:r>
              <w:rPr>
                <w:sz w:val="11"/>
              </w:rPr>
              <w:t>1.78</w:t>
            </w:r>
            <w:r>
              <w:rPr>
                <w:sz w:val="11"/>
              </w:rPr>
              <w:t>（</w:t>
            </w:r>
            <w:r>
              <w:rPr>
                <w:sz w:val="11"/>
              </w:rPr>
              <w:t>1.65</w:t>
            </w:r>
            <w:r>
              <w:rPr>
                <w:sz w:val="11"/>
              </w:rPr>
              <w:t>）</w:t>
            </w:r>
          </w:p>
        </w:tc>
        <w:tc>
          <w:tcPr>
            <w:tcW w:w="500" w:type="dxa"/>
            <w:tcBorders>
              <w:top w:val="single" w:sz="4" w:space="0" w:color="C8C8C8"/>
              <w:left w:val="nil"/>
              <w:bottom w:val="single" w:sz="4" w:space="0" w:color="C8C8C8"/>
              <w:right w:val="nil"/>
            </w:tcBorders>
            <w:vAlign w:val="center"/>
          </w:tcPr>
          <w:p w14:paraId="2FF12579" w14:textId="77777777" w:rsidR="0092061E" w:rsidRDefault="00817EEB">
            <w:pPr>
              <w:spacing w:line="240" w:lineRule="auto"/>
              <w:jc w:val="center"/>
            </w:pPr>
            <w:r>
              <w:rPr>
                <w:sz w:val="11"/>
              </w:rPr>
              <w:t>3.42</w:t>
            </w:r>
            <w:r>
              <w:rPr>
                <w:sz w:val="11"/>
              </w:rPr>
              <w:t>（</w:t>
            </w:r>
            <w:r>
              <w:rPr>
                <w:sz w:val="11"/>
              </w:rPr>
              <w:t>3.17</w:t>
            </w:r>
            <w:r>
              <w:rPr>
                <w:sz w:val="11"/>
              </w:rPr>
              <w:t>）</w:t>
            </w:r>
          </w:p>
        </w:tc>
      </w:tr>
    </w:tbl>
    <w:p w14:paraId="56611F43" w14:textId="77777777" w:rsidR="0092061E" w:rsidRDefault="0092061E"/>
    <w:p w14:paraId="66F93C9B" w14:textId="77777777" w:rsidR="0092061E" w:rsidRDefault="00817EEB">
      <w:pPr>
        <w:keepNext/>
        <w:spacing w:before="60" w:after="40" w:line="264" w:lineRule="auto"/>
      </w:pPr>
      <w:r>
        <w:rPr>
          <w:rFonts w:eastAsia="楷体"/>
          <w:b/>
          <w:sz w:val="18"/>
        </w:rPr>
        <w:t xml:space="preserve">3.3 </w:t>
      </w:r>
      <w:proofErr w:type="spellStart"/>
      <w:r>
        <w:rPr>
          <w:rFonts w:eastAsia="楷体"/>
          <w:b/>
          <w:sz w:val="18"/>
        </w:rPr>
        <w:t>调整后分析</w:t>
      </w:r>
      <w:proofErr w:type="spellEnd"/>
    </w:p>
    <w:p w14:paraId="0296FC66" w14:textId="77777777" w:rsidR="0092061E" w:rsidRDefault="00817EEB">
      <w:pPr>
        <w:ind w:firstLine="420"/>
        <w:rPr>
          <w:lang w:eastAsia="zh-CN"/>
        </w:rPr>
      </w:pPr>
      <w:r>
        <w:rPr>
          <w:lang w:eastAsia="zh-CN"/>
        </w:rPr>
        <w:t>在核心临床调整模型中，</w:t>
      </w:r>
      <w:proofErr w:type="gramStart"/>
      <w:r>
        <w:rPr>
          <w:lang w:eastAsia="zh-CN"/>
        </w:rPr>
        <w:t>唑吡</w:t>
      </w:r>
      <w:proofErr w:type="gramEnd"/>
      <w:r>
        <w:rPr>
          <w:lang w:eastAsia="zh-CN"/>
        </w:rPr>
        <w:t>坦与跌倒事件仍呈显著报告关联，调整后</w:t>
      </w:r>
      <w:r>
        <w:rPr>
          <w:lang w:eastAsia="zh-CN"/>
        </w:rPr>
        <w:t xml:space="preserve"> ROR </w:t>
      </w:r>
      <w:r>
        <w:rPr>
          <w:lang w:eastAsia="zh-CN"/>
        </w:rPr>
        <w:t>为</w:t>
      </w:r>
      <w:r>
        <w:rPr>
          <w:lang w:eastAsia="zh-CN"/>
        </w:rPr>
        <w:t xml:space="preserve"> 3.28</w:t>
      </w:r>
      <w:r>
        <w:rPr>
          <w:lang w:eastAsia="zh-CN"/>
        </w:rPr>
        <w:t>（</w:t>
      </w:r>
      <w:r>
        <w:rPr>
          <w:lang w:eastAsia="zh-CN"/>
        </w:rPr>
        <w:t>95%CI</w:t>
      </w:r>
      <w:r>
        <w:rPr>
          <w:lang w:eastAsia="zh-CN"/>
        </w:rPr>
        <w:t>：</w:t>
      </w:r>
      <w:r>
        <w:rPr>
          <w:lang w:eastAsia="zh-CN"/>
        </w:rPr>
        <w:t>3.07</w:t>
      </w:r>
      <w:r>
        <w:rPr>
          <w:lang w:eastAsia="zh-CN"/>
        </w:rPr>
        <w:t>～</w:t>
      </w:r>
      <w:r>
        <w:rPr>
          <w:lang w:eastAsia="zh-CN"/>
        </w:rPr>
        <w:t>3.51</w:t>
      </w:r>
      <w:r>
        <w:rPr>
          <w:lang w:eastAsia="zh-CN"/>
        </w:rPr>
        <w:t>）。进一步纳入报告来源和适应证相关变量后，关联强度有所降低，但仍保持显著，调整后</w:t>
      </w:r>
      <w:r>
        <w:rPr>
          <w:lang w:eastAsia="zh-CN"/>
        </w:rPr>
        <w:t xml:space="preserve"> ROR </w:t>
      </w:r>
      <w:r>
        <w:rPr>
          <w:lang w:eastAsia="zh-CN"/>
        </w:rPr>
        <w:t>为</w:t>
      </w:r>
      <w:r>
        <w:rPr>
          <w:lang w:eastAsia="zh-CN"/>
        </w:rPr>
        <w:t xml:space="preserve"> 2.74</w:t>
      </w:r>
      <w:r>
        <w:rPr>
          <w:lang w:eastAsia="zh-CN"/>
        </w:rPr>
        <w:t>（</w:t>
      </w:r>
      <w:r>
        <w:rPr>
          <w:lang w:eastAsia="zh-CN"/>
        </w:rPr>
        <w:t>95%CI</w:t>
      </w:r>
      <w:r>
        <w:rPr>
          <w:lang w:eastAsia="zh-CN"/>
        </w:rPr>
        <w:t>：</w:t>
      </w:r>
      <w:r>
        <w:rPr>
          <w:lang w:eastAsia="zh-CN"/>
        </w:rPr>
        <w:t>2.56</w:t>
      </w:r>
      <w:r>
        <w:rPr>
          <w:lang w:eastAsia="zh-CN"/>
        </w:rPr>
        <w:t>～</w:t>
      </w:r>
      <w:r>
        <w:rPr>
          <w:lang w:eastAsia="zh-CN"/>
        </w:rPr>
        <w:t>2.93</w:t>
      </w:r>
      <w:r>
        <w:rPr>
          <w:lang w:eastAsia="zh-CN"/>
        </w:rPr>
        <w:t>）。</w:t>
      </w:r>
      <w:r>
        <w:rPr>
          <w:lang w:eastAsia="zh-CN"/>
        </w:rPr>
        <w:t xml:space="preserve">PS only </w:t>
      </w:r>
      <w:r>
        <w:rPr>
          <w:lang w:eastAsia="zh-CN"/>
        </w:rPr>
        <w:t>敏感性分析中，核心调整模型调整后</w:t>
      </w:r>
      <w:r>
        <w:rPr>
          <w:lang w:eastAsia="zh-CN"/>
        </w:rPr>
        <w:t xml:space="preserve"> ROR </w:t>
      </w:r>
      <w:r>
        <w:rPr>
          <w:lang w:eastAsia="zh-CN"/>
        </w:rPr>
        <w:t>为</w:t>
      </w:r>
      <w:r>
        <w:rPr>
          <w:lang w:eastAsia="zh-CN"/>
        </w:rPr>
        <w:t xml:space="preserve"> 3.17</w:t>
      </w:r>
      <w:r>
        <w:rPr>
          <w:lang w:eastAsia="zh-CN"/>
        </w:rPr>
        <w:t>（</w:t>
      </w:r>
      <w:r>
        <w:rPr>
          <w:lang w:eastAsia="zh-CN"/>
        </w:rPr>
        <w:t>95%CI</w:t>
      </w:r>
      <w:r>
        <w:rPr>
          <w:lang w:eastAsia="zh-CN"/>
        </w:rPr>
        <w:t>：</w:t>
      </w:r>
      <w:r>
        <w:rPr>
          <w:lang w:eastAsia="zh-CN"/>
        </w:rPr>
        <w:t>2.87</w:t>
      </w:r>
      <w:r>
        <w:rPr>
          <w:lang w:eastAsia="zh-CN"/>
        </w:rPr>
        <w:t>～</w:t>
      </w:r>
      <w:r>
        <w:rPr>
          <w:lang w:eastAsia="zh-CN"/>
        </w:rPr>
        <w:t>3.49</w:t>
      </w:r>
      <w:r>
        <w:rPr>
          <w:lang w:eastAsia="zh-CN"/>
        </w:rPr>
        <w:t>），扩展模型调整后</w:t>
      </w:r>
      <w:r>
        <w:rPr>
          <w:lang w:eastAsia="zh-CN"/>
        </w:rPr>
        <w:t xml:space="preserve"> ROR </w:t>
      </w:r>
      <w:r>
        <w:rPr>
          <w:lang w:eastAsia="zh-CN"/>
        </w:rPr>
        <w:t>为</w:t>
      </w:r>
      <w:r>
        <w:rPr>
          <w:lang w:eastAsia="zh-CN"/>
        </w:rPr>
        <w:t xml:space="preserve"> 2.53</w:t>
      </w:r>
      <w:r>
        <w:rPr>
          <w:lang w:eastAsia="zh-CN"/>
        </w:rPr>
        <w:t>（</w:t>
      </w:r>
      <w:r>
        <w:rPr>
          <w:lang w:eastAsia="zh-CN"/>
        </w:rPr>
        <w:t>95%CI</w:t>
      </w:r>
      <w:r>
        <w:rPr>
          <w:lang w:eastAsia="zh-CN"/>
        </w:rPr>
        <w:t>：</w:t>
      </w:r>
      <w:r>
        <w:rPr>
          <w:lang w:eastAsia="zh-CN"/>
        </w:rPr>
        <w:t>2.29</w:t>
      </w:r>
      <w:r>
        <w:rPr>
          <w:lang w:eastAsia="zh-CN"/>
        </w:rPr>
        <w:t>～</w:t>
      </w:r>
      <w:r>
        <w:rPr>
          <w:lang w:eastAsia="zh-CN"/>
        </w:rPr>
        <w:t>2.80</w:t>
      </w:r>
      <w:r>
        <w:rPr>
          <w:lang w:eastAsia="zh-CN"/>
        </w:rPr>
        <w:t>），提示结果具有较好稳健性。</w:t>
      </w:r>
    </w:p>
    <w:p w14:paraId="755D92B8" w14:textId="77777777" w:rsidR="0092061E" w:rsidRDefault="00817EEB">
      <w:pPr>
        <w:spacing w:before="60" w:after="80" w:line="264" w:lineRule="auto"/>
        <w:jc w:val="center"/>
      </w:pPr>
      <w:r>
        <w:rPr>
          <w:rFonts w:eastAsia="黑体"/>
          <w:sz w:val="15"/>
        </w:rPr>
        <w:t>表</w:t>
      </w:r>
      <w:r>
        <w:rPr>
          <w:rFonts w:eastAsia="黑体"/>
          <w:sz w:val="15"/>
        </w:rPr>
        <w:t xml:space="preserve"> 2 </w:t>
      </w:r>
      <w:proofErr w:type="spellStart"/>
      <w:r>
        <w:rPr>
          <w:rFonts w:eastAsia="黑体"/>
          <w:sz w:val="15"/>
        </w:rPr>
        <w:t>调整后模型分析结果</w:t>
      </w:r>
      <w:proofErr w:type="spellEnd"/>
      <w:r>
        <w:rPr>
          <w:rFonts w:eastAsia="黑体"/>
          <w:sz w:val="15"/>
        </w:rPr>
        <w:br/>
        <w:t>Table 2 Results of adjusted models</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126"/>
        <w:gridCol w:w="1127"/>
        <w:gridCol w:w="1127"/>
        <w:gridCol w:w="1127"/>
      </w:tblGrid>
      <w:tr w:rsidR="0092061E" w14:paraId="77CB44A3" w14:textId="77777777">
        <w:trPr>
          <w:jc w:val="center"/>
        </w:trPr>
        <w:tc>
          <w:tcPr>
            <w:tcW w:w="1126" w:type="dxa"/>
            <w:tcBorders>
              <w:top w:val="single" w:sz="8" w:space="0" w:color="7F7F7F"/>
              <w:left w:val="nil"/>
              <w:bottom w:val="single" w:sz="8" w:space="0" w:color="7F7F7F"/>
              <w:right w:val="nil"/>
            </w:tcBorders>
            <w:shd w:val="clear" w:color="auto" w:fill="EDEDED"/>
            <w:vAlign w:val="center"/>
          </w:tcPr>
          <w:p w14:paraId="21D2897F" w14:textId="77777777" w:rsidR="0092061E" w:rsidRDefault="00817EEB">
            <w:pPr>
              <w:spacing w:line="240" w:lineRule="auto"/>
              <w:jc w:val="center"/>
            </w:pPr>
            <w:proofErr w:type="spellStart"/>
            <w:r>
              <w:rPr>
                <w:b/>
                <w:sz w:val="14"/>
              </w:rPr>
              <w:t>分析</w:t>
            </w:r>
            <w:proofErr w:type="spellEnd"/>
          </w:p>
        </w:tc>
        <w:tc>
          <w:tcPr>
            <w:tcW w:w="1126" w:type="dxa"/>
            <w:tcBorders>
              <w:top w:val="single" w:sz="8" w:space="0" w:color="7F7F7F"/>
              <w:left w:val="nil"/>
              <w:bottom w:val="single" w:sz="8" w:space="0" w:color="7F7F7F"/>
              <w:right w:val="nil"/>
            </w:tcBorders>
            <w:shd w:val="clear" w:color="auto" w:fill="EDEDED"/>
            <w:vAlign w:val="center"/>
          </w:tcPr>
          <w:p w14:paraId="24F17FDD" w14:textId="77777777" w:rsidR="0092061E" w:rsidRDefault="00817EEB">
            <w:pPr>
              <w:spacing w:line="240" w:lineRule="auto"/>
              <w:jc w:val="center"/>
            </w:pPr>
            <w:proofErr w:type="spellStart"/>
            <w:r>
              <w:rPr>
                <w:b/>
                <w:sz w:val="14"/>
              </w:rPr>
              <w:t>模型</w:t>
            </w:r>
            <w:proofErr w:type="spellEnd"/>
          </w:p>
        </w:tc>
        <w:tc>
          <w:tcPr>
            <w:tcW w:w="1126" w:type="dxa"/>
            <w:tcBorders>
              <w:top w:val="single" w:sz="8" w:space="0" w:color="7F7F7F"/>
              <w:left w:val="nil"/>
              <w:bottom w:val="single" w:sz="8" w:space="0" w:color="7F7F7F"/>
              <w:right w:val="nil"/>
            </w:tcBorders>
            <w:shd w:val="clear" w:color="auto" w:fill="EDEDED"/>
            <w:vAlign w:val="center"/>
          </w:tcPr>
          <w:p w14:paraId="5FC31A00" w14:textId="77777777" w:rsidR="0092061E" w:rsidRDefault="00817EEB">
            <w:pPr>
              <w:spacing w:line="240" w:lineRule="auto"/>
              <w:jc w:val="center"/>
            </w:pPr>
            <w:proofErr w:type="spellStart"/>
            <w:r>
              <w:rPr>
                <w:b/>
                <w:sz w:val="14"/>
              </w:rPr>
              <w:t>调整后</w:t>
            </w:r>
            <w:proofErr w:type="spellEnd"/>
            <w:r>
              <w:rPr>
                <w:b/>
                <w:sz w:val="14"/>
              </w:rPr>
              <w:t xml:space="preserve"> ROR</w:t>
            </w:r>
            <w:r>
              <w:rPr>
                <w:b/>
                <w:sz w:val="14"/>
              </w:rPr>
              <w:t>（</w:t>
            </w:r>
            <w:r>
              <w:rPr>
                <w:b/>
                <w:sz w:val="14"/>
              </w:rPr>
              <w:t>95%CI</w:t>
            </w:r>
            <w:r>
              <w:rPr>
                <w:b/>
                <w:sz w:val="14"/>
              </w:rPr>
              <w:t>）</w:t>
            </w:r>
          </w:p>
        </w:tc>
        <w:tc>
          <w:tcPr>
            <w:tcW w:w="1126" w:type="dxa"/>
            <w:tcBorders>
              <w:top w:val="single" w:sz="8" w:space="0" w:color="7F7F7F"/>
              <w:left w:val="nil"/>
              <w:bottom w:val="single" w:sz="8" w:space="0" w:color="7F7F7F"/>
              <w:right w:val="nil"/>
            </w:tcBorders>
            <w:shd w:val="clear" w:color="auto" w:fill="EDEDED"/>
            <w:vAlign w:val="center"/>
          </w:tcPr>
          <w:p w14:paraId="5AC94E3C" w14:textId="77777777" w:rsidR="0092061E" w:rsidRDefault="00817EEB">
            <w:pPr>
              <w:spacing w:line="240" w:lineRule="auto"/>
              <w:jc w:val="center"/>
            </w:pPr>
            <w:r>
              <w:rPr>
                <w:b/>
                <w:sz w:val="14"/>
              </w:rPr>
              <w:t xml:space="preserve">P </w:t>
            </w:r>
            <w:r>
              <w:rPr>
                <w:b/>
                <w:sz w:val="14"/>
              </w:rPr>
              <w:t>值</w:t>
            </w:r>
          </w:p>
        </w:tc>
      </w:tr>
      <w:tr w:rsidR="0092061E" w14:paraId="37B17563" w14:textId="77777777">
        <w:trPr>
          <w:jc w:val="center"/>
        </w:trPr>
        <w:tc>
          <w:tcPr>
            <w:tcW w:w="1126" w:type="dxa"/>
            <w:tcBorders>
              <w:top w:val="single" w:sz="4" w:space="0" w:color="C8C8C8"/>
              <w:left w:val="nil"/>
              <w:bottom w:val="single" w:sz="4" w:space="0" w:color="C8C8C8"/>
              <w:right w:val="nil"/>
            </w:tcBorders>
            <w:vAlign w:val="center"/>
          </w:tcPr>
          <w:p w14:paraId="4C15102F" w14:textId="77777777" w:rsidR="0092061E" w:rsidRDefault="00817EEB">
            <w:pPr>
              <w:spacing w:line="240" w:lineRule="auto"/>
              <w:jc w:val="center"/>
            </w:pPr>
            <w:r>
              <w:rPr>
                <w:sz w:val="14"/>
              </w:rPr>
              <w:t>PS+SS</w:t>
            </w:r>
          </w:p>
        </w:tc>
        <w:tc>
          <w:tcPr>
            <w:tcW w:w="1126" w:type="dxa"/>
            <w:tcBorders>
              <w:top w:val="single" w:sz="4" w:space="0" w:color="C8C8C8"/>
              <w:left w:val="nil"/>
              <w:bottom w:val="single" w:sz="4" w:space="0" w:color="C8C8C8"/>
              <w:right w:val="nil"/>
            </w:tcBorders>
            <w:vAlign w:val="center"/>
          </w:tcPr>
          <w:p w14:paraId="5F1AB55C" w14:textId="77777777" w:rsidR="0092061E" w:rsidRDefault="00817EEB">
            <w:pPr>
              <w:spacing w:line="240" w:lineRule="auto"/>
              <w:jc w:val="center"/>
            </w:pPr>
            <w:proofErr w:type="spellStart"/>
            <w:r>
              <w:rPr>
                <w:sz w:val="14"/>
              </w:rPr>
              <w:t>核心临床调整模型</w:t>
            </w:r>
            <w:proofErr w:type="spellEnd"/>
          </w:p>
        </w:tc>
        <w:tc>
          <w:tcPr>
            <w:tcW w:w="1126" w:type="dxa"/>
            <w:tcBorders>
              <w:top w:val="single" w:sz="4" w:space="0" w:color="C8C8C8"/>
              <w:left w:val="nil"/>
              <w:bottom w:val="single" w:sz="4" w:space="0" w:color="C8C8C8"/>
              <w:right w:val="nil"/>
            </w:tcBorders>
            <w:vAlign w:val="center"/>
          </w:tcPr>
          <w:p w14:paraId="1EAC85E8" w14:textId="77777777" w:rsidR="0092061E" w:rsidRDefault="00817EEB">
            <w:pPr>
              <w:spacing w:line="240" w:lineRule="auto"/>
              <w:jc w:val="center"/>
            </w:pPr>
            <w:r>
              <w:rPr>
                <w:sz w:val="14"/>
              </w:rPr>
              <w:t>3.28</w:t>
            </w:r>
            <w:r>
              <w:rPr>
                <w:sz w:val="14"/>
              </w:rPr>
              <w:t>（</w:t>
            </w:r>
            <w:r>
              <w:rPr>
                <w:sz w:val="14"/>
              </w:rPr>
              <w:t>3.07</w:t>
            </w:r>
            <w:r>
              <w:rPr>
                <w:sz w:val="14"/>
              </w:rPr>
              <w:t>～</w:t>
            </w:r>
            <w:r>
              <w:rPr>
                <w:sz w:val="14"/>
              </w:rPr>
              <w:t>3.51</w:t>
            </w:r>
            <w:r>
              <w:rPr>
                <w:sz w:val="14"/>
              </w:rPr>
              <w:t>）</w:t>
            </w:r>
          </w:p>
        </w:tc>
        <w:tc>
          <w:tcPr>
            <w:tcW w:w="1126" w:type="dxa"/>
            <w:tcBorders>
              <w:top w:val="single" w:sz="4" w:space="0" w:color="C8C8C8"/>
              <w:left w:val="nil"/>
              <w:bottom w:val="single" w:sz="4" w:space="0" w:color="C8C8C8"/>
              <w:right w:val="nil"/>
            </w:tcBorders>
            <w:vAlign w:val="center"/>
          </w:tcPr>
          <w:p w14:paraId="5B99D5F1" w14:textId="77777777" w:rsidR="0092061E" w:rsidRDefault="00817EEB">
            <w:pPr>
              <w:spacing w:line="240" w:lineRule="auto"/>
              <w:jc w:val="center"/>
            </w:pPr>
            <w:r>
              <w:rPr>
                <w:sz w:val="14"/>
              </w:rPr>
              <w:t>&lt;0.001</w:t>
            </w:r>
          </w:p>
        </w:tc>
      </w:tr>
      <w:tr w:rsidR="0092061E" w14:paraId="14035E61" w14:textId="77777777">
        <w:trPr>
          <w:jc w:val="center"/>
        </w:trPr>
        <w:tc>
          <w:tcPr>
            <w:tcW w:w="1126" w:type="dxa"/>
            <w:tcBorders>
              <w:top w:val="single" w:sz="4" w:space="0" w:color="C8C8C8"/>
              <w:left w:val="nil"/>
              <w:bottom w:val="single" w:sz="4" w:space="0" w:color="C8C8C8"/>
              <w:right w:val="nil"/>
            </w:tcBorders>
            <w:vAlign w:val="center"/>
          </w:tcPr>
          <w:p w14:paraId="2DF133F4" w14:textId="77777777" w:rsidR="0092061E" w:rsidRDefault="00817EEB">
            <w:pPr>
              <w:spacing w:line="240" w:lineRule="auto"/>
              <w:jc w:val="center"/>
            </w:pPr>
            <w:r>
              <w:rPr>
                <w:sz w:val="14"/>
              </w:rPr>
              <w:t>PS+SS</w:t>
            </w:r>
          </w:p>
        </w:tc>
        <w:tc>
          <w:tcPr>
            <w:tcW w:w="1126" w:type="dxa"/>
            <w:tcBorders>
              <w:top w:val="single" w:sz="4" w:space="0" w:color="C8C8C8"/>
              <w:left w:val="nil"/>
              <w:bottom w:val="single" w:sz="4" w:space="0" w:color="C8C8C8"/>
              <w:right w:val="nil"/>
            </w:tcBorders>
            <w:vAlign w:val="center"/>
          </w:tcPr>
          <w:p w14:paraId="1962DB14" w14:textId="77777777" w:rsidR="0092061E" w:rsidRDefault="00817EEB">
            <w:pPr>
              <w:spacing w:line="240" w:lineRule="auto"/>
              <w:jc w:val="center"/>
              <w:rPr>
                <w:lang w:eastAsia="zh-CN"/>
              </w:rPr>
            </w:pPr>
            <w:r>
              <w:rPr>
                <w:sz w:val="14"/>
                <w:lang w:eastAsia="zh-CN"/>
              </w:rPr>
              <w:t>扩展报告</w:t>
            </w:r>
            <w:r>
              <w:rPr>
                <w:sz w:val="14"/>
                <w:lang w:eastAsia="zh-CN"/>
              </w:rPr>
              <w:t>-</w:t>
            </w:r>
            <w:r>
              <w:rPr>
                <w:sz w:val="14"/>
                <w:lang w:eastAsia="zh-CN"/>
              </w:rPr>
              <w:t>适应证调整模型</w:t>
            </w:r>
          </w:p>
        </w:tc>
        <w:tc>
          <w:tcPr>
            <w:tcW w:w="1126" w:type="dxa"/>
            <w:tcBorders>
              <w:top w:val="single" w:sz="4" w:space="0" w:color="C8C8C8"/>
              <w:left w:val="nil"/>
              <w:bottom w:val="single" w:sz="4" w:space="0" w:color="C8C8C8"/>
              <w:right w:val="nil"/>
            </w:tcBorders>
            <w:vAlign w:val="center"/>
          </w:tcPr>
          <w:p w14:paraId="007B5407" w14:textId="77777777" w:rsidR="0092061E" w:rsidRDefault="00817EEB">
            <w:pPr>
              <w:spacing w:line="240" w:lineRule="auto"/>
              <w:jc w:val="center"/>
            </w:pPr>
            <w:r>
              <w:rPr>
                <w:sz w:val="14"/>
              </w:rPr>
              <w:t>2.74</w:t>
            </w:r>
            <w:r>
              <w:rPr>
                <w:sz w:val="14"/>
              </w:rPr>
              <w:t>（</w:t>
            </w:r>
            <w:r>
              <w:rPr>
                <w:sz w:val="14"/>
              </w:rPr>
              <w:t>2.56</w:t>
            </w:r>
            <w:r>
              <w:rPr>
                <w:sz w:val="14"/>
              </w:rPr>
              <w:t>～</w:t>
            </w:r>
            <w:r>
              <w:rPr>
                <w:sz w:val="14"/>
              </w:rPr>
              <w:t>2.93</w:t>
            </w:r>
            <w:r>
              <w:rPr>
                <w:sz w:val="14"/>
              </w:rPr>
              <w:t>）</w:t>
            </w:r>
          </w:p>
        </w:tc>
        <w:tc>
          <w:tcPr>
            <w:tcW w:w="1126" w:type="dxa"/>
            <w:tcBorders>
              <w:top w:val="single" w:sz="4" w:space="0" w:color="C8C8C8"/>
              <w:left w:val="nil"/>
              <w:bottom w:val="single" w:sz="4" w:space="0" w:color="C8C8C8"/>
              <w:right w:val="nil"/>
            </w:tcBorders>
            <w:vAlign w:val="center"/>
          </w:tcPr>
          <w:p w14:paraId="16534825" w14:textId="77777777" w:rsidR="0092061E" w:rsidRDefault="00817EEB">
            <w:pPr>
              <w:spacing w:line="240" w:lineRule="auto"/>
              <w:jc w:val="center"/>
            </w:pPr>
            <w:r>
              <w:rPr>
                <w:sz w:val="14"/>
              </w:rPr>
              <w:t>&lt;0.001</w:t>
            </w:r>
          </w:p>
        </w:tc>
      </w:tr>
      <w:tr w:rsidR="0092061E" w14:paraId="75DB5D50" w14:textId="77777777">
        <w:trPr>
          <w:jc w:val="center"/>
        </w:trPr>
        <w:tc>
          <w:tcPr>
            <w:tcW w:w="1126" w:type="dxa"/>
            <w:tcBorders>
              <w:top w:val="single" w:sz="4" w:space="0" w:color="C8C8C8"/>
              <w:left w:val="nil"/>
              <w:bottom w:val="single" w:sz="4" w:space="0" w:color="C8C8C8"/>
              <w:right w:val="nil"/>
            </w:tcBorders>
            <w:vAlign w:val="center"/>
          </w:tcPr>
          <w:p w14:paraId="60487149" w14:textId="77777777" w:rsidR="0092061E" w:rsidRDefault="00817EEB">
            <w:pPr>
              <w:spacing w:line="240" w:lineRule="auto"/>
              <w:jc w:val="center"/>
            </w:pPr>
            <w:r>
              <w:rPr>
                <w:sz w:val="14"/>
              </w:rPr>
              <w:t>PS only</w:t>
            </w:r>
          </w:p>
        </w:tc>
        <w:tc>
          <w:tcPr>
            <w:tcW w:w="1126" w:type="dxa"/>
            <w:tcBorders>
              <w:top w:val="single" w:sz="4" w:space="0" w:color="C8C8C8"/>
              <w:left w:val="nil"/>
              <w:bottom w:val="single" w:sz="4" w:space="0" w:color="C8C8C8"/>
              <w:right w:val="nil"/>
            </w:tcBorders>
            <w:vAlign w:val="center"/>
          </w:tcPr>
          <w:p w14:paraId="562EEEFF" w14:textId="77777777" w:rsidR="0092061E" w:rsidRDefault="00817EEB">
            <w:pPr>
              <w:spacing w:line="240" w:lineRule="auto"/>
              <w:jc w:val="center"/>
            </w:pPr>
            <w:proofErr w:type="spellStart"/>
            <w:r>
              <w:rPr>
                <w:sz w:val="14"/>
              </w:rPr>
              <w:t>核心临床调整模型</w:t>
            </w:r>
            <w:proofErr w:type="spellEnd"/>
          </w:p>
        </w:tc>
        <w:tc>
          <w:tcPr>
            <w:tcW w:w="1126" w:type="dxa"/>
            <w:tcBorders>
              <w:top w:val="single" w:sz="4" w:space="0" w:color="C8C8C8"/>
              <w:left w:val="nil"/>
              <w:bottom w:val="single" w:sz="4" w:space="0" w:color="C8C8C8"/>
              <w:right w:val="nil"/>
            </w:tcBorders>
            <w:vAlign w:val="center"/>
          </w:tcPr>
          <w:p w14:paraId="61939D54" w14:textId="77777777" w:rsidR="0092061E" w:rsidRDefault="00817EEB">
            <w:pPr>
              <w:spacing w:line="240" w:lineRule="auto"/>
              <w:jc w:val="center"/>
            </w:pPr>
            <w:r>
              <w:rPr>
                <w:sz w:val="14"/>
              </w:rPr>
              <w:t>3.17</w:t>
            </w:r>
            <w:r>
              <w:rPr>
                <w:sz w:val="14"/>
              </w:rPr>
              <w:t>（</w:t>
            </w:r>
            <w:r>
              <w:rPr>
                <w:sz w:val="14"/>
              </w:rPr>
              <w:t>2.87</w:t>
            </w:r>
            <w:r>
              <w:rPr>
                <w:sz w:val="14"/>
              </w:rPr>
              <w:t>～</w:t>
            </w:r>
            <w:r>
              <w:rPr>
                <w:sz w:val="14"/>
              </w:rPr>
              <w:t>3.49</w:t>
            </w:r>
            <w:r>
              <w:rPr>
                <w:sz w:val="14"/>
              </w:rPr>
              <w:t>）</w:t>
            </w:r>
          </w:p>
        </w:tc>
        <w:tc>
          <w:tcPr>
            <w:tcW w:w="1126" w:type="dxa"/>
            <w:tcBorders>
              <w:top w:val="single" w:sz="4" w:space="0" w:color="C8C8C8"/>
              <w:left w:val="nil"/>
              <w:bottom w:val="single" w:sz="4" w:space="0" w:color="C8C8C8"/>
              <w:right w:val="nil"/>
            </w:tcBorders>
            <w:vAlign w:val="center"/>
          </w:tcPr>
          <w:p w14:paraId="7707808B" w14:textId="77777777" w:rsidR="0092061E" w:rsidRDefault="00817EEB">
            <w:pPr>
              <w:spacing w:line="240" w:lineRule="auto"/>
              <w:jc w:val="center"/>
            </w:pPr>
            <w:r>
              <w:rPr>
                <w:sz w:val="14"/>
              </w:rPr>
              <w:t>&lt;0.001</w:t>
            </w:r>
          </w:p>
        </w:tc>
      </w:tr>
      <w:tr w:rsidR="0092061E" w14:paraId="150B49CB" w14:textId="77777777">
        <w:trPr>
          <w:jc w:val="center"/>
        </w:trPr>
        <w:tc>
          <w:tcPr>
            <w:tcW w:w="1126" w:type="dxa"/>
            <w:tcBorders>
              <w:top w:val="single" w:sz="4" w:space="0" w:color="C8C8C8"/>
              <w:left w:val="nil"/>
              <w:bottom w:val="single" w:sz="4" w:space="0" w:color="C8C8C8"/>
              <w:right w:val="nil"/>
            </w:tcBorders>
            <w:vAlign w:val="center"/>
          </w:tcPr>
          <w:p w14:paraId="7B97B9F9" w14:textId="77777777" w:rsidR="0092061E" w:rsidRDefault="00817EEB">
            <w:pPr>
              <w:spacing w:line="240" w:lineRule="auto"/>
              <w:jc w:val="center"/>
            </w:pPr>
            <w:r>
              <w:rPr>
                <w:sz w:val="14"/>
              </w:rPr>
              <w:t>PS only</w:t>
            </w:r>
          </w:p>
        </w:tc>
        <w:tc>
          <w:tcPr>
            <w:tcW w:w="1126" w:type="dxa"/>
            <w:tcBorders>
              <w:top w:val="single" w:sz="4" w:space="0" w:color="C8C8C8"/>
              <w:left w:val="nil"/>
              <w:bottom w:val="single" w:sz="4" w:space="0" w:color="C8C8C8"/>
              <w:right w:val="nil"/>
            </w:tcBorders>
            <w:vAlign w:val="center"/>
          </w:tcPr>
          <w:p w14:paraId="06C685AA" w14:textId="77777777" w:rsidR="0092061E" w:rsidRDefault="00817EEB">
            <w:pPr>
              <w:spacing w:line="240" w:lineRule="auto"/>
              <w:jc w:val="center"/>
              <w:rPr>
                <w:lang w:eastAsia="zh-CN"/>
              </w:rPr>
            </w:pPr>
            <w:r>
              <w:rPr>
                <w:sz w:val="14"/>
                <w:lang w:eastAsia="zh-CN"/>
              </w:rPr>
              <w:t>扩展报告</w:t>
            </w:r>
            <w:r>
              <w:rPr>
                <w:sz w:val="14"/>
                <w:lang w:eastAsia="zh-CN"/>
              </w:rPr>
              <w:t>-</w:t>
            </w:r>
            <w:r>
              <w:rPr>
                <w:sz w:val="14"/>
                <w:lang w:eastAsia="zh-CN"/>
              </w:rPr>
              <w:t>适应证调整模型</w:t>
            </w:r>
          </w:p>
        </w:tc>
        <w:tc>
          <w:tcPr>
            <w:tcW w:w="1126" w:type="dxa"/>
            <w:tcBorders>
              <w:top w:val="single" w:sz="4" w:space="0" w:color="C8C8C8"/>
              <w:left w:val="nil"/>
              <w:bottom w:val="single" w:sz="4" w:space="0" w:color="C8C8C8"/>
              <w:right w:val="nil"/>
            </w:tcBorders>
            <w:vAlign w:val="center"/>
          </w:tcPr>
          <w:p w14:paraId="09027625" w14:textId="77777777" w:rsidR="0092061E" w:rsidRDefault="00817EEB">
            <w:pPr>
              <w:spacing w:line="240" w:lineRule="auto"/>
              <w:jc w:val="center"/>
            </w:pPr>
            <w:r>
              <w:rPr>
                <w:sz w:val="14"/>
              </w:rPr>
              <w:t>2.53</w:t>
            </w:r>
            <w:r>
              <w:rPr>
                <w:sz w:val="14"/>
              </w:rPr>
              <w:t>（</w:t>
            </w:r>
            <w:r>
              <w:rPr>
                <w:sz w:val="14"/>
              </w:rPr>
              <w:t>2.29</w:t>
            </w:r>
            <w:r>
              <w:rPr>
                <w:sz w:val="14"/>
              </w:rPr>
              <w:t>～</w:t>
            </w:r>
            <w:r>
              <w:rPr>
                <w:sz w:val="14"/>
              </w:rPr>
              <w:t>2.80</w:t>
            </w:r>
            <w:r>
              <w:rPr>
                <w:sz w:val="14"/>
              </w:rPr>
              <w:t>）</w:t>
            </w:r>
          </w:p>
        </w:tc>
        <w:tc>
          <w:tcPr>
            <w:tcW w:w="1126" w:type="dxa"/>
            <w:tcBorders>
              <w:top w:val="single" w:sz="4" w:space="0" w:color="C8C8C8"/>
              <w:left w:val="nil"/>
              <w:bottom w:val="single" w:sz="4" w:space="0" w:color="C8C8C8"/>
              <w:right w:val="nil"/>
            </w:tcBorders>
            <w:vAlign w:val="center"/>
          </w:tcPr>
          <w:p w14:paraId="3E7B2370" w14:textId="77777777" w:rsidR="0092061E" w:rsidRDefault="00817EEB">
            <w:pPr>
              <w:spacing w:line="240" w:lineRule="auto"/>
              <w:jc w:val="center"/>
            </w:pPr>
            <w:r>
              <w:rPr>
                <w:sz w:val="14"/>
              </w:rPr>
              <w:t>&lt;0.001</w:t>
            </w:r>
          </w:p>
        </w:tc>
      </w:tr>
    </w:tbl>
    <w:p w14:paraId="6D1ABCDF" w14:textId="77777777" w:rsidR="0092061E" w:rsidRDefault="0092061E"/>
    <w:p w14:paraId="35CCA5D5" w14:textId="77777777" w:rsidR="0092061E" w:rsidRDefault="00817EEB">
      <w:pPr>
        <w:keepNext/>
        <w:spacing w:before="60" w:after="40" w:line="264" w:lineRule="auto"/>
      </w:pPr>
      <w:r>
        <w:rPr>
          <w:rFonts w:eastAsia="楷体"/>
          <w:b/>
          <w:sz w:val="18"/>
        </w:rPr>
        <w:t xml:space="preserve">3.4 </w:t>
      </w:r>
      <w:proofErr w:type="spellStart"/>
      <w:r>
        <w:rPr>
          <w:rFonts w:eastAsia="楷体"/>
          <w:b/>
          <w:sz w:val="18"/>
        </w:rPr>
        <w:t>与其他</w:t>
      </w:r>
      <w:proofErr w:type="spellEnd"/>
      <w:r>
        <w:rPr>
          <w:rFonts w:eastAsia="楷体"/>
          <w:b/>
          <w:sz w:val="18"/>
        </w:rPr>
        <w:t xml:space="preserve"> Z-drugs </w:t>
      </w:r>
      <w:proofErr w:type="spellStart"/>
      <w:r>
        <w:rPr>
          <w:rFonts w:eastAsia="楷体"/>
          <w:b/>
          <w:sz w:val="18"/>
        </w:rPr>
        <w:t>的比较</w:t>
      </w:r>
      <w:proofErr w:type="spellEnd"/>
    </w:p>
    <w:p w14:paraId="0702A8BC" w14:textId="77777777" w:rsidR="0092061E" w:rsidRDefault="00817EEB">
      <w:pPr>
        <w:ind w:firstLine="420"/>
        <w:rPr>
          <w:lang w:eastAsia="zh-CN"/>
        </w:rPr>
      </w:pPr>
      <w:r>
        <w:t>在</w:t>
      </w:r>
      <w:r>
        <w:t xml:space="preserve"> Z-drugs </w:t>
      </w:r>
      <w:proofErr w:type="spellStart"/>
      <w:r>
        <w:t>内部比较中，</w:t>
      </w:r>
      <w:r>
        <w:t>PS+SS</w:t>
      </w:r>
      <w:proofErr w:type="spellEnd"/>
      <w:r>
        <w:t xml:space="preserve"> </w:t>
      </w:r>
      <w:proofErr w:type="spellStart"/>
      <w:r>
        <w:t>口径下，</w:t>
      </w:r>
      <w:r>
        <w:t>zolpidem_only</w:t>
      </w:r>
      <w:proofErr w:type="spellEnd"/>
      <w:r>
        <w:t xml:space="preserve"> </w:t>
      </w:r>
      <w:r>
        <w:t>与</w:t>
      </w:r>
      <w:r>
        <w:t xml:space="preserve"> </w:t>
      </w:r>
      <w:proofErr w:type="spellStart"/>
      <w:r>
        <w:t>other_zdrug_only</w:t>
      </w:r>
      <w:proofErr w:type="spellEnd"/>
      <w:r>
        <w:t xml:space="preserve"> </w:t>
      </w:r>
      <w:proofErr w:type="spellStart"/>
      <w:r>
        <w:t>相比，严格跌倒事件</w:t>
      </w:r>
      <w:proofErr w:type="spellEnd"/>
      <w:r>
        <w:t xml:space="preserve"> ROR </w:t>
      </w:r>
      <w:r>
        <w:t>为</w:t>
      </w:r>
      <w:r>
        <w:t xml:space="preserve"> 1.54</w:t>
      </w:r>
      <w:r>
        <w:t>（</w:t>
      </w:r>
      <w:r>
        <w:t>95%CI</w:t>
      </w:r>
      <w:r>
        <w:t>：</w:t>
      </w:r>
      <w:r>
        <w:t>1.39</w:t>
      </w:r>
      <w:r>
        <w:t>～</w:t>
      </w:r>
      <w:r>
        <w:t>1.71</w:t>
      </w:r>
      <w:r>
        <w:t>）；</w:t>
      </w:r>
      <w:r>
        <w:t xml:space="preserve">PS only </w:t>
      </w:r>
      <w:proofErr w:type="spellStart"/>
      <w:r>
        <w:t>口径下，</w:t>
      </w:r>
      <w:r>
        <w:t>ROR</w:t>
      </w:r>
      <w:proofErr w:type="spellEnd"/>
      <w:r>
        <w:t xml:space="preserve"> </w:t>
      </w:r>
      <w:r>
        <w:t>为</w:t>
      </w:r>
      <w:r>
        <w:t xml:space="preserve"> 8.68</w:t>
      </w:r>
      <w:r>
        <w:t>（</w:t>
      </w:r>
      <w:r>
        <w:t>95%CI</w:t>
      </w:r>
      <w:r>
        <w:t>：</w:t>
      </w:r>
      <w:r>
        <w:t>6.29</w:t>
      </w:r>
      <w:r>
        <w:t>～</w:t>
      </w:r>
      <w:r>
        <w:t>11.99</w:t>
      </w:r>
      <w:r>
        <w:t>）。</w:t>
      </w:r>
      <w:r>
        <w:rPr>
          <w:lang w:eastAsia="zh-CN"/>
        </w:rPr>
        <w:t>该结果提示，在</w:t>
      </w:r>
      <w:r>
        <w:rPr>
          <w:lang w:eastAsia="zh-CN"/>
        </w:rPr>
        <w:t xml:space="preserve"> FAERS </w:t>
      </w:r>
      <w:r>
        <w:rPr>
          <w:lang w:eastAsia="zh-CN"/>
        </w:rPr>
        <w:t>自发报告中，唑吡坦与其他</w:t>
      </w:r>
      <w:r>
        <w:rPr>
          <w:lang w:eastAsia="zh-CN"/>
        </w:rPr>
        <w:t xml:space="preserve"> Z-drugs </w:t>
      </w:r>
      <w:r>
        <w:rPr>
          <w:lang w:eastAsia="zh-CN"/>
        </w:rPr>
        <w:t>的跌倒报告构成存在差异。但由于不同</w:t>
      </w:r>
      <w:r>
        <w:rPr>
          <w:lang w:eastAsia="zh-CN"/>
        </w:rPr>
        <w:t xml:space="preserve"> Z-drugs </w:t>
      </w:r>
      <w:r>
        <w:rPr>
          <w:lang w:eastAsia="zh-CN"/>
        </w:rPr>
        <w:t>的适应证、使用人群、上市时间和报告习惯可能不同，该结果不应直接解释为真实临床风险差异。</w:t>
      </w:r>
    </w:p>
    <w:p w14:paraId="0C0FEB4C" w14:textId="77777777" w:rsidR="0092061E" w:rsidRDefault="00817EEB">
      <w:pPr>
        <w:ind w:firstLine="420"/>
        <w:rPr>
          <w:lang w:eastAsia="zh-CN"/>
        </w:rPr>
      </w:pPr>
      <w:r>
        <w:rPr>
          <w:lang w:eastAsia="zh-CN"/>
        </w:rPr>
        <w:t>综合主分析、敏感性分析、调整后模型和</w:t>
      </w:r>
      <w:r>
        <w:rPr>
          <w:lang w:eastAsia="zh-CN"/>
        </w:rPr>
        <w:t xml:space="preserve"> Z-drugs </w:t>
      </w:r>
      <w:r>
        <w:rPr>
          <w:lang w:eastAsia="zh-CN"/>
        </w:rPr>
        <w:t>内部比较结果，</w:t>
      </w:r>
      <w:proofErr w:type="gramStart"/>
      <w:r>
        <w:rPr>
          <w:lang w:eastAsia="zh-CN"/>
        </w:rPr>
        <w:t>唑吡坦相关</w:t>
      </w:r>
      <w:proofErr w:type="gramEnd"/>
      <w:r>
        <w:rPr>
          <w:lang w:eastAsia="zh-CN"/>
        </w:rPr>
        <w:t>跌倒事件的报告信号在不同分析口径下总体保持稳定（图</w:t>
      </w:r>
      <w:r>
        <w:rPr>
          <w:lang w:eastAsia="zh-CN"/>
        </w:rPr>
        <w:t xml:space="preserve"> 2</w:t>
      </w:r>
      <w:r>
        <w:rPr>
          <w:lang w:eastAsia="zh-CN"/>
        </w:rPr>
        <w:t>）。其中，</w:t>
      </w:r>
      <w:proofErr w:type="gramStart"/>
      <w:r>
        <w:rPr>
          <w:lang w:eastAsia="zh-CN"/>
        </w:rPr>
        <w:t>主分析</w:t>
      </w:r>
      <w:proofErr w:type="gramEnd"/>
      <w:r>
        <w:rPr>
          <w:lang w:eastAsia="zh-CN"/>
        </w:rPr>
        <w:t>和</w:t>
      </w:r>
      <w:r>
        <w:rPr>
          <w:lang w:eastAsia="zh-CN"/>
        </w:rPr>
        <w:t xml:space="preserve"> PS only </w:t>
      </w:r>
      <w:r>
        <w:rPr>
          <w:lang w:eastAsia="zh-CN"/>
        </w:rPr>
        <w:t>敏感性分析均显示</w:t>
      </w:r>
      <w:proofErr w:type="gramStart"/>
      <w:r>
        <w:rPr>
          <w:lang w:eastAsia="zh-CN"/>
        </w:rPr>
        <w:t>唑吡</w:t>
      </w:r>
      <w:proofErr w:type="gramEnd"/>
      <w:r>
        <w:rPr>
          <w:lang w:eastAsia="zh-CN"/>
        </w:rPr>
        <w:t>坦</w:t>
      </w:r>
      <w:proofErr w:type="gramStart"/>
      <w:r>
        <w:rPr>
          <w:lang w:eastAsia="zh-CN"/>
        </w:rPr>
        <w:t>暴露组</w:t>
      </w:r>
      <w:proofErr w:type="gramEnd"/>
      <w:r>
        <w:rPr>
          <w:lang w:eastAsia="zh-CN"/>
        </w:rPr>
        <w:t>的跌倒报告占比高于相应对照组；</w:t>
      </w:r>
      <w:proofErr w:type="gramStart"/>
      <w:r>
        <w:rPr>
          <w:lang w:eastAsia="zh-CN"/>
        </w:rPr>
        <w:t>经核心</w:t>
      </w:r>
      <w:proofErr w:type="gramEnd"/>
      <w:r>
        <w:rPr>
          <w:lang w:eastAsia="zh-CN"/>
        </w:rPr>
        <w:t>临床因素和扩展报告</w:t>
      </w:r>
      <w:r>
        <w:rPr>
          <w:lang w:eastAsia="zh-CN"/>
        </w:rPr>
        <w:t>-</w:t>
      </w:r>
      <w:r>
        <w:rPr>
          <w:lang w:eastAsia="zh-CN"/>
        </w:rPr>
        <w:t>适应证因素调整后，</w:t>
      </w:r>
      <w:r>
        <w:rPr>
          <w:lang w:eastAsia="zh-CN"/>
        </w:rPr>
        <w:t xml:space="preserve">ROR </w:t>
      </w:r>
      <w:r>
        <w:rPr>
          <w:lang w:eastAsia="zh-CN"/>
        </w:rPr>
        <w:t>虽有所降低，但</w:t>
      </w:r>
      <w:r>
        <w:rPr>
          <w:lang w:eastAsia="zh-CN"/>
        </w:rPr>
        <w:t xml:space="preserve"> 95%CI </w:t>
      </w:r>
      <w:r>
        <w:rPr>
          <w:lang w:eastAsia="zh-CN"/>
        </w:rPr>
        <w:t>仍未跨越</w:t>
      </w:r>
      <w:r>
        <w:rPr>
          <w:lang w:eastAsia="zh-CN"/>
        </w:rPr>
        <w:t xml:space="preserve"> 1</w:t>
      </w:r>
      <w:r>
        <w:rPr>
          <w:lang w:eastAsia="zh-CN"/>
        </w:rPr>
        <w:t>。需要注意的是，图</w:t>
      </w:r>
      <w:r>
        <w:rPr>
          <w:lang w:eastAsia="zh-CN"/>
        </w:rPr>
        <w:t xml:space="preserve"> 2 </w:t>
      </w:r>
      <w:r>
        <w:rPr>
          <w:lang w:eastAsia="zh-CN"/>
        </w:rPr>
        <w:t>中的跌倒报告占比反映的是</w:t>
      </w:r>
      <w:r>
        <w:rPr>
          <w:lang w:eastAsia="zh-CN"/>
        </w:rPr>
        <w:t xml:space="preserve"> FAERS </w:t>
      </w:r>
      <w:r>
        <w:rPr>
          <w:lang w:eastAsia="zh-CN"/>
        </w:rPr>
        <w:t>报告构成，不等同于真实临床发生率。</w:t>
      </w:r>
    </w:p>
    <w:p w14:paraId="59C28286" w14:textId="77777777" w:rsidR="0092061E" w:rsidRDefault="00817EEB">
      <w:pPr>
        <w:jc w:val="center"/>
      </w:pPr>
      <w:r>
        <w:rPr>
          <w:noProof/>
        </w:rPr>
        <w:drawing>
          <wp:inline distT="0" distB="0" distL="0" distR="0" wp14:anchorId="5D928D6F" wp14:editId="5A48CBF1">
            <wp:extent cx="2861999" cy="17484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main_signal.jpg"/>
                    <pic:cNvPicPr/>
                  </pic:nvPicPr>
                  <pic:blipFill>
                    <a:blip r:embed="rId10"/>
                    <a:stretch>
                      <a:fillRect/>
                    </a:stretch>
                  </pic:blipFill>
                  <pic:spPr>
                    <a:xfrm>
                      <a:off x="0" y="0"/>
                      <a:ext cx="2861999" cy="1748422"/>
                    </a:xfrm>
                    <a:prstGeom prst="rect">
                      <a:avLst/>
                    </a:prstGeom>
                  </pic:spPr>
                </pic:pic>
              </a:graphicData>
            </a:graphic>
          </wp:inline>
        </w:drawing>
      </w:r>
    </w:p>
    <w:p w14:paraId="16162633" w14:textId="77777777" w:rsidR="0092061E" w:rsidRDefault="00817EEB">
      <w:pPr>
        <w:spacing w:before="60" w:after="80" w:line="264" w:lineRule="auto"/>
        <w:jc w:val="center"/>
      </w:pPr>
      <w:r>
        <w:rPr>
          <w:rFonts w:eastAsia="黑体"/>
          <w:sz w:val="15"/>
        </w:rPr>
        <w:t>图</w:t>
      </w:r>
      <w:r>
        <w:rPr>
          <w:rFonts w:eastAsia="黑体"/>
          <w:sz w:val="15"/>
        </w:rPr>
        <w:t xml:space="preserve"> 2 </w:t>
      </w:r>
      <w:proofErr w:type="spellStart"/>
      <w:r>
        <w:rPr>
          <w:rFonts w:eastAsia="黑体"/>
          <w:sz w:val="15"/>
        </w:rPr>
        <w:t>唑吡坦相关跌倒事件主信号、敏感性分析和稳健性汇总</w:t>
      </w:r>
      <w:proofErr w:type="spellEnd"/>
      <w:r>
        <w:rPr>
          <w:rFonts w:eastAsia="黑体"/>
          <w:sz w:val="15"/>
        </w:rPr>
        <w:br/>
        <w:t>Figure 2 Summary of main signal, sensitivity analysis, and robustness analyses for zolpidem-related falls</w:t>
      </w:r>
    </w:p>
    <w:p w14:paraId="6AC42BFF" w14:textId="77777777" w:rsidR="0092061E" w:rsidRDefault="00817EEB">
      <w:pPr>
        <w:keepNext/>
        <w:spacing w:before="60" w:after="40" w:line="264" w:lineRule="auto"/>
      </w:pPr>
      <w:r>
        <w:rPr>
          <w:rFonts w:eastAsia="楷体"/>
          <w:b/>
          <w:sz w:val="18"/>
        </w:rPr>
        <w:t xml:space="preserve">3.5 PT </w:t>
      </w:r>
      <w:proofErr w:type="spellStart"/>
      <w:r>
        <w:rPr>
          <w:rFonts w:eastAsia="楷体"/>
          <w:b/>
          <w:sz w:val="18"/>
        </w:rPr>
        <w:t>共现网络分析</w:t>
      </w:r>
      <w:proofErr w:type="spellEnd"/>
    </w:p>
    <w:p w14:paraId="02D8BBB1" w14:textId="77777777" w:rsidR="0092061E" w:rsidRDefault="00817EEB">
      <w:pPr>
        <w:ind w:firstLine="420"/>
      </w:pPr>
      <w:r>
        <w:t>在</w:t>
      </w:r>
      <w:r>
        <w:t xml:space="preserve"> 1 058 </w:t>
      </w:r>
      <w:proofErr w:type="spellStart"/>
      <w:r>
        <w:t>例唑吡坦相关跌倒病例中，常见共现</w:t>
      </w:r>
      <w:proofErr w:type="spellEnd"/>
      <w:r>
        <w:t xml:space="preserve"> PT </w:t>
      </w:r>
      <w:proofErr w:type="spellStart"/>
      <w:r>
        <w:t>包括意识模糊、眩晕、低血压、晕厥、协调异常、认知障碍、挫伤、活动能力下降、谵妄、步态异常和镇静等。其中，</w:t>
      </w:r>
      <w:r>
        <w:t>CONFUSIONAL</w:t>
      </w:r>
      <w:proofErr w:type="spellEnd"/>
      <w:r>
        <w:t xml:space="preserve"> STATE 221 </w:t>
      </w:r>
      <w:r>
        <w:t>例（</w:t>
      </w:r>
      <w:r>
        <w:t>20.89%</w:t>
      </w:r>
      <w:r>
        <w:t>）、</w:t>
      </w:r>
      <w:r>
        <w:t xml:space="preserve">DIZZINESS 123 </w:t>
      </w:r>
      <w:r>
        <w:t>例（</w:t>
      </w:r>
      <w:r>
        <w:t>11.63%</w:t>
      </w:r>
      <w:r>
        <w:t>）、</w:t>
      </w:r>
      <w:r>
        <w:t xml:space="preserve">HYPOTENSION 90 </w:t>
      </w:r>
      <w:r>
        <w:t>例（</w:t>
      </w:r>
      <w:r>
        <w:t>8.51%</w:t>
      </w:r>
      <w:r>
        <w:t>）、</w:t>
      </w:r>
      <w:r>
        <w:t xml:space="preserve">SYNCOPE 79 </w:t>
      </w:r>
      <w:r>
        <w:t>例（</w:t>
      </w:r>
      <w:r>
        <w:t>7.47%</w:t>
      </w:r>
      <w:r>
        <w:t>）、</w:t>
      </w:r>
      <w:r>
        <w:t xml:space="preserve">COORDINATION ABNORMAL 78 </w:t>
      </w:r>
      <w:r>
        <w:t>例（</w:t>
      </w:r>
      <w:r>
        <w:t>7.37%</w:t>
      </w:r>
      <w:r>
        <w:t>）、</w:t>
      </w:r>
      <w:r>
        <w:t xml:space="preserve">COGNITIVE DISORDER 70 </w:t>
      </w:r>
      <w:r>
        <w:t>例（</w:t>
      </w:r>
      <w:r>
        <w:t>6.62%</w:t>
      </w:r>
      <w:r>
        <w:t>）。</w:t>
      </w:r>
    </w:p>
    <w:p w14:paraId="4FA537E9" w14:textId="77777777" w:rsidR="0092061E" w:rsidRDefault="00817EEB">
      <w:pPr>
        <w:spacing w:before="60" w:after="80" w:line="264" w:lineRule="auto"/>
        <w:jc w:val="center"/>
      </w:pPr>
      <w:r>
        <w:rPr>
          <w:rFonts w:eastAsia="黑体"/>
          <w:sz w:val="15"/>
        </w:rPr>
        <w:t>表</w:t>
      </w:r>
      <w:r>
        <w:rPr>
          <w:rFonts w:eastAsia="黑体"/>
          <w:sz w:val="15"/>
        </w:rPr>
        <w:t xml:space="preserve"> 3 </w:t>
      </w:r>
      <w:proofErr w:type="spellStart"/>
      <w:r>
        <w:rPr>
          <w:rFonts w:eastAsia="黑体"/>
          <w:sz w:val="15"/>
        </w:rPr>
        <w:t>唑吡坦相关跌倒病例中常见共现</w:t>
      </w:r>
      <w:proofErr w:type="spellEnd"/>
      <w:r>
        <w:rPr>
          <w:rFonts w:eastAsia="黑体"/>
          <w:sz w:val="15"/>
        </w:rPr>
        <w:t xml:space="preserve"> PT</w:t>
      </w:r>
      <w:r>
        <w:rPr>
          <w:rFonts w:eastAsia="黑体"/>
          <w:sz w:val="15"/>
        </w:rPr>
        <w:br/>
        <w:t>Table 3 Common co-reported preferred terms in zolpidem-related fall cases</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126"/>
        <w:gridCol w:w="1127"/>
        <w:gridCol w:w="1127"/>
        <w:gridCol w:w="1127"/>
      </w:tblGrid>
      <w:tr w:rsidR="0092061E" w14:paraId="36ABD296" w14:textId="77777777">
        <w:trPr>
          <w:jc w:val="center"/>
        </w:trPr>
        <w:tc>
          <w:tcPr>
            <w:tcW w:w="1126" w:type="dxa"/>
            <w:tcBorders>
              <w:top w:val="single" w:sz="8" w:space="0" w:color="7F7F7F"/>
              <w:left w:val="nil"/>
              <w:bottom w:val="single" w:sz="8" w:space="0" w:color="7F7F7F"/>
              <w:right w:val="nil"/>
            </w:tcBorders>
            <w:shd w:val="clear" w:color="auto" w:fill="EDEDED"/>
            <w:vAlign w:val="center"/>
          </w:tcPr>
          <w:p w14:paraId="105ED1D9" w14:textId="77777777" w:rsidR="0092061E" w:rsidRDefault="00817EEB">
            <w:pPr>
              <w:spacing w:line="240" w:lineRule="auto"/>
              <w:jc w:val="center"/>
            </w:pPr>
            <w:r>
              <w:rPr>
                <w:b/>
                <w:sz w:val="14"/>
              </w:rPr>
              <w:t>PT</w:t>
            </w:r>
          </w:p>
        </w:tc>
        <w:tc>
          <w:tcPr>
            <w:tcW w:w="1126" w:type="dxa"/>
            <w:tcBorders>
              <w:top w:val="single" w:sz="8" w:space="0" w:color="7F7F7F"/>
              <w:left w:val="nil"/>
              <w:bottom w:val="single" w:sz="8" w:space="0" w:color="7F7F7F"/>
              <w:right w:val="nil"/>
            </w:tcBorders>
            <w:shd w:val="clear" w:color="auto" w:fill="EDEDED"/>
            <w:vAlign w:val="center"/>
          </w:tcPr>
          <w:p w14:paraId="20A5210A" w14:textId="77777777" w:rsidR="0092061E" w:rsidRDefault="00817EEB">
            <w:pPr>
              <w:spacing w:line="240" w:lineRule="auto"/>
              <w:jc w:val="center"/>
            </w:pPr>
            <w:proofErr w:type="spellStart"/>
            <w:r>
              <w:rPr>
                <w:b/>
                <w:sz w:val="14"/>
              </w:rPr>
              <w:t>病例数</w:t>
            </w:r>
            <w:proofErr w:type="spellEnd"/>
          </w:p>
        </w:tc>
        <w:tc>
          <w:tcPr>
            <w:tcW w:w="1126" w:type="dxa"/>
            <w:tcBorders>
              <w:top w:val="single" w:sz="8" w:space="0" w:color="7F7F7F"/>
              <w:left w:val="nil"/>
              <w:bottom w:val="single" w:sz="8" w:space="0" w:color="7F7F7F"/>
              <w:right w:val="nil"/>
            </w:tcBorders>
            <w:shd w:val="clear" w:color="auto" w:fill="EDEDED"/>
            <w:vAlign w:val="center"/>
          </w:tcPr>
          <w:p w14:paraId="79F140BD" w14:textId="77777777" w:rsidR="0092061E" w:rsidRDefault="00817EEB">
            <w:pPr>
              <w:spacing w:line="240" w:lineRule="auto"/>
              <w:jc w:val="center"/>
            </w:pPr>
            <w:proofErr w:type="spellStart"/>
            <w:r>
              <w:rPr>
                <w:b/>
                <w:sz w:val="14"/>
              </w:rPr>
              <w:t>占比</w:t>
            </w:r>
            <w:proofErr w:type="spellEnd"/>
          </w:p>
        </w:tc>
        <w:tc>
          <w:tcPr>
            <w:tcW w:w="1126" w:type="dxa"/>
            <w:tcBorders>
              <w:top w:val="single" w:sz="8" w:space="0" w:color="7F7F7F"/>
              <w:left w:val="nil"/>
              <w:bottom w:val="single" w:sz="8" w:space="0" w:color="7F7F7F"/>
              <w:right w:val="nil"/>
            </w:tcBorders>
            <w:shd w:val="clear" w:color="auto" w:fill="EDEDED"/>
            <w:vAlign w:val="center"/>
          </w:tcPr>
          <w:p w14:paraId="374D9722" w14:textId="77777777" w:rsidR="0092061E" w:rsidRDefault="00817EEB">
            <w:pPr>
              <w:spacing w:line="240" w:lineRule="auto"/>
              <w:jc w:val="center"/>
            </w:pPr>
            <w:proofErr w:type="spellStart"/>
            <w:r>
              <w:rPr>
                <w:b/>
                <w:sz w:val="14"/>
              </w:rPr>
              <w:t>主要症状群</w:t>
            </w:r>
            <w:proofErr w:type="spellEnd"/>
          </w:p>
        </w:tc>
      </w:tr>
      <w:tr w:rsidR="0092061E" w14:paraId="58702285" w14:textId="77777777">
        <w:trPr>
          <w:jc w:val="center"/>
        </w:trPr>
        <w:tc>
          <w:tcPr>
            <w:tcW w:w="1126" w:type="dxa"/>
            <w:tcBorders>
              <w:top w:val="single" w:sz="4" w:space="0" w:color="C8C8C8"/>
              <w:left w:val="nil"/>
              <w:bottom w:val="single" w:sz="4" w:space="0" w:color="C8C8C8"/>
              <w:right w:val="nil"/>
            </w:tcBorders>
            <w:vAlign w:val="center"/>
          </w:tcPr>
          <w:p w14:paraId="78BA9928" w14:textId="77777777" w:rsidR="0092061E" w:rsidRDefault="00817EEB">
            <w:pPr>
              <w:spacing w:line="240" w:lineRule="auto"/>
              <w:jc w:val="center"/>
            </w:pPr>
            <w:r>
              <w:rPr>
                <w:sz w:val="14"/>
              </w:rPr>
              <w:t>CONFUSIONAL STATE</w:t>
            </w:r>
          </w:p>
        </w:tc>
        <w:tc>
          <w:tcPr>
            <w:tcW w:w="1126" w:type="dxa"/>
            <w:tcBorders>
              <w:top w:val="single" w:sz="4" w:space="0" w:color="C8C8C8"/>
              <w:left w:val="nil"/>
              <w:bottom w:val="single" w:sz="4" w:space="0" w:color="C8C8C8"/>
              <w:right w:val="nil"/>
            </w:tcBorders>
            <w:vAlign w:val="center"/>
          </w:tcPr>
          <w:p w14:paraId="29929D7A" w14:textId="77777777" w:rsidR="0092061E" w:rsidRDefault="00817EEB">
            <w:pPr>
              <w:spacing w:line="240" w:lineRule="auto"/>
              <w:jc w:val="center"/>
            </w:pPr>
            <w:r>
              <w:rPr>
                <w:sz w:val="14"/>
              </w:rPr>
              <w:t>221</w:t>
            </w:r>
          </w:p>
        </w:tc>
        <w:tc>
          <w:tcPr>
            <w:tcW w:w="1126" w:type="dxa"/>
            <w:tcBorders>
              <w:top w:val="single" w:sz="4" w:space="0" w:color="C8C8C8"/>
              <w:left w:val="nil"/>
              <w:bottom w:val="single" w:sz="4" w:space="0" w:color="C8C8C8"/>
              <w:right w:val="nil"/>
            </w:tcBorders>
            <w:vAlign w:val="center"/>
          </w:tcPr>
          <w:p w14:paraId="78B0143A" w14:textId="77777777" w:rsidR="0092061E" w:rsidRDefault="00817EEB">
            <w:pPr>
              <w:spacing w:line="240" w:lineRule="auto"/>
              <w:jc w:val="center"/>
            </w:pPr>
            <w:r>
              <w:rPr>
                <w:sz w:val="14"/>
              </w:rPr>
              <w:t>20.89%</w:t>
            </w:r>
          </w:p>
        </w:tc>
        <w:tc>
          <w:tcPr>
            <w:tcW w:w="1126" w:type="dxa"/>
            <w:tcBorders>
              <w:top w:val="single" w:sz="4" w:space="0" w:color="C8C8C8"/>
              <w:left w:val="nil"/>
              <w:bottom w:val="single" w:sz="4" w:space="0" w:color="C8C8C8"/>
              <w:right w:val="nil"/>
            </w:tcBorders>
            <w:vAlign w:val="center"/>
          </w:tcPr>
          <w:p w14:paraId="1604FD25" w14:textId="77777777" w:rsidR="0092061E" w:rsidRDefault="00817EEB">
            <w:pPr>
              <w:spacing w:line="240" w:lineRule="auto"/>
              <w:jc w:val="center"/>
            </w:pPr>
            <w:proofErr w:type="spellStart"/>
            <w:r>
              <w:rPr>
                <w:sz w:val="14"/>
              </w:rPr>
              <w:t>意识</w:t>
            </w:r>
            <w:proofErr w:type="spellEnd"/>
            <w:r>
              <w:rPr>
                <w:sz w:val="14"/>
              </w:rPr>
              <w:t>/</w:t>
            </w:r>
            <w:proofErr w:type="spellStart"/>
            <w:r>
              <w:rPr>
                <w:sz w:val="14"/>
              </w:rPr>
              <w:t>认知改变</w:t>
            </w:r>
            <w:proofErr w:type="spellEnd"/>
          </w:p>
        </w:tc>
      </w:tr>
      <w:tr w:rsidR="0092061E" w14:paraId="0A78AC4E" w14:textId="77777777">
        <w:trPr>
          <w:jc w:val="center"/>
        </w:trPr>
        <w:tc>
          <w:tcPr>
            <w:tcW w:w="1126" w:type="dxa"/>
            <w:tcBorders>
              <w:top w:val="single" w:sz="4" w:space="0" w:color="C8C8C8"/>
              <w:left w:val="nil"/>
              <w:bottom w:val="single" w:sz="4" w:space="0" w:color="C8C8C8"/>
              <w:right w:val="nil"/>
            </w:tcBorders>
            <w:vAlign w:val="center"/>
          </w:tcPr>
          <w:p w14:paraId="60E93D5A" w14:textId="77777777" w:rsidR="0092061E" w:rsidRDefault="00817EEB">
            <w:pPr>
              <w:spacing w:line="240" w:lineRule="auto"/>
              <w:jc w:val="center"/>
            </w:pPr>
            <w:r>
              <w:rPr>
                <w:sz w:val="14"/>
              </w:rPr>
              <w:t>DIZZINESS</w:t>
            </w:r>
          </w:p>
        </w:tc>
        <w:tc>
          <w:tcPr>
            <w:tcW w:w="1126" w:type="dxa"/>
            <w:tcBorders>
              <w:top w:val="single" w:sz="4" w:space="0" w:color="C8C8C8"/>
              <w:left w:val="nil"/>
              <w:bottom w:val="single" w:sz="4" w:space="0" w:color="C8C8C8"/>
              <w:right w:val="nil"/>
            </w:tcBorders>
            <w:vAlign w:val="center"/>
          </w:tcPr>
          <w:p w14:paraId="6EE39B41" w14:textId="77777777" w:rsidR="0092061E" w:rsidRDefault="00817EEB">
            <w:pPr>
              <w:spacing w:line="240" w:lineRule="auto"/>
              <w:jc w:val="center"/>
            </w:pPr>
            <w:r>
              <w:rPr>
                <w:sz w:val="14"/>
              </w:rPr>
              <w:t>123</w:t>
            </w:r>
          </w:p>
        </w:tc>
        <w:tc>
          <w:tcPr>
            <w:tcW w:w="1126" w:type="dxa"/>
            <w:tcBorders>
              <w:top w:val="single" w:sz="4" w:space="0" w:color="C8C8C8"/>
              <w:left w:val="nil"/>
              <w:bottom w:val="single" w:sz="4" w:space="0" w:color="C8C8C8"/>
              <w:right w:val="nil"/>
            </w:tcBorders>
            <w:vAlign w:val="center"/>
          </w:tcPr>
          <w:p w14:paraId="2CC80C98" w14:textId="77777777" w:rsidR="0092061E" w:rsidRDefault="00817EEB">
            <w:pPr>
              <w:spacing w:line="240" w:lineRule="auto"/>
              <w:jc w:val="center"/>
            </w:pPr>
            <w:r>
              <w:rPr>
                <w:sz w:val="14"/>
              </w:rPr>
              <w:t>11.63%</w:t>
            </w:r>
          </w:p>
        </w:tc>
        <w:tc>
          <w:tcPr>
            <w:tcW w:w="1126" w:type="dxa"/>
            <w:tcBorders>
              <w:top w:val="single" w:sz="4" w:space="0" w:color="C8C8C8"/>
              <w:left w:val="nil"/>
              <w:bottom w:val="single" w:sz="4" w:space="0" w:color="C8C8C8"/>
              <w:right w:val="nil"/>
            </w:tcBorders>
            <w:vAlign w:val="center"/>
          </w:tcPr>
          <w:p w14:paraId="1197DFFD" w14:textId="77777777" w:rsidR="0092061E" w:rsidRDefault="00817EEB">
            <w:pPr>
              <w:spacing w:line="240" w:lineRule="auto"/>
              <w:jc w:val="center"/>
            </w:pPr>
            <w:proofErr w:type="spellStart"/>
            <w:r>
              <w:rPr>
                <w:sz w:val="14"/>
              </w:rPr>
              <w:t>眩晕</w:t>
            </w:r>
            <w:proofErr w:type="spellEnd"/>
            <w:r>
              <w:rPr>
                <w:sz w:val="14"/>
              </w:rPr>
              <w:t>/</w:t>
            </w:r>
            <w:proofErr w:type="spellStart"/>
            <w:r>
              <w:rPr>
                <w:sz w:val="14"/>
              </w:rPr>
              <w:t>晕厥</w:t>
            </w:r>
            <w:proofErr w:type="spellEnd"/>
          </w:p>
        </w:tc>
      </w:tr>
      <w:tr w:rsidR="0092061E" w14:paraId="429EB2C8" w14:textId="77777777">
        <w:trPr>
          <w:jc w:val="center"/>
        </w:trPr>
        <w:tc>
          <w:tcPr>
            <w:tcW w:w="1126" w:type="dxa"/>
            <w:tcBorders>
              <w:top w:val="single" w:sz="4" w:space="0" w:color="C8C8C8"/>
              <w:left w:val="nil"/>
              <w:bottom w:val="single" w:sz="4" w:space="0" w:color="C8C8C8"/>
              <w:right w:val="nil"/>
            </w:tcBorders>
            <w:vAlign w:val="center"/>
          </w:tcPr>
          <w:p w14:paraId="5276D313" w14:textId="77777777" w:rsidR="0092061E" w:rsidRDefault="00817EEB">
            <w:pPr>
              <w:spacing w:line="240" w:lineRule="auto"/>
              <w:jc w:val="center"/>
            </w:pPr>
            <w:r>
              <w:rPr>
                <w:sz w:val="14"/>
              </w:rPr>
              <w:t>HYPOTENSION</w:t>
            </w:r>
          </w:p>
        </w:tc>
        <w:tc>
          <w:tcPr>
            <w:tcW w:w="1126" w:type="dxa"/>
            <w:tcBorders>
              <w:top w:val="single" w:sz="4" w:space="0" w:color="C8C8C8"/>
              <w:left w:val="nil"/>
              <w:bottom w:val="single" w:sz="4" w:space="0" w:color="C8C8C8"/>
              <w:right w:val="nil"/>
            </w:tcBorders>
            <w:vAlign w:val="center"/>
          </w:tcPr>
          <w:p w14:paraId="338C5639" w14:textId="77777777" w:rsidR="0092061E" w:rsidRDefault="00817EEB">
            <w:pPr>
              <w:spacing w:line="240" w:lineRule="auto"/>
              <w:jc w:val="center"/>
            </w:pPr>
            <w:r>
              <w:rPr>
                <w:sz w:val="14"/>
              </w:rPr>
              <w:t>90</w:t>
            </w:r>
          </w:p>
        </w:tc>
        <w:tc>
          <w:tcPr>
            <w:tcW w:w="1126" w:type="dxa"/>
            <w:tcBorders>
              <w:top w:val="single" w:sz="4" w:space="0" w:color="C8C8C8"/>
              <w:left w:val="nil"/>
              <w:bottom w:val="single" w:sz="4" w:space="0" w:color="C8C8C8"/>
              <w:right w:val="nil"/>
            </w:tcBorders>
            <w:vAlign w:val="center"/>
          </w:tcPr>
          <w:p w14:paraId="29D485C6" w14:textId="77777777" w:rsidR="0092061E" w:rsidRDefault="00817EEB">
            <w:pPr>
              <w:spacing w:line="240" w:lineRule="auto"/>
              <w:jc w:val="center"/>
            </w:pPr>
            <w:r>
              <w:rPr>
                <w:sz w:val="14"/>
              </w:rPr>
              <w:t>8.51%</w:t>
            </w:r>
          </w:p>
        </w:tc>
        <w:tc>
          <w:tcPr>
            <w:tcW w:w="1126" w:type="dxa"/>
            <w:tcBorders>
              <w:top w:val="single" w:sz="4" w:space="0" w:color="C8C8C8"/>
              <w:left w:val="nil"/>
              <w:bottom w:val="single" w:sz="4" w:space="0" w:color="C8C8C8"/>
              <w:right w:val="nil"/>
            </w:tcBorders>
            <w:vAlign w:val="center"/>
          </w:tcPr>
          <w:p w14:paraId="591CD831" w14:textId="77777777" w:rsidR="0092061E" w:rsidRDefault="00817EEB">
            <w:pPr>
              <w:spacing w:line="240" w:lineRule="auto"/>
              <w:jc w:val="center"/>
            </w:pPr>
            <w:proofErr w:type="spellStart"/>
            <w:r>
              <w:rPr>
                <w:sz w:val="14"/>
              </w:rPr>
              <w:t>低血压</w:t>
            </w:r>
            <w:proofErr w:type="spellEnd"/>
          </w:p>
        </w:tc>
      </w:tr>
      <w:tr w:rsidR="0092061E" w14:paraId="0107546C" w14:textId="77777777">
        <w:trPr>
          <w:jc w:val="center"/>
        </w:trPr>
        <w:tc>
          <w:tcPr>
            <w:tcW w:w="1126" w:type="dxa"/>
            <w:tcBorders>
              <w:top w:val="single" w:sz="4" w:space="0" w:color="C8C8C8"/>
              <w:left w:val="nil"/>
              <w:bottom w:val="single" w:sz="4" w:space="0" w:color="C8C8C8"/>
              <w:right w:val="nil"/>
            </w:tcBorders>
            <w:vAlign w:val="center"/>
          </w:tcPr>
          <w:p w14:paraId="5D3D7A79" w14:textId="77777777" w:rsidR="0092061E" w:rsidRDefault="00817EEB">
            <w:pPr>
              <w:spacing w:line="240" w:lineRule="auto"/>
              <w:jc w:val="center"/>
            </w:pPr>
            <w:r>
              <w:rPr>
                <w:sz w:val="14"/>
              </w:rPr>
              <w:t>SYNCOPE</w:t>
            </w:r>
          </w:p>
        </w:tc>
        <w:tc>
          <w:tcPr>
            <w:tcW w:w="1126" w:type="dxa"/>
            <w:tcBorders>
              <w:top w:val="single" w:sz="4" w:space="0" w:color="C8C8C8"/>
              <w:left w:val="nil"/>
              <w:bottom w:val="single" w:sz="4" w:space="0" w:color="C8C8C8"/>
              <w:right w:val="nil"/>
            </w:tcBorders>
            <w:vAlign w:val="center"/>
          </w:tcPr>
          <w:p w14:paraId="1A90494E" w14:textId="77777777" w:rsidR="0092061E" w:rsidRDefault="00817EEB">
            <w:pPr>
              <w:spacing w:line="240" w:lineRule="auto"/>
              <w:jc w:val="center"/>
            </w:pPr>
            <w:r>
              <w:rPr>
                <w:sz w:val="14"/>
              </w:rPr>
              <w:t>79</w:t>
            </w:r>
          </w:p>
        </w:tc>
        <w:tc>
          <w:tcPr>
            <w:tcW w:w="1126" w:type="dxa"/>
            <w:tcBorders>
              <w:top w:val="single" w:sz="4" w:space="0" w:color="C8C8C8"/>
              <w:left w:val="nil"/>
              <w:bottom w:val="single" w:sz="4" w:space="0" w:color="C8C8C8"/>
              <w:right w:val="nil"/>
            </w:tcBorders>
            <w:vAlign w:val="center"/>
          </w:tcPr>
          <w:p w14:paraId="2C58E48B" w14:textId="77777777" w:rsidR="0092061E" w:rsidRDefault="00817EEB">
            <w:pPr>
              <w:spacing w:line="240" w:lineRule="auto"/>
              <w:jc w:val="center"/>
            </w:pPr>
            <w:r>
              <w:rPr>
                <w:sz w:val="14"/>
              </w:rPr>
              <w:t>7.47%</w:t>
            </w:r>
          </w:p>
        </w:tc>
        <w:tc>
          <w:tcPr>
            <w:tcW w:w="1126" w:type="dxa"/>
            <w:tcBorders>
              <w:top w:val="single" w:sz="4" w:space="0" w:color="C8C8C8"/>
              <w:left w:val="nil"/>
              <w:bottom w:val="single" w:sz="4" w:space="0" w:color="C8C8C8"/>
              <w:right w:val="nil"/>
            </w:tcBorders>
            <w:vAlign w:val="center"/>
          </w:tcPr>
          <w:p w14:paraId="69446C9B" w14:textId="77777777" w:rsidR="0092061E" w:rsidRDefault="00817EEB">
            <w:pPr>
              <w:spacing w:line="240" w:lineRule="auto"/>
              <w:jc w:val="center"/>
            </w:pPr>
            <w:proofErr w:type="spellStart"/>
            <w:r>
              <w:rPr>
                <w:sz w:val="14"/>
              </w:rPr>
              <w:t>眩晕</w:t>
            </w:r>
            <w:proofErr w:type="spellEnd"/>
            <w:r>
              <w:rPr>
                <w:sz w:val="14"/>
              </w:rPr>
              <w:t>/</w:t>
            </w:r>
            <w:proofErr w:type="spellStart"/>
            <w:r>
              <w:rPr>
                <w:sz w:val="14"/>
              </w:rPr>
              <w:t>晕厥</w:t>
            </w:r>
            <w:proofErr w:type="spellEnd"/>
          </w:p>
        </w:tc>
      </w:tr>
      <w:tr w:rsidR="0092061E" w14:paraId="0DCE7412" w14:textId="77777777">
        <w:trPr>
          <w:jc w:val="center"/>
        </w:trPr>
        <w:tc>
          <w:tcPr>
            <w:tcW w:w="1126" w:type="dxa"/>
            <w:tcBorders>
              <w:top w:val="single" w:sz="4" w:space="0" w:color="C8C8C8"/>
              <w:left w:val="nil"/>
              <w:bottom w:val="single" w:sz="4" w:space="0" w:color="C8C8C8"/>
              <w:right w:val="nil"/>
            </w:tcBorders>
            <w:vAlign w:val="center"/>
          </w:tcPr>
          <w:p w14:paraId="113E6C1C" w14:textId="77777777" w:rsidR="0092061E" w:rsidRDefault="00817EEB">
            <w:pPr>
              <w:spacing w:line="240" w:lineRule="auto"/>
              <w:jc w:val="center"/>
            </w:pPr>
            <w:r>
              <w:rPr>
                <w:sz w:val="14"/>
              </w:rPr>
              <w:t>COORDINATION ABNORMAL</w:t>
            </w:r>
          </w:p>
        </w:tc>
        <w:tc>
          <w:tcPr>
            <w:tcW w:w="1126" w:type="dxa"/>
            <w:tcBorders>
              <w:top w:val="single" w:sz="4" w:space="0" w:color="C8C8C8"/>
              <w:left w:val="nil"/>
              <w:bottom w:val="single" w:sz="4" w:space="0" w:color="C8C8C8"/>
              <w:right w:val="nil"/>
            </w:tcBorders>
            <w:vAlign w:val="center"/>
          </w:tcPr>
          <w:p w14:paraId="22C61C7B" w14:textId="77777777" w:rsidR="0092061E" w:rsidRDefault="00817EEB">
            <w:pPr>
              <w:spacing w:line="240" w:lineRule="auto"/>
              <w:jc w:val="center"/>
            </w:pPr>
            <w:r>
              <w:rPr>
                <w:sz w:val="14"/>
              </w:rPr>
              <w:t>78</w:t>
            </w:r>
          </w:p>
        </w:tc>
        <w:tc>
          <w:tcPr>
            <w:tcW w:w="1126" w:type="dxa"/>
            <w:tcBorders>
              <w:top w:val="single" w:sz="4" w:space="0" w:color="C8C8C8"/>
              <w:left w:val="nil"/>
              <w:bottom w:val="single" w:sz="4" w:space="0" w:color="C8C8C8"/>
              <w:right w:val="nil"/>
            </w:tcBorders>
            <w:vAlign w:val="center"/>
          </w:tcPr>
          <w:p w14:paraId="253F6367" w14:textId="77777777" w:rsidR="0092061E" w:rsidRDefault="00817EEB">
            <w:pPr>
              <w:spacing w:line="240" w:lineRule="auto"/>
              <w:jc w:val="center"/>
            </w:pPr>
            <w:r>
              <w:rPr>
                <w:sz w:val="14"/>
              </w:rPr>
              <w:t>7.37%</w:t>
            </w:r>
          </w:p>
        </w:tc>
        <w:tc>
          <w:tcPr>
            <w:tcW w:w="1126" w:type="dxa"/>
            <w:tcBorders>
              <w:top w:val="single" w:sz="4" w:space="0" w:color="C8C8C8"/>
              <w:left w:val="nil"/>
              <w:bottom w:val="single" w:sz="4" w:space="0" w:color="C8C8C8"/>
              <w:right w:val="nil"/>
            </w:tcBorders>
            <w:vAlign w:val="center"/>
          </w:tcPr>
          <w:p w14:paraId="0BD537E8" w14:textId="77777777" w:rsidR="0092061E" w:rsidRDefault="00817EEB">
            <w:pPr>
              <w:spacing w:line="240" w:lineRule="auto"/>
              <w:jc w:val="center"/>
              <w:rPr>
                <w:lang w:eastAsia="zh-CN"/>
              </w:rPr>
            </w:pPr>
            <w:r>
              <w:rPr>
                <w:sz w:val="14"/>
                <w:lang w:eastAsia="zh-CN"/>
              </w:rPr>
              <w:t>步态</w:t>
            </w:r>
            <w:r>
              <w:rPr>
                <w:sz w:val="14"/>
                <w:lang w:eastAsia="zh-CN"/>
              </w:rPr>
              <w:t>/</w:t>
            </w:r>
            <w:r>
              <w:rPr>
                <w:sz w:val="14"/>
                <w:lang w:eastAsia="zh-CN"/>
              </w:rPr>
              <w:t>平衡</w:t>
            </w:r>
            <w:r>
              <w:rPr>
                <w:sz w:val="14"/>
                <w:lang w:eastAsia="zh-CN"/>
              </w:rPr>
              <w:t>/</w:t>
            </w:r>
            <w:r>
              <w:rPr>
                <w:sz w:val="14"/>
                <w:lang w:eastAsia="zh-CN"/>
              </w:rPr>
              <w:t>运动控制异常</w:t>
            </w:r>
          </w:p>
        </w:tc>
      </w:tr>
      <w:tr w:rsidR="0092061E" w14:paraId="2DBF726A" w14:textId="77777777">
        <w:trPr>
          <w:jc w:val="center"/>
        </w:trPr>
        <w:tc>
          <w:tcPr>
            <w:tcW w:w="1126" w:type="dxa"/>
            <w:tcBorders>
              <w:top w:val="single" w:sz="4" w:space="0" w:color="C8C8C8"/>
              <w:left w:val="nil"/>
              <w:bottom w:val="single" w:sz="4" w:space="0" w:color="C8C8C8"/>
              <w:right w:val="nil"/>
            </w:tcBorders>
            <w:vAlign w:val="center"/>
          </w:tcPr>
          <w:p w14:paraId="44479BE3" w14:textId="77777777" w:rsidR="0092061E" w:rsidRDefault="00817EEB">
            <w:pPr>
              <w:spacing w:line="240" w:lineRule="auto"/>
              <w:jc w:val="center"/>
            </w:pPr>
            <w:r>
              <w:rPr>
                <w:sz w:val="14"/>
              </w:rPr>
              <w:t>COGNITIVE DISORDER</w:t>
            </w:r>
          </w:p>
        </w:tc>
        <w:tc>
          <w:tcPr>
            <w:tcW w:w="1126" w:type="dxa"/>
            <w:tcBorders>
              <w:top w:val="single" w:sz="4" w:space="0" w:color="C8C8C8"/>
              <w:left w:val="nil"/>
              <w:bottom w:val="single" w:sz="4" w:space="0" w:color="C8C8C8"/>
              <w:right w:val="nil"/>
            </w:tcBorders>
            <w:vAlign w:val="center"/>
          </w:tcPr>
          <w:p w14:paraId="0A341E49" w14:textId="77777777" w:rsidR="0092061E" w:rsidRDefault="00817EEB">
            <w:pPr>
              <w:spacing w:line="240" w:lineRule="auto"/>
              <w:jc w:val="center"/>
            </w:pPr>
            <w:r>
              <w:rPr>
                <w:sz w:val="14"/>
              </w:rPr>
              <w:t>70</w:t>
            </w:r>
          </w:p>
        </w:tc>
        <w:tc>
          <w:tcPr>
            <w:tcW w:w="1126" w:type="dxa"/>
            <w:tcBorders>
              <w:top w:val="single" w:sz="4" w:space="0" w:color="C8C8C8"/>
              <w:left w:val="nil"/>
              <w:bottom w:val="single" w:sz="4" w:space="0" w:color="C8C8C8"/>
              <w:right w:val="nil"/>
            </w:tcBorders>
            <w:vAlign w:val="center"/>
          </w:tcPr>
          <w:p w14:paraId="0C7A84FB" w14:textId="77777777" w:rsidR="0092061E" w:rsidRDefault="00817EEB">
            <w:pPr>
              <w:spacing w:line="240" w:lineRule="auto"/>
              <w:jc w:val="center"/>
            </w:pPr>
            <w:r>
              <w:rPr>
                <w:sz w:val="14"/>
              </w:rPr>
              <w:t>6.62%</w:t>
            </w:r>
          </w:p>
        </w:tc>
        <w:tc>
          <w:tcPr>
            <w:tcW w:w="1126" w:type="dxa"/>
            <w:tcBorders>
              <w:top w:val="single" w:sz="4" w:space="0" w:color="C8C8C8"/>
              <w:left w:val="nil"/>
              <w:bottom w:val="single" w:sz="4" w:space="0" w:color="C8C8C8"/>
              <w:right w:val="nil"/>
            </w:tcBorders>
            <w:vAlign w:val="center"/>
          </w:tcPr>
          <w:p w14:paraId="534C35F9" w14:textId="77777777" w:rsidR="0092061E" w:rsidRDefault="00817EEB">
            <w:pPr>
              <w:spacing w:line="240" w:lineRule="auto"/>
              <w:jc w:val="center"/>
            </w:pPr>
            <w:proofErr w:type="spellStart"/>
            <w:r>
              <w:rPr>
                <w:sz w:val="14"/>
              </w:rPr>
              <w:t>意识</w:t>
            </w:r>
            <w:proofErr w:type="spellEnd"/>
            <w:r>
              <w:rPr>
                <w:sz w:val="14"/>
              </w:rPr>
              <w:t>/</w:t>
            </w:r>
            <w:proofErr w:type="spellStart"/>
            <w:r>
              <w:rPr>
                <w:sz w:val="14"/>
              </w:rPr>
              <w:t>认知改变</w:t>
            </w:r>
            <w:proofErr w:type="spellEnd"/>
          </w:p>
        </w:tc>
      </w:tr>
      <w:tr w:rsidR="0092061E" w14:paraId="61F8EEA0" w14:textId="77777777">
        <w:trPr>
          <w:jc w:val="center"/>
        </w:trPr>
        <w:tc>
          <w:tcPr>
            <w:tcW w:w="1126" w:type="dxa"/>
            <w:tcBorders>
              <w:top w:val="single" w:sz="4" w:space="0" w:color="C8C8C8"/>
              <w:left w:val="nil"/>
              <w:bottom w:val="single" w:sz="4" w:space="0" w:color="C8C8C8"/>
              <w:right w:val="nil"/>
            </w:tcBorders>
            <w:vAlign w:val="center"/>
          </w:tcPr>
          <w:p w14:paraId="249527FF" w14:textId="77777777" w:rsidR="0092061E" w:rsidRDefault="00817EEB">
            <w:pPr>
              <w:spacing w:line="240" w:lineRule="auto"/>
              <w:jc w:val="center"/>
            </w:pPr>
            <w:r>
              <w:rPr>
                <w:sz w:val="14"/>
              </w:rPr>
              <w:t>CONTUSION</w:t>
            </w:r>
          </w:p>
        </w:tc>
        <w:tc>
          <w:tcPr>
            <w:tcW w:w="1126" w:type="dxa"/>
            <w:tcBorders>
              <w:top w:val="single" w:sz="4" w:space="0" w:color="C8C8C8"/>
              <w:left w:val="nil"/>
              <w:bottom w:val="single" w:sz="4" w:space="0" w:color="C8C8C8"/>
              <w:right w:val="nil"/>
            </w:tcBorders>
            <w:vAlign w:val="center"/>
          </w:tcPr>
          <w:p w14:paraId="092C332A" w14:textId="77777777" w:rsidR="0092061E" w:rsidRDefault="00817EEB">
            <w:pPr>
              <w:spacing w:line="240" w:lineRule="auto"/>
              <w:jc w:val="center"/>
            </w:pPr>
            <w:r>
              <w:rPr>
                <w:sz w:val="14"/>
              </w:rPr>
              <w:t>64</w:t>
            </w:r>
          </w:p>
        </w:tc>
        <w:tc>
          <w:tcPr>
            <w:tcW w:w="1126" w:type="dxa"/>
            <w:tcBorders>
              <w:top w:val="single" w:sz="4" w:space="0" w:color="C8C8C8"/>
              <w:left w:val="nil"/>
              <w:bottom w:val="single" w:sz="4" w:space="0" w:color="C8C8C8"/>
              <w:right w:val="nil"/>
            </w:tcBorders>
            <w:vAlign w:val="center"/>
          </w:tcPr>
          <w:p w14:paraId="7FB37758" w14:textId="77777777" w:rsidR="0092061E" w:rsidRDefault="00817EEB">
            <w:pPr>
              <w:spacing w:line="240" w:lineRule="auto"/>
              <w:jc w:val="center"/>
            </w:pPr>
            <w:r>
              <w:rPr>
                <w:sz w:val="14"/>
              </w:rPr>
              <w:t>6.05%</w:t>
            </w:r>
          </w:p>
        </w:tc>
        <w:tc>
          <w:tcPr>
            <w:tcW w:w="1126" w:type="dxa"/>
            <w:tcBorders>
              <w:top w:val="single" w:sz="4" w:space="0" w:color="C8C8C8"/>
              <w:left w:val="nil"/>
              <w:bottom w:val="single" w:sz="4" w:space="0" w:color="C8C8C8"/>
              <w:right w:val="nil"/>
            </w:tcBorders>
            <w:vAlign w:val="center"/>
          </w:tcPr>
          <w:p w14:paraId="22F667CD" w14:textId="77777777" w:rsidR="0092061E" w:rsidRDefault="00817EEB">
            <w:pPr>
              <w:spacing w:line="240" w:lineRule="auto"/>
              <w:jc w:val="center"/>
            </w:pPr>
            <w:proofErr w:type="spellStart"/>
            <w:r>
              <w:rPr>
                <w:sz w:val="14"/>
              </w:rPr>
              <w:t>损伤后果</w:t>
            </w:r>
            <w:proofErr w:type="spellEnd"/>
          </w:p>
        </w:tc>
      </w:tr>
      <w:tr w:rsidR="0092061E" w14:paraId="78F9FE67" w14:textId="77777777">
        <w:trPr>
          <w:jc w:val="center"/>
        </w:trPr>
        <w:tc>
          <w:tcPr>
            <w:tcW w:w="1126" w:type="dxa"/>
            <w:tcBorders>
              <w:top w:val="single" w:sz="4" w:space="0" w:color="C8C8C8"/>
              <w:left w:val="nil"/>
              <w:bottom w:val="single" w:sz="4" w:space="0" w:color="C8C8C8"/>
              <w:right w:val="nil"/>
            </w:tcBorders>
            <w:vAlign w:val="center"/>
          </w:tcPr>
          <w:p w14:paraId="25E75116" w14:textId="77777777" w:rsidR="0092061E" w:rsidRDefault="00817EEB">
            <w:pPr>
              <w:spacing w:line="240" w:lineRule="auto"/>
              <w:jc w:val="center"/>
            </w:pPr>
            <w:r>
              <w:rPr>
                <w:sz w:val="14"/>
              </w:rPr>
              <w:t>MOBILITY DECREASED</w:t>
            </w:r>
          </w:p>
        </w:tc>
        <w:tc>
          <w:tcPr>
            <w:tcW w:w="1126" w:type="dxa"/>
            <w:tcBorders>
              <w:top w:val="single" w:sz="4" w:space="0" w:color="C8C8C8"/>
              <w:left w:val="nil"/>
              <w:bottom w:val="single" w:sz="4" w:space="0" w:color="C8C8C8"/>
              <w:right w:val="nil"/>
            </w:tcBorders>
            <w:vAlign w:val="center"/>
          </w:tcPr>
          <w:p w14:paraId="361E6E1E" w14:textId="77777777" w:rsidR="0092061E" w:rsidRDefault="00817EEB">
            <w:pPr>
              <w:spacing w:line="240" w:lineRule="auto"/>
              <w:jc w:val="center"/>
            </w:pPr>
            <w:r>
              <w:rPr>
                <w:sz w:val="14"/>
              </w:rPr>
              <w:t>48</w:t>
            </w:r>
          </w:p>
        </w:tc>
        <w:tc>
          <w:tcPr>
            <w:tcW w:w="1126" w:type="dxa"/>
            <w:tcBorders>
              <w:top w:val="single" w:sz="4" w:space="0" w:color="C8C8C8"/>
              <w:left w:val="nil"/>
              <w:bottom w:val="single" w:sz="4" w:space="0" w:color="C8C8C8"/>
              <w:right w:val="nil"/>
            </w:tcBorders>
            <w:vAlign w:val="center"/>
          </w:tcPr>
          <w:p w14:paraId="4873466C" w14:textId="77777777" w:rsidR="0092061E" w:rsidRDefault="00817EEB">
            <w:pPr>
              <w:spacing w:line="240" w:lineRule="auto"/>
              <w:jc w:val="center"/>
            </w:pPr>
            <w:r>
              <w:rPr>
                <w:sz w:val="14"/>
              </w:rPr>
              <w:t>4.54%</w:t>
            </w:r>
          </w:p>
        </w:tc>
        <w:tc>
          <w:tcPr>
            <w:tcW w:w="1126" w:type="dxa"/>
            <w:tcBorders>
              <w:top w:val="single" w:sz="4" w:space="0" w:color="C8C8C8"/>
              <w:left w:val="nil"/>
              <w:bottom w:val="single" w:sz="4" w:space="0" w:color="C8C8C8"/>
              <w:right w:val="nil"/>
            </w:tcBorders>
            <w:vAlign w:val="center"/>
          </w:tcPr>
          <w:p w14:paraId="096168B1" w14:textId="77777777" w:rsidR="0092061E" w:rsidRDefault="00817EEB">
            <w:pPr>
              <w:spacing w:line="240" w:lineRule="auto"/>
              <w:jc w:val="center"/>
              <w:rPr>
                <w:lang w:eastAsia="zh-CN"/>
              </w:rPr>
            </w:pPr>
            <w:r>
              <w:rPr>
                <w:sz w:val="14"/>
                <w:lang w:eastAsia="zh-CN"/>
              </w:rPr>
              <w:t>步态</w:t>
            </w:r>
            <w:r>
              <w:rPr>
                <w:sz w:val="14"/>
                <w:lang w:eastAsia="zh-CN"/>
              </w:rPr>
              <w:t>/</w:t>
            </w:r>
            <w:r>
              <w:rPr>
                <w:sz w:val="14"/>
                <w:lang w:eastAsia="zh-CN"/>
              </w:rPr>
              <w:t>平衡</w:t>
            </w:r>
            <w:r>
              <w:rPr>
                <w:sz w:val="14"/>
                <w:lang w:eastAsia="zh-CN"/>
              </w:rPr>
              <w:t>/</w:t>
            </w:r>
            <w:r>
              <w:rPr>
                <w:sz w:val="14"/>
                <w:lang w:eastAsia="zh-CN"/>
              </w:rPr>
              <w:t>运动控制异常</w:t>
            </w:r>
          </w:p>
        </w:tc>
      </w:tr>
      <w:tr w:rsidR="0092061E" w14:paraId="7BB24BA5" w14:textId="77777777">
        <w:trPr>
          <w:jc w:val="center"/>
        </w:trPr>
        <w:tc>
          <w:tcPr>
            <w:tcW w:w="1126" w:type="dxa"/>
            <w:tcBorders>
              <w:top w:val="single" w:sz="4" w:space="0" w:color="C8C8C8"/>
              <w:left w:val="nil"/>
              <w:bottom w:val="single" w:sz="4" w:space="0" w:color="C8C8C8"/>
              <w:right w:val="nil"/>
            </w:tcBorders>
            <w:vAlign w:val="center"/>
          </w:tcPr>
          <w:p w14:paraId="29A1A6C9" w14:textId="77777777" w:rsidR="0092061E" w:rsidRDefault="00817EEB">
            <w:pPr>
              <w:spacing w:line="240" w:lineRule="auto"/>
              <w:jc w:val="center"/>
            </w:pPr>
            <w:r>
              <w:rPr>
                <w:sz w:val="14"/>
              </w:rPr>
              <w:t>DELIRIUM</w:t>
            </w:r>
          </w:p>
        </w:tc>
        <w:tc>
          <w:tcPr>
            <w:tcW w:w="1126" w:type="dxa"/>
            <w:tcBorders>
              <w:top w:val="single" w:sz="4" w:space="0" w:color="C8C8C8"/>
              <w:left w:val="nil"/>
              <w:bottom w:val="single" w:sz="4" w:space="0" w:color="C8C8C8"/>
              <w:right w:val="nil"/>
            </w:tcBorders>
            <w:vAlign w:val="center"/>
          </w:tcPr>
          <w:p w14:paraId="3988401E" w14:textId="77777777" w:rsidR="0092061E" w:rsidRDefault="00817EEB">
            <w:pPr>
              <w:spacing w:line="240" w:lineRule="auto"/>
              <w:jc w:val="center"/>
            </w:pPr>
            <w:r>
              <w:rPr>
                <w:sz w:val="14"/>
              </w:rPr>
              <w:t>44</w:t>
            </w:r>
          </w:p>
        </w:tc>
        <w:tc>
          <w:tcPr>
            <w:tcW w:w="1126" w:type="dxa"/>
            <w:tcBorders>
              <w:top w:val="single" w:sz="4" w:space="0" w:color="C8C8C8"/>
              <w:left w:val="nil"/>
              <w:bottom w:val="single" w:sz="4" w:space="0" w:color="C8C8C8"/>
              <w:right w:val="nil"/>
            </w:tcBorders>
            <w:vAlign w:val="center"/>
          </w:tcPr>
          <w:p w14:paraId="3B10833C" w14:textId="77777777" w:rsidR="0092061E" w:rsidRDefault="00817EEB">
            <w:pPr>
              <w:spacing w:line="240" w:lineRule="auto"/>
              <w:jc w:val="center"/>
            </w:pPr>
            <w:r>
              <w:rPr>
                <w:sz w:val="14"/>
              </w:rPr>
              <w:t>4.16%</w:t>
            </w:r>
          </w:p>
        </w:tc>
        <w:tc>
          <w:tcPr>
            <w:tcW w:w="1126" w:type="dxa"/>
            <w:tcBorders>
              <w:top w:val="single" w:sz="4" w:space="0" w:color="C8C8C8"/>
              <w:left w:val="nil"/>
              <w:bottom w:val="single" w:sz="4" w:space="0" w:color="C8C8C8"/>
              <w:right w:val="nil"/>
            </w:tcBorders>
            <w:vAlign w:val="center"/>
          </w:tcPr>
          <w:p w14:paraId="03876174" w14:textId="77777777" w:rsidR="0092061E" w:rsidRDefault="00817EEB">
            <w:pPr>
              <w:spacing w:line="240" w:lineRule="auto"/>
              <w:jc w:val="center"/>
            </w:pPr>
            <w:proofErr w:type="spellStart"/>
            <w:r>
              <w:rPr>
                <w:sz w:val="14"/>
              </w:rPr>
              <w:t>意识</w:t>
            </w:r>
            <w:proofErr w:type="spellEnd"/>
            <w:r>
              <w:rPr>
                <w:sz w:val="14"/>
              </w:rPr>
              <w:t>/</w:t>
            </w:r>
            <w:proofErr w:type="spellStart"/>
            <w:r>
              <w:rPr>
                <w:sz w:val="14"/>
              </w:rPr>
              <w:t>认知改变</w:t>
            </w:r>
            <w:proofErr w:type="spellEnd"/>
          </w:p>
        </w:tc>
      </w:tr>
      <w:tr w:rsidR="0092061E" w14:paraId="551AF37A" w14:textId="77777777">
        <w:trPr>
          <w:jc w:val="center"/>
        </w:trPr>
        <w:tc>
          <w:tcPr>
            <w:tcW w:w="1126" w:type="dxa"/>
            <w:tcBorders>
              <w:top w:val="single" w:sz="4" w:space="0" w:color="C8C8C8"/>
              <w:left w:val="nil"/>
              <w:bottom w:val="single" w:sz="4" w:space="0" w:color="C8C8C8"/>
              <w:right w:val="nil"/>
            </w:tcBorders>
            <w:vAlign w:val="center"/>
          </w:tcPr>
          <w:p w14:paraId="020CF51A" w14:textId="77777777" w:rsidR="0092061E" w:rsidRDefault="00817EEB">
            <w:pPr>
              <w:spacing w:line="240" w:lineRule="auto"/>
              <w:jc w:val="center"/>
            </w:pPr>
            <w:r>
              <w:rPr>
                <w:sz w:val="14"/>
              </w:rPr>
              <w:t>GAIT DISTURBANCE</w:t>
            </w:r>
          </w:p>
        </w:tc>
        <w:tc>
          <w:tcPr>
            <w:tcW w:w="1126" w:type="dxa"/>
            <w:tcBorders>
              <w:top w:val="single" w:sz="4" w:space="0" w:color="C8C8C8"/>
              <w:left w:val="nil"/>
              <w:bottom w:val="single" w:sz="4" w:space="0" w:color="C8C8C8"/>
              <w:right w:val="nil"/>
            </w:tcBorders>
            <w:vAlign w:val="center"/>
          </w:tcPr>
          <w:p w14:paraId="4623992C" w14:textId="77777777" w:rsidR="0092061E" w:rsidRDefault="00817EEB">
            <w:pPr>
              <w:spacing w:line="240" w:lineRule="auto"/>
              <w:jc w:val="center"/>
            </w:pPr>
            <w:r>
              <w:rPr>
                <w:sz w:val="14"/>
              </w:rPr>
              <w:t>41</w:t>
            </w:r>
          </w:p>
        </w:tc>
        <w:tc>
          <w:tcPr>
            <w:tcW w:w="1126" w:type="dxa"/>
            <w:tcBorders>
              <w:top w:val="single" w:sz="4" w:space="0" w:color="C8C8C8"/>
              <w:left w:val="nil"/>
              <w:bottom w:val="single" w:sz="4" w:space="0" w:color="C8C8C8"/>
              <w:right w:val="nil"/>
            </w:tcBorders>
            <w:vAlign w:val="center"/>
          </w:tcPr>
          <w:p w14:paraId="5EB805B3" w14:textId="77777777" w:rsidR="0092061E" w:rsidRDefault="00817EEB">
            <w:pPr>
              <w:spacing w:line="240" w:lineRule="auto"/>
              <w:jc w:val="center"/>
            </w:pPr>
            <w:r>
              <w:rPr>
                <w:sz w:val="14"/>
              </w:rPr>
              <w:t>3.88%</w:t>
            </w:r>
          </w:p>
        </w:tc>
        <w:tc>
          <w:tcPr>
            <w:tcW w:w="1126" w:type="dxa"/>
            <w:tcBorders>
              <w:top w:val="single" w:sz="4" w:space="0" w:color="C8C8C8"/>
              <w:left w:val="nil"/>
              <w:bottom w:val="single" w:sz="4" w:space="0" w:color="C8C8C8"/>
              <w:right w:val="nil"/>
            </w:tcBorders>
            <w:vAlign w:val="center"/>
          </w:tcPr>
          <w:p w14:paraId="54BF9744" w14:textId="77777777" w:rsidR="0092061E" w:rsidRDefault="00817EEB">
            <w:pPr>
              <w:spacing w:line="240" w:lineRule="auto"/>
              <w:jc w:val="center"/>
              <w:rPr>
                <w:lang w:eastAsia="zh-CN"/>
              </w:rPr>
            </w:pPr>
            <w:r>
              <w:rPr>
                <w:sz w:val="14"/>
                <w:lang w:eastAsia="zh-CN"/>
              </w:rPr>
              <w:t>步态</w:t>
            </w:r>
            <w:r>
              <w:rPr>
                <w:sz w:val="14"/>
                <w:lang w:eastAsia="zh-CN"/>
              </w:rPr>
              <w:t>/</w:t>
            </w:r>
            <w:r>
              <w:rPr>
                <w:sz w:val="14"/>
                <w:lang w:eastAsia="zh-CN"/>
              </w:rPr>
              <w:t>平衡</w:t>
            </w:r>
            <w:r>
              <w:rPr>
                <w:sz w:val="14"/>
                <w:lang w:eastAsia="zh-CN"/>
              </w:rPr>
              <w:t>/</w:t>
            </w:r>
            <w:r>
              <w:rPr>
                <w:sz w:val="14"/>
                <w:lang w:eastAsia="zh-CN"/>
              </w:rPr>
              <w:t>运动控制异常</w:t>
            </w:r>
          </w:p>
        </w:tc>
      </w:tr>
      <w:tr w:rsidR="0092061E" w14:paraId="519B2749" w14:textId="77777777">
        <w:trPr>
          <w:jc w:val="center"/>
        </w:trPr>
        <w:tc>
          <w:tcPr>
            <w:tcW w:w="1126" w:type="dxa"/>
            <w:tcBorders>
              <w:top w:val="single" w:sz="4" w:space="0" w:color="C8C8C8"/>
              <w:left w:val="nil"/>
              <w:bottom w:val="single" w:sz="4" w:space="0" w:color="C8C8C8"/>
              <w:right w:val="nil"/>
            </w:tcBorders>
            <w:vAlign w:val="center"/>
          </w:tcPr>
          <w:p w14:paraId="05FB7F1E" w14:textId="77777777" w:rsidR="0092061E" w:rsidRDefault="00817EEB">
            <w:pPr>
              <w:spacing w:line="240" w:lineRule="auto"/>
              <w:jc w:val="center"/>
            </w:pPr>
            <w:r>
              <w:rPr>
                <w:sz w:val="14"/>
              </w:rPr>
              <w:t>SEDATION</w:t>
            </w:r>
          </w:p>
        </w:tc>
        <w:tc>
          <w:tcPr>
            <w:tcW w:w="1126" w:type="dxa"/>
            <w:tcBorders>
              <w:top w:val="single" w:sz="4" w:space="0" w:color="C8C8C8"/>
              <w:left w:val="nil"/>
              <w:bottom w:val="single" w:sz="4" w:space="0" w:color="C8C8C8"/>
              <w:right w:val="nil"/>
            </w:tcBorders>
            <w:vAlign w:val="center"/>
          </w:tcPr>
          <w:p w14:paraId="1C4855AD" w14:textId="77777777" w:rsidR="0092061E" w:rsidRDefault="00817EEB">
            <w:pPr>
              <w:spacing w:line="240" w:lineRule="auto"/>
              <w:jc w:val="center"/>
            </w:pPr>
            <w:r>
              <w:rPr>
                <w:sz w:val="14"/>
              </w:rPr>
              <w:t>30</w:t>
            </w:r>
          </w:p>
        </w:tc>
        <w:tc>
          <w:tcPr>
            <w:tcW w:w="1126" w:type="dxa"/>
            <w:tcBorders>
              <w:top w:val="single" w:sz="4" w:space="0" w:color="C8C8C8"/>
              <w:left w:val="nil"/>
              <w:bottom w:val="single" w:sz="4" w:space="0" w:color="C8C8C8"/>
              <w:right w:val="nil"/>
            </w:tcBorders>
            <w:vAlign w:val="center"/>
          </w:tcPr>
          <w:p w14:paraId="1E0B9508" w14:textId="77777777" w:rsidR="0092061E" w:rsidRDefault="00817EEB">
            <w:pPr>
              <w:spacing w:line="240" w:lineRule="auto"/>
              <w:jc w:val="center"/>
            </w:pPr>
            <w:r>
              <w:rPr>
                <w:sz w:val="14"/>
              </w:rPr>
              <w:t>2.84%</w:t>
            </w:r>
          </w:p>
        </w:tc>
        <w:tc>
          <w:tcPr>
            <w:tcW w:w="1126" w:type="dxa"/>
            <w:tcBorders>
              <w:top w:val="single" w:sz="4" w:space="0" w:color="C8C8C8"/>
              <w:left w:val="nil"/>
              <w:bottom w:val="single" w:sz="4" w:space="0" w:color="C8C8C8"/>
              <w:right w:val="nil"/>
            </w:tcBorders>
            <w:vAlign w:val="center"/>
          </w:tcPr>
          <w:p w14:paraId="3D611CD0" w14:textId="77777777" w:rsidR="0092061E" w:rsidRDefault="00817EEB">
            <w:pPr>
              <w:spacing w:line="240" w:lineRule="auto"/>
              <w:jc w:val="center"/>
            </w:pPr>
            <w:proofErr w:type="spellStart"/>
            <w:r>
              <w:rPr>
                <w:sz w:val="14"/>
              </w:rPr>
              <w:t>镇静</w:t>
            </w:r>
            <w:proofErr w:type="spellEnd"/>
            <w:r>
              <w:rPr>
                <w:sz w:val="14"/>
              </w:rPr>
              <w:t>/</w:t>
            </w:r>
            <w:proofErr w:type="spellStart"/>
            <w:r>
              <w:rPr>
                <w:sz w:val="14"/>
              </w:rPr>
              <w:t>嗜睡</w:t>
            </w:r>
            <w:proofErr w:type="spellEnd"/>
          </w:p>
        </w:tc>
      </w:tr>
    </w:tbl>
    <w:p w14:paraId="483EFF8C" w14:textId="77777777" w:rsidR="0092061E" w:rsidRDefault="0092061E"/>
    <w:p w14:paraId="33DE8A82" w14:textId="77777777" w:rsidR="0092061E" w:rsidRDefault="00817EEB">
      <w:pPr>
        <w:ind w:firstLine="420"/>
        <w:rPr>
          <w:lang w:eastAsia="zh-CN"/>
        </w:rPr>
      </w:pPr>
      <w:r>
        <w:rPr>
          <w:lang w:eastAsia="zh-CN"/>
        </w:rPr>
        <w:t>共现网络提示，</w:t>
      </w:r>
      <w:proofErr w:type="gramStart"/>
      <w:r>
        <w:rPr>
          <w:lang w:eastAsia="zh-CN"/>
        </w:rPr>
        <w:t>唑吡坦相关</w:t>
      </w:r>
      <w:proofErr w:type="gramEnd"/>
      <w:r>
        <w:rPr>
          <w:lang w:eastAsia="zh-CN"/>
        </w:rPr>
        <w:t>跌倒报告并非只出现单个</w:t>
      </w:r>
      <w:r>
        <w:rPr>
          <w:lang w:eastAsia="zh-CN"/>
        </w:rPr>
        <w:t>“</w:t>
      </w:r>
      <w:r>
        <w:rPr>
          <w:lang w:eastAsia="zh-CN"/>
        </w:rPr>
        <w:t>跌倒</w:t>
      </w:r>
      <w:r>
        <w:rPr>
          <w:lang w:eastAsia="zh-CN"/>
        </w:rPr>
        <w:t>”PT</w:t>
      </w:r>
      <w:r>
        <w:rPr>
          <w:lang w:eastAsia="zh-CN"/>
        </w:rPr>
        <w:t>，而是常伴随神经认知改变、眩晕</w:t>
      </w:r>
      <w:r>
        <w:rPr>
          <w:lang w:eastAsia="zh-CN"/>
        </w:rPr>
        <w:t>/</w:t>
      </w:r>
      <w:r>
        <w:rPr>
          <w:lang w:eastAsia="zh-CN"/>
        </w:rPr>
        <w:t>晕厥、低血压、步态和平衡异常，以及跌倒后的损伤结局。这些共</w:t>
      </w:r>
      <w:proofErr w:type="gramStart"/>
      <w:r>
        <w:rPr>
          <w:lang w:eastAsia="zh-CN"/>
        </w:rPr>
        <w:t>现特征</w:t>
      </w:r>
      <w:proofErr w:type="gramEnd"/>
      <w:r>
        <w:rPr>
          <w:lang w:eastAsia="zh-CN"/>
        </w:rPr>
        <w:t>与老年患者使用镇静催眠药后可能出现的反应能力下降和运动控制受损相一致。</w:t>
      </w:r>
    </w:p>
    <w:p w14:paraId="7B745F3C" w14:textId="77777777" w:rsidR="0092061E" w:rsidRDefault="00817EEB">
      <w:pPr>
        <w:ind w:firstLine="420"/>
        <w:rPr>
          <w:lang w:eastAsia="zh-CN"/>
        </w:rPr>
      </w:pPr>
      <w:r>
        <w:rPr>
          <w:lang w:eastAsia="zh-CN"/>
        </w:rPr>
        <w:t>前</w:t>
      </w:r>
      <w:r>
        <w:rPr>
          <w:lang w:eastAsia="zh-CN"/>
        </w:rPr>
        <w:t xml:space="preserve"> 15 </w:t>
      </w:r>
      <w:proofErr w:type="gramStart"/>
      <w:r>
        <w:rPr>
          <w:lang w:eastAsia="zh-CN"/>
        </w:rPr>
        <w:t>位共现</w:t>
      </w:r>
      <w:proofErr w:type="gramEnd"/>
      <w:r>
        <w:rPr>
          <w:lang w:eastAsia="zh-CN"/>
        </w:rPr>
        <w:t xml:space="preserve"> PT </w:t>
      </w:r>
      <w:r>
        <w:rPr>
          <w:lang w:eastAsia="zh-CN"/>
        </w:rPr>
        <w:t>的分布见图</w:t>
      </w:r>
      <w:r>
        <w:rPr>
          <w:lang w:eastAsia="zh-CN"/>
        </w:rPr>
        <w:t xml:space="preserve"> 3</w:t>
      </w:r>
      <w:r>
        <w:rPr>
          <w:lang w:eastAsia="zh-CN"/>
        </w:rPr>
        <w:t>，可直观看到意识模糊、眩晕、低血压和晕厥等</w:t>
      </w:r>
      <w:r>
        <w:rPr>
          <w:lang w:eastAsia="zh-CN"/>
        </w:rPr>
        <w:t xml:space="preserve"> PT </w:t>
      </w:r>
      <w:r>
        <w:rPr>
          <w:lang w:eastAsia="zh-CN"/>
        </w:rPr>
        <w:t>在</w:t>
      </w:r>
      <w:proofErr w:type="gramStart"/>
      <w:r>
        <w:rPr>
          <w:lang w:eastAsia="zh-CN"/>
        </w:rPr>
        <w:t>唑吡坦相关</w:t>
      </w:r>
      <w:proofErr w:type="gramEnd"/>
      <w:r>
        <w:rPr>
          <w:lang w:eastAsia="zh-CN"/>
        </w:rPr>
        <w:t>跌倒报告中较突出。进一步将高频</w:t>
      </w:r>
      <w:r>
        <w:rPr>
          <w:lang w:eastAsia="zh-CN"/>
        </w:rPr>
        <w:t xml:space="preserve"> PT </w:t>
      </w:r>
      <w:r>
        <w:rPr>
          <w:lang w:eastAsia="zh-CN"/>
        </w:rPr>
        <w:t>作为节点、同一病例内共同报告作为连线构建网络后，可见这些</w:t>
      </w:r>
      <w:r>
        <w:rPr>
          <w:lang w:eastAsia="zh-CN"/>
        </w:rPr>
        <w:t xml:space="preserve"> PT </w:t>
      </w:r>
      <w:r>
        <w:rPr>
          <w:lang w:eastAsia="zh-CN"/>
        </w:rPr>
        <w:t>大致形成意识</w:t>
      </w:r>
      <w:r>
        <w:rPr>
          <w:lang w:eastAsia="zh-CN"/>
        </w:rPr>
        <w:t>/</w:t>
      </w:r>
      <w:r>
        <w:rPr>
          <w:lang w:eastAsia="zh-CN"/>
        </w:rPr>
        <w:t>认知改变、眩晕</w:t>
      </w:r>
      <w:r>
        <w:rPr>
          <w:lang w:eastAsia="zh-CN"/>
        </w:rPr>
        <w:t>/</w:t>
      </w:r>
      <w:r>
        <w:rPr>
          <w:lang w:eastAsia="zh-CN"/>
        </w:rPr>
        <w:t>晕厥、步态</w:t>
      </w:r>
      <w:r>
        <w:rPr>
          <w:lang w:eastAsia="zh-CN"/>
        </w:rPr>
        <w:t>/</w:t>
      </w:r>
      <w:r>
        <w:rPr>
          <w:lang w:eastAsia="zh-CN"/>
        </w:rPr>
        <w:t>平衡</w:t>
      </w:r>
      <w:r>
        <w:rPr>
          <w:lang w:eastAsia="zh-CN"/>
        </w:rPr>
        <w:t>/</w:t>
      </w:r>
      <w:r>
        <w:rPr>
          <w:lang w:eastAsia="zh-CN"/>
        </w:rPr>
        <w:t>运动控制异常和跌倒损伤后果等表型模块（图</w:t>
      </w:r>
      <w:r>
        <w:rPr>
          <w:lang w:eastAsia="zh-CN"/>
        </w:rPr>
        <w:t xml:space="preserve"> 4A</w:t>
      </w:r>
      <w:r>
        <w:rPr>
          <w:lang w:eastAsia="zh-CN"/>
        </w:rPr>
        <w:t>）。病例层面表型谱显示，在</w:t>
      </w:r>
      <w:r>
        <w:rPr>
          <w:lang w:eastAsia="zh-CN"/>
        </w:rPr>
        <w:t xml:space="preserve"> 1 058 </w:t>
      </w:r>
      <w:r>
        <w:rPr>
          <w:lang w:eastAsia="zh-CN"/>
        </w:rPr>
        <w:t>例</w:t>
      </w:r>
      <w:proofErr w:type="gramStart"/>
      <w:r>
        <w:rPr>
          <w:lang w:eastAsia="zh-CN"/>
        </w:rPr>
        <w:t>唑吡坦相关</w:t>
      </w:r>
      <w:proofErr w:type="gramEnd"/>
      <w:r>
        <w:rPr>
          <w:lang w:eastAsia="zh-CN"/>
        </w:rPr>
        <w:t>跌倒报告中，意识</w:t>
      </w:r>
      <w:r>
        <w:rPr>
          <w:lang w:eastAsia="zh-CN"/>
        </w:rPr>
        <w:t>/</w:t>
      </w:r>
      <w:r>
        <w:rPr>
          <w:lang w:eastAsia="zh-CN"/>
        </w:rPr>
        <w:t>认知改变模块最常见，占</w:t>
      </w:r>
      <w:r>
        <w:rPr>
          <w:lang w:eastAsia="zh-CN"/>
        </w:rPr>
        <w:t xml:space="preserve"> 38.1%</w:t>
      </w:r>
      <w:r>
        <w:rPr>
          <w:lang w:eastAsia="zh-CN"/>
        </w:rPr>
        <w:t>（</w:t>
      </w:r>
      <w:r>
        <w:rPr>
          <w:lang w:eastAsia="zh-CN"/>
        </w:rPr>
        <w:t xml:space="preserve">403 </w:t>
      </w:r>
      <w:r>
        <w:rPr>
          <w:lang w:eastAsia="zh-CN"/>
        </w:rPr>
        <w:t>例）；其次为骨折</w:t>
      </w:r>
      <w:r>
        <w:rPr>
          <w:lang w:eastAsia="zh-CN"/>
        </w:rPr>
        <w:t>/</w:t>
      </w:r>
      <w:r>
        <w:rPr>
          <w:lang w:eastAsia="zh-CN"/>
        </w:rPr>
        <w:t>损伤后果，占</w:t>
      </w:r>
      <w:r>
        <w:rPr>
          <w:lang w:eastAsia="zh-CN"/>
        </w:rPr>
        <w:t xml:space="preserve"> 22.4%</w:t>
      </w:r>
      <w:r>
        <w:rPr>
          <w:lang w:eastAsia="zh-CN"/>
        </w:rPr>
        <w:t>（</w:t>
      </w:r>
      <w:r>
        <w:rPr>
          <w:lang w:eastAsia="zh-CN"/>
        </w:rPr>
        <w:t xml:space="preserve">237 </w:t>
      </w:r>
      <w:r>
        <w:rPr>
          <w:lang w:eastAsia="zh-CN"/>
        </w:rPr>
        <w:t>例）；步态</w:t>
      </w:r>
      <w:r>
        <w:rPr>
          <w:lang w:eastAsia="zh-CN"/>
        </w:rPr>
        <w:t>/</w:t>
      </w:r>
      <w:r>
        <w:rPr>
          <w:lang w:eastAsia="zh-CN"/>
        </w:rPr>
        <w:t>平衡异常占</w:t>
      </w:r>
      <w:r>
        <w:rPr>
          <w:lang w:eastAsia="zh-CN"/>
        </w:rPr>
        <w:t xml:space="preserve"> 18.3%</w:t>
      </w:r>
      <w:r>
        <w:rPr>
          <w:lang w:eastAsia="zh-CN"/>
        </w:rPr>
        <w:t>（</w:t>
      </w:r>
      <w:r>
        <w:rPr>
          <w:lang w:eastAsia="zh-CN"/>
        </w:rPr>
        <w:t xml:space="preserve">194 </w:t>
      </w:r>
      <w:r>
        <w:rPr>
          <w:lang w:eastAsia="zh-CN"/>
        </w:rPr>
        <w:t>例）；眩晕</w:t>
      </w:r>
      <w:r>
        <w:rPr>
          <w:lang w:eastAsia="zh-CN"/>
        </w:rPr>
        <w:t>/</w:t>
      </w:r>
      <w:proofErr w:type="gramStart"/>
      <w:r>
        <w:rPr>
          <w:lang w:eastAsia="zh-CN"/>
        </w:rPr>
        <w:t>晕厥占</w:t>
      </w:r>
      <w:proofErr w:type="gramEnd"/>
      <w:r>
        <w:rPr>
          <w:lang w:eastAsia="zh-CN"/>
        </w:rPr>
        <w:t xml:space="preserve"> 18.1%</w:t>
      </w:r>
      <w:r>
        <w:rPr>
          <w:lang w:eastAsia="zh-CN"/>
        </w:rPr>
        <w:t>（</w:t>
      </w:r>
      <w:r>
        <w:rPr>
          <w:lang w:eastAsia="zh-CN"/>
        </w:rPr>
        <w:t xml:space="preserve">192 </w:t>
      </w:r>
      <w:r>
        <w:rPr>
          <w:lang w:eastAsia="zh-CN"/>
        </w:rPr>
        <w:t>例）（图</w:t>
      </w:r>
      <w:r>
        <w:rPr>
          <w:lang w:eastAsia="zh-CN"/>
        </w:rPr>
        <w:t xml:space="preserve"> 4B</w:t>
      </w:r>
      <w:r>
        <w:rPr>
          <w:lang w:eastAsia="zh-CN"/>
        </w:rPr>
        <w:t>）。</w:t>
      </w:r>
      <w:r>
        <w:rPr>
          <w:lang w:eastAsia="zh-CN"/>
        </w:rPr>
        <w:t xml:space="preserve">PT-pair Jaccard </w:t>
      </w:r>
      <w:r>
        <w:rPr>
          <w:lang w:eastAsia="zh-CN"/>
        </w:rPr>
        <w:t>矩阵进一步显示，同一表型模块内</w:t>
      </w:r>
      <w:r>
        <w:rPr>
          <w:lang w:eastAsia="zh-CN"/>
        </w:rPr>
        <w:t xml:space="preserve"> PT </w:t>
      </w:r>
      <w:r>
        <w:rPr>
          <w:lang w:eastAsia="zh-CN"/>
        </w:rPr>
        <w:t>之间共现强度更高，而不同模块之间也存在一定交叉共现（图</w:t>
      </w:r>
      <w:r>
        <w:rPr>
          <w:lang w:eastAsia="zh-CN"/>
        </w:rPr>
        <w:t xml:space="preserve"> 4C</w:t>
      </w:r>
      <w:r>
        <w:rPr>
          <w:lang w:eastAsia="zh-CN"/>
        </w:rPr>
        <w:t>）。需要注意的是，图</w:t>
      </w:r>
      <w:r>
        <w:rPr>
          <w:lang w:eastAsia="zh-CN"/>
        </w:rPr>
        <w:t xml:space="preserve"> 4 </w:t>
      </w:r>
      <w:r>
        <w:rPr>
          <w:lang w:eastAsia="zh-CN"/>
        </w:rPr>
        <w:t>反映的是</w:t>
      </w:r>
      <w:r>
        <w:rPr>
          <w:lang w:eastAsia="zh-CN"/>
        </w:rPr>
        <w:t xml:space="preserve"> FAERS </w:t>
      </w:r>
      <w:r>
        <w:rPr>
          <w:lang w:eastAsia="zh-CN"/>
        </w:rPr>
        <w:t>报告中的共现模式，不代表因果路径。</w:t>
      </w:r>
    </w:p>
    <w:p w14:paraId="3A7681F9" w14:textId="77777777" w:rsidR="0092061E" w:rsidRDefault="00817EEB">
      <w:pPr>
        <w:jc w:val="center"/>
      </w:pPr>
      <w:r>
        <w:rPr>
          <w:noProof/>
        </w:rPr>
        <w:drawing>
          <wp:inline distT="0" distB="0" distL="0" distR="0" wp14:anchorId="35C4B69E" wp14:editId="569E8B9C">
            <wp:extent cx="2861999" cy="17002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top15_PT_bar.jpg"/>
                    <pic:cNvPicPr/>
                  </pic:nvPicPr>
                  <pic:blipFill>
                    <a:blip r:embed="rId11"/>
                    <a:stretch>
                      <a:fillRect/>
                    </a:stretch>
                  </pic:blipFill>
                  <pic:spPr>
                    <a:xfrm>
                      <a:off x="0" y="0"/>
                      <a:ext cx="2861999" cy="1700287"/>
                    </a:xfrm>
                    <a:prstGeom prst="rect">
                      <a:avLst/>
                    </a:prstGeom>
                  </pic:spPr>
                </pic:pic>
              </a:graphicData>
            </a:graphic>
          </wp:inline>
        </w:drawing>
      </w:r>
    </w:p>
    <w:p w14:paraId="6F650CFD" w14:textId="77777777" w:rsidR="0092061E" w:rsidRDefault="00817EEB">
      <w:pPr>
        <w:spacing w:before="60" w:after="80" w:line="264" w:lineRule="auto"/>
        <w:jc w:val="center"/>
      </w:pPr>
      <w:r>
        <w:rPr>
          <w:rFonts w:eastAsia="黑体"/>
          <w:sz w:val="15"/>
        </w:rPr>
        <w:t>图</w:t>
      </w:r>
      <w:r>
        <w:rPr>
          <w:rFonts w:eastAsia="黑体"/>
          <w:sz w:val="15"/>
        </w:rPr>
        <w:t xml:space="preserve"> 3 </w:t>
      </w:r>
      <w:proofErr w:type="spellStart"/>
      <w:r>
        <w:rPr>
          <w:rFonts w:eastAsia="黑体"/>
          <w:sz w:val="15"/>
        </w:rPr>
        <w:t>唑吡坦相关跌倒报告中排名前</w:t>
      </w:r>
      <w:proofErr w:type="spellEnd"/>
      <w:r>
        <w:rPr>
          <w:rFonts w:eastAsia="黑体"/>
          <w:sz w:val="15"/>
        </w:rPr>
        <w:t xml:space="preserve"> 15 </w:t>
      </w:r>
      <w:proofErr w:type="spellStart"/>
      <w:r>
        <w:rPr>
          <w:rFonts w:eastAsia="黑体"/>
          <w:sz w:val="15"/>
        </w:rPr>
        <w:t>位的共现</w:t>
      </w:r>
      <w:proofErr w:type="spellEnd"/>
      <w:r>
        <w:rPr>
          <w:rFonts w:eastAsia="黑体"/>
          <w:sz w:val="15"/>
        </w:rPr>
        <w:t xml:space="preserve"> PT</w:t>
      </w:r>
      <w:r>
        <w:rPr>
          <w:rFonts w:eastAsia="黑体"/>
          <w:sz w:val="15"/>
        </w:rPr>
        <w:br/>
        <w:t>Figure 3 Top 15 co-reported preferred terms in zolpidem-related fall reports</w:t>
      </w:r>
    </w:p>
    <w:p w14:paraId="12B03675" w14:textId="77777777" w:rsidR="0092061E" w:rsidRDefault="00817EEB">
      <w:pPr>
        <w:jc w:val="center"/>
      </w:pPr>
      <w:r>
        <w:rPr>
          <w:noProof/>
        </w:rPr>
        <w:drawing>
          <wp:inline distT="0" distB="0" distL="0" distR="0" wp14:anchorId="1B5ED310" wp14:editId="1FD3DC2A">
            <wp:extent cx="2861999" cy="16417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_cooccurrence_network_20260601_composite_layout_v3.jpg"/>
                    <pic:cNvPicPr/>
                  </pic:nvPicPr>
                  <pic:blipFill>
                    <a:blip r:embed="rId12"/>
                    <a:stretch>
                      <a:fillRect/>
                    </a:stretch>
                  </pic:blipFill>
                  <pic:spPr>
                    <a:xfrm>
                      <a:off x="0" y="0"/>
                      <a:ext cx="2861999" cy="1641747"/>
                    </a:xfrm>
                    <a:prstGeom prst="rect">
                      <a:avLst/>
                    </a:prstGeom>
                  </pic:spPr>
                </pic:pic>
              </a:graphicData>
            </a:graphic>
          </wp:inline>
        </w:drawing>
      </w:r>
    </w:p>
    <w:p w14:paraId="0D25D364" w14:textId="77777777" w:rsidR="0092061E" w:rsidRDefault="00817EEB">
      <w:pPr>
        <w:spacing w:before="60" w:after="80" w:line="264" w:lineRule="auto"/>
        <w:jc w:val="center"/>
      </w:pPr>
      <w:r>
        <w:rPr>
          <w:rFonts w:eastAsia="黑体"/>
          <w:sz w:val="15"/>
        </w:rPr>
        <w:t>图</w:t>
      </w:r>
      <w:r>
        <w:rPr>
          <w:rFonts w:eastAsia="黑体"/>
          <w:sz w:val="15"/>
        </w:rPr>
        <w:t xml:space="preserve"> 4 </w:t>
      </w:r>
      <w:proofErr w:type="spellStart"/>
      <w:r>
        <w:rPr>
          <w:rFonts w:eastAsia="黑体"/>
          <w:sz w:val="15"/>
        </w:rPr>
        <w:t>唑吡坦相关跌倒报告中的</w:t>
      </w:r>
      <w:proofErr w:type="spellEnd"/>
      <w:r>
        <w:rPr>
          <w:rFonts w:eastAsia="黑体"/>
          <w:sz w:val="15"/>
        </w:rPr>
        <w:t xml:space="preserve"> PT </w:t>
      </w:r>
      <w:proofErr w:type="spellStart"/>
      <w:r>
        <w:rPr>
          <w:rFonts w:eastAsia="黑体"/>
          <w:sz w:val="15"/>
        </w:rPr>
        <w:t>共现结构</w:t>
      </w:r>
      <w:proofErr w:type="spellEnd"/>
      <w:r>
        <w:rPr>
          <w:rFonts w:eastAsia="黑体"/>
          <w:sz w:val="15"/>
        </w:rPr>
        <w:br/>
        <w:t>Figure 4 Co-occurrence structure of preferred terms in zolpidem-related fall reports</w:t>
      </w:r>
    </w:p>
    <w:p w14:paraId="7F2B4F3C" w14:textId="77777777" w:rsidR="0092061E" w:rsidRDefault="00817EEB">
      <w:pPr>
        <w:keepNext/>
        <w:spacing w:before="60" w:after="40" w:line="264" w:lineRule="auto"/>
      </w:pPr>
      <w:r>
        <w:rPr>
          <w:rFonts w:eastAsia="楷体"/>
          <w:b/>
          <w:sz w:val="18"/>
        </w:rPr>
        <w:t xml:space="preserve">3.6 </w:t>
      </w:r>
      <w:proofErr w:type="spellStart"/>
      <w:r>
        <w:rPr>
          <w:rFonts w:eastAsia="楷体"/>
          <w:b/>
          <w:sz w:val="18"/>
        </w:rPr>
        <w:t>机器学习模型分析</w:t>
      </w:r>
      <w:proofErr w:type="spellEnd"/>
    </w:p>
    <w:p w14:paraId="3B8B9B92" w14:textId="77777777" w:rsidR="0092061E" w:rsidRDefault="00817EEB">
      <w:pPr>
        <w:ind w:firstLine="420"/>
      </w:pPr>
      <w:proofErr w:type="spellStart"/>
      <w:r>
        <w:t>机器学习数据按年份划分，训练全集为</w:t>
      </w:r>
      <w:proofErr w:type="spellEnd"/>
      <w:r>
        <w:t xml:space="preserve"> 3 511 708 </w:t>
      </w:r>
      <w:proofErr w:type="spellStart"/>
      <w:r>
        <w:t>条记录，其中阳性病例</w:t>
      </w:r>
      <w:proofErr w:type="spellEnd"/>
      <w:r>
        <w:t xml:space="preserve"> 113 470 </w:t>
      </w:r>
      <w:proofErr w:type="spellStart"/>
      <w:r>
        <w:t>例；训练抽样集为</w:t>
      </w:r>
      <w:proofErr w:type="spellEnd"/>
      <w:r>
        <w:t xml:space="preserve"> 400 000 </w:t>
      </w:r>
      <w:proofErr w:type="spellStart"/>
      <w:r>
        <w:t>条记录，其中阳性病例</w:t>
      </w:r>
      <w:proofErr w:type="spellEnd"/>
      <w:r>
        <w:t xml:space="preserve"> 12 925 </w:t>
      </w:r>
      <w:r>
        <w:t>例；</w:t>
      </w:r>
      <w:r>
        <w:t xml:space="preserve">2024 </w:t>
      </w:r>
      <w:proofErr w:type="spellStart"/>
      <w:r>
        <w:t>年验证集为</w:t>
      </w:r>
      <w:proofErr w:type="spellEnd"/>
      <w:r>
        <w:t xml:space="preserve"> 313 722 </w:t>
      </w:r>
      <w:proofErr w:type="spellStart"/>
      <w:r>
        <w:t>条记录，其中阳性病例</w:t>
      </w:r>
      <w:proofErr w:type="spellEnd"/>
      <w:r>
        <w:t xml:space="preserve"> 8 430 </w:t>
      </w:r>
      <w:r>
        <w:t>例；</w:t>
      </w:r>
      <w:r>
        <w:t xml:space="preserve">2025 </w:t>
      </w:r>
      <w:proofErr w:type="spellStart"/>
      <w:r>
        <w:t>年测试集为</w:t>
      </w:r>
      <w:proofErr w:type="spellEnd"/>
      <w:r>
        <w:t xml:space="preserve"> 329 593 </w:t>
      </w:r>
      <w:proofErr w:type="spellStart"/>
      <w:r>
        <w:t>条记录，其中阳性病例</w:t>
      </w:r>
      <w:proofErr w:type="spellEnd"/>
      <w:r>
        <w:t xml:space="preserve"> 10 366 </w:t>
      </w:r>
      <w:r>
        <w:t>例。</w:t>
      </w:r>
    </w:p>
    <w:p w14:paraId="75DC03BB" w14:textId="77777777" w:rsidR="0092061E" w:rsidRDefault="00817EEB">
      <w:pPr>
        <w:ind w:firstLine="420"/>
        <w:rPr>
          <w:lang w:eastAsia="zh-CN"/>
        </w:rPr>
      </w:pPr>
      <w:r>
        <w:rPr>
          <w:lang w:eastAsia="zh-CN"/>
        </w:rPr>
        <w:t>在核心特征</w:t>
      </w:r>
      <w:proofErr w:type="gramStart"/>
      <w:r>
        <w:rPr>
          <w:lang w:eastAsia="zh-CN"/>
        </w:rPr>
        <w:t>集基础</w:t>
      </w:r>
      <w:proofErr w:type="gramEnd"/>
      <w:r>
        <w:rPr>
          <w:lang w:eastAsia="zh-CN"/>
        </w:rPr>
        <w:t>上，本研究进一步加入</w:t>
      </w:r>
      <w:r>
        <w:rPr>
          <w:lang w:eastAsia="zh-CN"/>
        </w:rPr>
        <w:t xml:space="preserve"> PT </w:t>
      </w:r>
      <w:r>
        <w:rPr>
          <w:lang w:eastAsia="zh-CN"/>
        </w:rPr>
        <w:t>表型、适应证、报告来源、报告者类型及合并用药等特征，构建增强特征集模型。机器学习模型测试结果显示，三个模型由核心</w:t>
      </w:r>
      <w:r>
        <w:rPr>
          <w:lang w:eastAsia="zh-CN"/>
        </w:rPr>
        <w:lastRenderedPageBreak/>
        <w:t>特征集扩展为增强特征集后，</w:t>
      </w:r>
      <w:r>
        <w:rPr>
          <w:lang w:eastAsia="zh-CN"/>
        </w:rPr>
        <w:t xml:space="preserve">ROC-AUC </w:t>
      </w:r>
      <w:r>
        <w:rPr>
          <w:lang w:eastAsia="zh-CN"/>
        </w:rPr>
        <w:t>均有所提高。</w:t>
      </w:r>
      <w:r>
        <w:rPr>
          <w:lang w:eastAsia="zh-CN"/>
        </w:rPr>
        <w:t xml:space="preserve">Logistic regression </w:t>
      </w:r>
      <w:r>
        <w:rPr>
          <w:lang w:eastAsia="zh-CN"/>
        </w:rPr>
        <w:t>从</w:t>
      </w:r>
      <w:r>
        <w:rPr>
          <w:lang w:eastAsia="zh-CN"/>
        </w:rPr>
        <w:t xml:space="preserve"> 0.749 </w:t>
      </w:r>
      <w:r>
        <w:rPr>
          <w:lang w:eastAsia="zh-CN"/>
        </w:rPr>
        <w:t>提高至</w:t>
      </w:r>
      <w:r>
        <w:rPr>
          <w:lang w:eastAsia="zh-CN"/>
        </w:rPr>
        <w:t xml:space="preserve"> 0.796</w:t>
      </w:r>
      <w:r>
        <w:rPr>
          <w:lang w:eastAsia="zh-CN"/>
        </w:rPr>
        <w:t>，</w:t>
      </w:r>
      <w:r>
        <w:rPr>
          <w:lang w:eastAsia="zh-CN"/>
        </w:rPr>
        <w:t xml:space="preserve">Random forest </w:t>
      </w:r>
      <w:r>
        <w:rPr>
          <w:lang w:eastAsia="zh-CN"/>
        </w:rPr>
        <w:t>从</w:t>
      </w:r>
      <w:r>
        <w:rPr>
          <w:lang w:eastAsia="zh-CN"/>
        </w:rPr>
        <w:t xml:space="preserve"> 0.766 </w:t>
      </w:r>
      <w:r>
        <w:rPr>
          <w:lang w:eastAsia="zh-CN"/>
        </w:rPr>
        <w:t>提高至</w:t>
      </w:r>
      <w:r>
        <w:rPr>
          <w:lang w:eastAsia="zh-CN"/>
        </w:rPr>
        <w:t xml:space="preserve"> 0.801</w:t>
      </w:r>
      <w:r>
        <w:rPr>
          <w:lang w:eastAsia="zh-CN"/>
        </w:rPr>
        <w:t>，</w:t>
      </w:r>
      <w:proofErr w:type="spellStart"/>
      <w:r>
        <w:rPr>
          <w:lang w:eastAsia="zh-CN"/>
        </w:rPr>
        <w:t>XGBoost</w:t>
      </w:r>
      <w:proofErr w:type="spellEnd"/>
      <w:r>
        <w:rPr>
          <w:lang w:eastAsia="zh-CN"/>
        </w:rPr>
        <w:t xml:space="preserve"> </w:t>
      </w:r>
      <w:r>
        <w:rPr>
          <w:lang w:eastAsia="zh-CN"/>
        </w:rPr>
        <w:t>从</w:t>
      </w:r>
      <w:r>
        <w:rPr>
          <w:lang w:eastAsia="zh-CN"/>
        </w:rPr>
        <w:t xml:space="preserve"> 0.769 </w:t>
      </w:r>
      <w:r>
        <w:rPr>
          <w:lang w:eastAsia="zh-CN"/>
        </w:rPr>
        <w:t>提高至</w:t>
      </w:r>
      <w:r>
        <w:rPr>
          <w:lang w:eastAsia="zh-CN"/>
        </w:rPr>
        <w:t xml:space="preserve"> 0.805</w:t>
      </w:r>
      <w:r>
        <w:rPr>
          <w:lang w:eastAsia="zh-CN"/>
        </w:rPr>
        <w:t>。其中，增强特征集</w:t>
      </w:r>
      <w:r>
        <w:rPr>
          <w:lang w:eastAsia="zh-CN"/>
        </w:rPr>
        <w:t xml:space="preserve"> </w:t>
      </w:r>
      <w:proofErr w:type="spellStart"/>
      <w:r>
        <w:rPr>
          <w:lang w:eastAsia="zh-CN"/>
        </w:rPr>
        <w:t>XGBoost</w:t>
      </w:r>
      <w:proofErr w:type="spellEnd"/>
      <w:r>
        <w:rPr>
          <w:lang w:eastAsia="zh-CN"/>
        </w:rPr>
        <w:t xml:space="preserve"> </w:t>
      </w:r>
      <w:r>
        <w:rPr>
          <w:lang w:eastAsia="zh-CN"/>
        </w:rPr>
        <w:t>模型和</w:t>
      </w:r>
      <w:r>
        <w:rPr>
          <w:lang w:eastAsia="zh-CN"/>
        </w:rPr>
        <w:t xml:space="preserve"> Random forest </w:t>
      </w:r>
      <w:r>
        <w:rPr>
          <w:lang w:eastAsia="zh-CN"/>
        </w:rPr>
        <w:t>模型性能相对较佳，</w:t>
      </w:r>
      <w:r>
        <w:rPr>
          <w:lang w:eastAsia="zh-CN"/>
        </w:rPr>
        <w:t xml:space="preserve">ROC-AUC </w:t>
      </w:r>
      <w:r>
        <w:rPr>
          <w:lang w:eastAsia="zh-CN"/>
        </w:rPr>
        <w:t>分别为</w:t>
      </w:r>
      <w:r>
        <w:rPr>
          <w:lang w:eastAsia="zh-CN"/>
        </w:rPr>
        <w:t xml:space="preserve"> 0.805 </w:t>
      </w:r>
      <w:r>
        <w:rPr>
          <w:lang w:eastAsia="zh-CN"/>
        </w:rPr>
        <w:t>和</w:t>
      </w:r>
      <w:r>
        <w:rPr>
          <w:lang w:eastAsia="zh-CN"/>
        </w:rPr>
        <w:t xml:space="preserve"> 0.801</w:t>
      </w:r>
      <w:r>
        <w:rPr>
          <w:lang w:eastAsia="zh-CN"/>
        </w:rPr>
        <w:t>，提示加入</w:t>
      </w:r>
      <w:r>
        <w:rPr>
          <w:lang w:eastAsia="zh-CN"/>
        </w:rPr>
        <w:t xml:space="preserve"> PT </w:t>
      </w:r>
      <w:r>
        <w:rPr>
          <w:lang w:eastAsia="zh-CN"/>
        </w:rPr>
        <w:t>表型、适应证和报告特征后，模型对跌倒报告的识别能力有所提高。</w:t>
      </w:r>
    </w:p>
    <w:p w14:paraId="14881905" w14:textId="77777777" w:rsidR="0092061E" w:rsidRDefault="00817EEB">
      <w:pPr>
        <w:spacing w:before="60" w:after="80" w:line="264" w:lineRule="auto"/>
        <w:jc w:val="center"/>
      </w:pPr>
      <w:r>
        <w:rPr>
          <w:rFonts w:eastAsia="黑体"/>
          <w:sz w:val="15"/>
        </w:rPr>
        <w:t>表</w:t>
      </w:r>
      <w:r>
        <w:rPr>
          <w:rFonts w:eastAsia="黑体"/>
          <w:sz w:val="15"/>
        </w:rPr>
        <w:t xml:space="preserve"> 4 </w:t>
      </w:r>
      <w:proofErr w:type="spellStart"/>
      <w:r>
        <w:rPr>
          <w:rFonts w:eastAsia="黑体"/>
          <w:sz w:val="15"/>
        </w:rPr>
        <w:t>机器学习模型在测试集中的</w:t>
      </w:r>
      <w:proofErr w:type="spellEnd"/>
      <w:r>
        <w:rPr>
          <w:rFonts w:eastAsia="黑体"/>
          <w:sz w:val="15"/>
        </w:rPr>
        <w:t xml:space="preserve"> ROC-AUC</w:t>
      </w:r>
      <w:r>
        <w:rPr>
          <w:rFonts w:eastAsia="黑体"/>
          <w:sz w:val="15"/>
        </w:rPr>
        <w:br/>
        <w:t>Table 4 ROC-AUC of machine learning models in the test set</w:t>
      </w:r>
    </w:p>
    <w:tbl>
      <w:tblPr>
        <w:tblStyle w:val="aff1"/>
        <w:tblW w:w="4507" w:type="dxa"/>
        <w:jc w:val="center"/>
        <w:tblBorders>
          <w:top w:val="single" w:sz="6" w:space="0" w:color="000000"/>
          <w:left w:val="nil"/>
          <w:bottom w:val="single" w:sz="6" w:space="0" w:color="000000"/>
          <w:right w:val="nil"/>
          <w:insideH w:val="single" w:sz="4" w:space="0" w:color="000000"/>
          <w:insideV w:val="nil"/>
        </w:tblBorders>
        <w:tblLayout w:type="fixed"/>
        <w:tblLook w:val="04A0" w:firstRow="1" w:lastRow="0" w:firstColumn="1" w:lastColumn="0" w:noHBand="0" w:noVBand="1"/>
      </w:tblPr>
      <w:tblGrid>
        <w:gridCol w:w="1503"/>
        <w:gridCol w:w="1502"/>
        <w:gridCol w:w="1502"/>
      </w:tblGrid>
      <w:tr w:rsidR="0092061E" w14:paraId="387EE7FA" w14:textId="77777777">
        <w:trPr>
          <w:jc w:val="center"/>
        </w:trPr>
        <w:tc>
          <w:tcPr>
            <w:tcW w:w="1502" w:type="dxa"/>
            <w:tcBorders>
              <w:top w:val="single" w:sz="8" w:space="0" w:color="7F7F7F"/>
              <w:left w:val="nil"/>
              <w:bottom w:val="single" w:sz="8" w:space="0" w:color="7F7F7F"/>
              <w:right w:val="nil"/>
            </w:tcBorders>
            <w:shd w:val="clear" w:color="auto" w:fill="EDEDED"/>
            <w:vAlign w:val="center"/>
          </w:tcPr>
          <w:p w14:paraId="44348080" w14:textId="77777777" w:rsidR="0092061E" w:rsidRDefault="00817EEB">
            <w:pPr>
              <w:spacing w:line="240" w:lineRule="auto"/>
              <w:jc w:val="center"/>
            </w:pPr>
            <w:proofErr w:type="spellStart"/>
            <w:r>
              <w:rPr>
                <w:b/>
                <w:sz w:val="14"/>
              </w:rPr>
              <w:t>模型</w:t>
            </w:r>
            <w:proofErr w:type="spellEnd"/>
          </w:p>
        </w:tc>
        <w:tc>
          <w:tcPr>
            <w:tcW w:w="1502" w:type="dxa"/>
            <w:tcBorders>
              <w:top w:val="single" w:sz="8" w:space="0" w:color="7F7F7F"/>
              <w:left w:val="nil"/>
              <w:bottom w:val="single" w:sz="8" w:space="0" w:color="7F7F7F"/>
              <w:right w:val="nil"/>
            </w:tcBorders>
            <w:shd w:val="clear" w:color="auto" w:fill="EDEDED"/>
            <w:vAlign w:val="center"/>
          </w:tcPr>
          <w:p w14:paraId="2D32845F" w14:textId="77777777" w:rsidR="0092061E" w:rsidRDefault="00817EEB">
            <w:pPr>
              <w:spacing w:line="240" w:lineRule="auto"/>
              <w:jc w:val="center"/>
            </w:pPr>
            <w:proofErr w:type="spellStart"/>
            <w:r>
              <w:rPr>
                <w:b/>
                <w:sz w:val="14"/>
              </w:rPr>
              <w:t>特征集</w:t>
            </w:r>
            <w:proofErr w:type="spellEnd"/>
          </w:p>
        </w:tc>
        <w:tc>
          <w:tcPr>
            <w:tcW w:w="1502" w:type="dxa"/>
            <w:tcBorders>
              <w:top w:val="single" w:sz="8" w:space="0" w:color="7F7F7F"/>
              <w:left w:val="nil"/>
              <w:bottom w:val="single" w:sz="8" w:space="0" w:color="7F7F7F"/>
              <w:right w:val="nil"/>
            </w:tcBorders>
            <w:shd w:val="clear" w:color="auto" w:fill="EDEDED"/>
            <w:vAlign w:val="center"/>
          </w:tcPr>
          <w:p w14:paraId="060CEA23" w14:textId="77777777" w:rsidR="0092061E" w:rsidRDefault="00817EEB">
            <w:pPr>
              <w:spacing w:line="240" w:lineRule="auto"/>
              <w:jc w:val="center"/>
            </w:pPr>
            <w:r>
              <w:rPr>
                <w:b/>
                <w:sz w:val="14"/>
              </w:rPr>
              <w:t>ROC-AUC</w:t>
            </w:r>
          </w:p>
        </w:tc>
      </w:tr>
      <w:tr w:rsidR="0092061E" w14:paraId="5276004C" w14:textId="77777777">
        <w:trPr>
          <w:jc w:val="center"/>
        </w:trPr>
        <w:tc>
          <w:tcPr>
            <w:tcW w:w="1502" w:type="dxa"/>
            <w:tcBorders>
              <w:top w:val="single" w:sz="4" w:space="0" w:color="C8C8C8"/>
              <w:left w:val="nil"/>
              <w:bottom w:val="single" w:sz="4" w:space="0" w:color="C8C8C8"/>
              <w:right w:val="nil"/>
            </w:tcBorders>
            <w:vAlign w:val="center"/>
          </w:tcPr>
          <w:p w14:paraId="7796428D" w14:textId="77777777" w:rsidR="0092061E" w:rsidRDefault="00817EEB">
            <w:pPr>
              <w:spacing w:line="240" w:lineRule="auto"/>
              <w:jc w:val="center"/>
            </w:pPr>
            <w:r>
              <w:rPr>
                <w:sz w:val="14"/>
              </w:rPr>
              <w:t>Logistic regression</w:t>
            </w:r>
          </w:p>
        </w:tc>
        <w:tc>
          <w:tcPr>
            <w:tcW w:w="1502" w:type="dxa"/>
            <w:tcBorders>
              <w:top w:val="single" w:sz="4" w:space="0" w:color="C8C8C8"/>
              <w:left w:val="nil"/>
              <w:bottom w:val="single" w:sz="4" w:space="0" w:color="C8C8C8"/>
              <w:right w:val="nil"/>
            </w:tcBorders>
            <w:vAlign w:val="center"/>
          </w:tcPr>
          <w:p w14:paraId="5A84082B" w14:textId="77777777" w:rsidR="0092061E" w:rsidRDefault="00817EEB">
            <w:pPr>
              <w:spacing w:line="240" w:lineRule="auto"/>
              <w:jc w:val="center"/>
            </w:pPr>
            <w:r>
              <w:rPr>
                <w:sz w:val="14"/>
              </w:rPr>
              <w:t>core</w:t>
            </w:r>
          </w:p>
        </w:tc>
        <w:tc>
          <w:tcPr>
            <w:tcW w:w="1502" w:type="dxa"/>
            <w:tcBorders>
              <w:top w:val="single" w:sz="4" w:space="0" w:color="C8C8C8"/>
              <w:left w:val="nil"/>
              <w:bottom w:val="single" w:sz="4" w:space="0" w:color="C8C8C8"/>
              <w:right w:val="nil"/>
            </w:tcBorders>
            <w:vAlign w:val="center"/>
          </w:tcPr>
          <w:p w14:paraId="163A37A9" w14:textId="77777777" w:rsidR="0092061E" w:rsidRDefault="00817EEB">
            <w:pPr>
              <w:spacing w:line="240" w:lineRule="auto"/>
              <w:jc w:val="center"/>
            </w:pPr>
            <w:r>
              <w:rPr>
                <w:sz w:val="14"/>
              </w:rPr>
              <w:t>0.749</w:t>
            </w:r>
          </w:p>
        </w:tc>
      </w:tr>
      <w:tr w:rsidR="0092061E" w14:paraId="759AE401" w14:textId="77777777">
        <w:trPr>
          <w:jc w:val="center"/>
        </w:trPr>
        <w:tc>
          <w:tcPr>
            <w:tcW w:w="1502" w:type="dxa"/>
            <w:tcBorders>
              <w:top w:val="single" w:sz="4" w:space="0" w:color="C8C8C8"/>
              <w:left w:val="nil"/>
              <w:bottom w:val="single" w:sz="4" w:space="0" w:color="C8C8C8"/>
              <w:right w:val="nil"/>
            </w:tcBorders>
            <w:vAlign w:val="center"/>
          </w:tcPr>
          <w:p w14:paraId="13F63C67" w14:textId="77777777" w:rsidR="0092061E" w:rsidRDefault="00817EEB">
            <w:pPr>
              <w:spacing w:line="240" w:lineRule="auto"/>
              <w:jc w:val="center"/>
            </w:pPr>
            <w:r>
              <w:rPr>
                <w:sz w:val="14"/>
              </w:rPr>
              <w:t>Logistic regression</w:t>
            </w:r>
          </w:p>
        </w:tc>
        <w:tc>
          <w:tcPr>
            <w:tcW w:w="1502" w:type="dxa"/>
            <w:tcBorders>
              <w:top w:val="single" w:sz="4" w:space="0" w:color="C8C8C8"/>
              <w:left w:val="nil"/>
              <w:bottom w:val="single" w:sz="4" w:space="0" w:color="C8C8C8"/>
              <w:right w:val="nil"/>
            </w:tcBorders>
            <w:vAlign w:val="center"/>
          </w:tcPr>
          <w:p w14:paraId="6877F842" w14:textId="77777777" w:rsidR="0092061E" w:rsidRDefault="00817EEB">
            <w:pPr>
              <w:spacing w:line="240" w:lineRule="auto"/>
              <w:jc w:val="center"/>
            </w:pPr>
            <w:r>
              <w:rPr>
                <w:sz w:val="14"/>
              </w:rPr>
              <w:t>enhanced</w:t>
            </w:r>
          </w:p>
        </w:tc>
        <w:tc>
          <w:tcPr>
            <w:tcW w:w="1502" w:type="dxa"/>
            <w:tcBorders>
              <w:top w:val="single" w:sz="4" w:space="0" w:color="C8C8C8"/>
              <w:left w:val="nil"/>
              <w:bottom w:val="single" w:sz="4" w:space="0" w:color="C8C8C8"/>
              <w:right w:val="nil"/>
            </w:tcBorders>
            <w:vAlign w:val="center"/>
          </w:tcPr>
          <w:p w14:paraId="5D7BE8B2" w14:textId="77777777" w:rsidR="0092061E" w:rsidRDefault="00817EEB">
            <w:pPr>
              <w:spacing w:line="240" w:lineRule="auto"/>
              <w:jc w:val="center"/>
            </w:pPr>
            <w:r>
              <w:rPr>
                <w:sz w:val="14"/>
              </w:rPr>
              <w:t>0.796</w:t>
            </w:r>
          </w:p>
        </w:tc>
      </w:tr>
      <w:tr w:rsidR="0092061E" w14:paraId="7204A9CE" w14:textId="77777777">
        <w:trPr>
          <w:jc w:val="center"/>
        </w:trPr>
        <w:tc>
          <w:tcPr>
            <w:tcW w:w="1502" w:type="dxa"/>
            <w:tcBorders>
              <w:top w:val="single" w:sz="4" w:space="0" w:color="C8C8C8"/>
              <w:left w:val="nil"/>
              <w:bottom w:val="single" w:sz="4" w:space="0" w:color="C8C8C8"/>
              <w:right w:val="nil"/>
            </w:tcBorders>
            <w:vAlign w:val="center"/>
          </w:tcPr>
          <w:p w14:paraId="5229F76B" w14:textId="77777777" w:rsidR="0092061E" w:rsidRDefault="00817EEB">
            <w:pPr>
              <w:spacing w:line="240" w:lineRule="auto"/>
              <w:jc w:val="center"/>
            </w:pPr>
            <w:r>
              <w:rPr>
                <w:sz w:val="14"/>
              </w:rPr>
              <w:t>Random forest</w:t>
            </w:r>
          </w:p>
        </w:tc>
        <w:tc>
          <w:tcPr>
            <w:tcW w:w="1502" w:type="dxa"/>
            <w:tcBorders>
              <w:top w:val="single" w:sz="4" w:space="0" w:color="C8C8C8"/>
              <w:left w:val="nil"/>
              <w:bottom w:val="single" w:sz="4" w:space="0" w:color="C8C8C8"/>
              <w:right w:val="nil"/>
            </w:tcBorders>
            <w:vAlign w:val="center"/>
          </w:tcPr>
          <w:p w14:paraId="2F05A3DB" w14:textId="77777777" w:rsidR="0092061E" w:rsidRDefault="00817EEB">
            <w:pPr>
              <w:spacing w:line="240" w:lineRule="auto"/>
              <w:jc w:val="center"/>
            </w:pPr>
            <w:r>
              <w:rPr>
                <w:sz w:val="14"/>
              </w:rPr>
              <w:t>core</w:t>
            </w:r>
          </w:p>
        </w:tc>
        <w:tc>
          <w:tcPr>
            <w:tcW w:w="1502" w:type="dxa"/>
            <w:tcBorders>
              <w:top w:val="single" w:sz="4" w:space="0" w:color="C8C8C8"/>
              <w:left w:val="nil"/>
              <w:bottom w:val="single" w:sz="4" w:space="0" w:color="C8C8C8"/>
              <w:right w:val="nil"/>
            </w:tcBorders>
            <w:vAlign w:val="center"/>
          </w:tcPr>
          <w:p w14:paraId="066BD630" w14:textId="77777777" w:rsidR="0092061E" w:rsidRDefault="00817EEB">
            <w:pPr>
              <w:spacing w:line="240" w:lineRule="auto"/>
              <w:jc w:val="center"/>
            </w:pPr>
            <w:r>
              <w:rPr>
                <w:sz w:val="14"/>
              </w:rPr>
              <w:t>0.766</w:t>
            </w:r>
          </w:p>
        </w:tc>
      </w:tr>
      <w:tr w:rsidR="0092061E" w14:paraId="1443AF78" w14:textId="77777777">
        <w:trPr>
          <w:jc w:val="center"/>
        </w:trPr>
        <w:tc>
          <w:tcPr>
            <w:tcW w:w="1502" w:type="dxa"/>
            <w:tcBorders>
              <w:top w:val="single" w:sz="4" w:space="0" w:color="C8C8C8"/>
              <w:left w:val="nil"/>
              <w:bottom w:val="single" w:sz="4" w:space="0" w:color="C8C8C8"/>
              <w:right w:val="nil"/>
            </w:tcBorders>
            <w:vAlign w:val="center"/>
          </w:tcPr>
          <w:p w14:paraId="37F330C8" w14:textId="77777777" w:rsidR="0092061E" w:rsidRDefault="00817EEB">
            <w:pPr>
              <w:spacing w:line="240" w:lineRule="auto"/>
              <w:jc w:val="center"/>
            </w:pPr>
            <w:r>
              <w:rPr>
                <w:sz w:val="14"/>
              </w:rPr>
              <w:t>Random forest</w:t>
            </w:r>
          </w:p>
        </w:tc>
        <w:tc>
          <w:tcPr>
            <w:tcW w:w="1502" w:type="dxa"/>
            <w:tcBorders>
              <w:top w:val="single" w:sz="4" w:space="0" w:color="C8C8C8"/>
              <w:left w:val="nil"/>
              <w:bottom w:val="single" w:sz="4" w:space="0" w:color="C8C8C8"/>
              <w:right w:val="nil"/>
            </w:tcBorders>
            <w:vAlign w:val="center"/>
          </w:tcPr>
          <w:p w14:paraId="07A346B2" w14:textId="77777777" w:rsidR="0092061E" w:rsidRDefault="00817EEB">
            <w:pPr>
              <w:spacing w:line="240" w:lineRule="auto"/>
              <w:jc w:val="center"/>
            </w:pPr>
            <w:r>
              <w:rPr>
                <w:sz w:val="14"/>
              </w:rPr>
              <w:t>enhanced</w:t>
            </w:r>
          </w:p>
        </w:tc>
        <w:tc>
          <w:tcPr>
            <w:tcW w:w="1502" w:type="dxa"/>
            <w:tcBorders>
              <w:top w:val="single" w:sz="4" w:space="0" w:color="C8C8C8"/>
              <w:left w:val="nil"/>
              <w:bottom w:val="single" w:sz="4" w:space="0" w:color="C8C8C8"/>
              <w:right w:val="nil"/>
            </w:tcBorders>
            <w:vAlign w:val="center"/>
          </w:tcPr>
          <w:p w14:paraId="1DDBCC92" w14:textId="77777777" w:rsidR="0092061E" w:rsidRDefault="00817EEB">
            <w:pPr>
              <w:spacing w:line="240" w:lineRule="auto"/>
              <w:jc w:val="center"/>
            </w:pPr>
            <w:r>
              <w:rPr>
                <w:sz w:val="14"/>
              </w:rPr>
              <w:t>0.801</w:t>
            </w:r>
          </w:p>
        </w:tc>
      </w:tr>
      <w:tr w:rsidR="0092061E" w14:paraId="3D50BF73" w14:textId="77777777">
        <w:trPr>
          <w:jc w:val="center"/>
        </w:trPr>
        <w:tc>
          <w:tcPr>
            <w:tcW w:w="1502" w:type="dxa"/>
            <w:tcBorders>
              <w:top w:val="single" w:sz="4" w:space="0" w:color="C8C8C8"/>
              <w:left w:val="nil"/>
              <w:bottom w:val="single" w:sz="4" w:space="0" w:color="C8C8C8"/>
              <w:right w:val="nil"/>
            </w:tcBorders>
            <w:vAlign w:val="center"/>
          </w:tcPr>
          <w:p w14:paraId="03AF4B71" w14:textId="77777777" w:rsidR="0092061E" w:rsidRDefault="00817EEB">
            <w:pPr>
              <w:spacing w:line="240" w:lineRule="auto"/>
              <w:jc w:val="center"/>
            </w:pPr>
            <w:proofErr w:type="spellStart"/>
            <w:r>
              <w:rPr>
                <w:sz w:val="14"/>
              </w:rPr>
              <w:t>XGBoost</w:t>
            </w:r>
            <w:proofErr w:type="spellEnd"/>
          </w:p>
        </w:tc>
        <w:tc>
          <w:tcPr>
            <w:tcW w:w="1502" w:type="dxa"/>
            <w:tcBorders>
              <w:top w:val="single" w:sz="4" w:space="0" w:color="C8C8C8"/>
              <w:left w:val="nil"/>
              <w:bottom w:val="single" w:sz="4" w:space="0" w:color="C8C8C8"/>
              <w:right w:val="nil"/>
            </w:tcBorders>
            <w:vAlign w:val="center"/>
          </w:tcPr>
          <w:p w14:paraId="76EDCE0B" w14:textId="77777777" w:rsidR="0092061E" w:rsidRDefault="00817EEB">
            <w:pPr>
              <w:spacing w:line="240" w:lineRule="auto"/>
              <w:jc w:val="center"/>
            </w:pPr>
            <w:r>
              <w:rPr>
                <w:sz w:val="14"/>
              </w:rPr>
              <w:t>core</w:t>
            </w:r>
          </w:p>
        </w:tc>
        <w:tc>
          <w:tcPr>
            <w:tcW w:w="1502" w:type="dxa"/>
            <w:tcBorders>
              <w:top w:val="single" w:sz="4" w:space="0" w:color="C8C8C8"/>
              <w:left w:val="nil"/>
              <w:bottom w:val="single" w:sz="4" w:space="0" w:color="C8C8C8"/>
              <w:right w:val="nil"/>
            </w:tcBorders>
            <w:vAlign w:val="center"/>
          </w:tcPr>
          <w:p w14:paraId="1C066B58" w14:textId="77777777" w:rsidR="0092061E" w:rsidRDefault="00817EEB">
            <w:pPr>
              <w:spacing w:line="240" w:lineRule="auto"/>
              <w:jc w:val="center"/>
            </w:pPr>
            <w:r>
              <w:rPr>
                <w:sz w:val="14"/>
              </w:rPr>
              <w:t>0.769</w:t>
            </w:r>
          </w:p>
        </w:tc>
      </w:tr>
      <w:tr w:rsidR="0092061E" w14:paraId="5B9D4502" w14:textId="77777777">
        <w:trPr>
          <w:jc w:val="center"/>
        </w:trPr>
        <w:tc>
          <w:tcPr>
            <w:tcW w:w="1502" w:type="dxa"/>
            <w:tcBorders>
              <w:top w:val="single" w:sz="4" w:space="0" w:color="C8C8C8"/>
              <w:left w:val="nil"/>
              <w:bottom w:val="single" w:sz="4" w:space="0" w:color="C8C8C8"/>
              <w:right w:val="nil"/>
            </w:tcBorders>
            <w:vAlign w:val="center"/>
          </w:tcPr>
          <w:p w14:paraId="5DCD6642" w14:textId="77777777" w:rsidR="0092061E" w:rsidRDefault="00817EEB">
            <w:pPr>
              <w:spacing w:line="240" w:lineRule="auto"/>
              <w:jc w:val="center"/>
            </w:pPr>
            <w:proofErr w:type="spellStart"/>
            <w:r>
              <w:rPr>
                <w:sz w:val="14"/>
              </w:rPr>
              <w:t>XGBoost</w:t>
            </w:r>
            <w:proofErr w:type="spellEnd"/>
          </w:p>
        </w:tc>
        <w:tc>
          <w:tcPr>
            <w:tcW w:w="1502" w:type="dxa"/>
            <w:tcBorders>
              <w:top w:val="single" w:sz="4" w:space="0" w:color="C8C8C8"/>
              <w:left w:val="nil"/>
              <w:bottom w:val="single" w:sz="4" w:space="0" w:color="C8C8C8"/>
              <w:right w:val="nil"/>
            </w:tcBorders>
            <w:vAlign w:val="center"/>
          </w:tcPr>
          <w:p w14:paraId="2BD8D6C2" w14:textId="77777777" w:rsidR="0092061E" w:rsidRDefault="00817EEB">
            <w:pPr>
              <w:spacing w:line="240" w:lineRule="auto"/>
              <w:jc w:val="center"/>
            </w:pPr>
            <w:r>
              <w:rPr>
                <w:sz w:val="14"/>
              </w:rPr>
              <w:t>enhanced</w:t>
            </w:r>
          </w:p>
        </w:tc>
        <w:tc>
          <w:tcPr>
            <w:tcW w:w="1502" w:type="dxa"/>
            <w:tcBorders>
              <w:top w:val="single" w:sz="4" w:space="0" w:color="C8C8C8"/>
              <w:left w:val="nil"/>
              <w:bottom w:val="single" w:sz="4" w:space="0" w:color="C8C8C8"/>
              <w:right w:val="nil"/>
            </w:tcBorders>
            <w:vAlign w:val="center"/>
          </w:tcPr>
          <w:p w14:paraId="38B38FB8" w14:textId="77777777" w:rsidR="0092061E" w:rsidRDefault="00817EEB">
            <w:pPr>
              <w:spacing w:line="240" w:lineRule="auto"/>
              <w:jc w:val="center"/>
            </w:pPr>
            <w:r>
              <w:rPr>
                <w:sz w:val="14"/>
              </w:rPr>
              <w:t>0.805</w:t>
            </w:r>
          </w:p>
        </w:tc>
      </w:tr>
    </w:tbl>
    <w:p w14:paraId="3B6D3C49" w14:textId="77777777" w:rsidR="0092061E" w:rsidRDefault="0092061E"/>
    <w:p w14:paraId="68AE9F33" w14:textId="77777777" w:rsidR="0092061E" w:rsidRDefault="00817EEB">
      <w:pPr>
        <w:ind w:firstLine="420"/>
        <w:rPr>
          <w:lang w:eastAsia="zh-CN"/>
        </w:rPr>
      </w:pPr>
      <w:r>
        <w:rPr>
          <w:lang w:eastAsia="zh-CN"/>
        </w:rPr>
        <w:t>增强特征集</w:t>
      </w:r>
      <w:r>
        <w:rPr>
          <w:lang w:eastAsia="zh-CN"/>
        </w:rPr>
        <w:t xml:space="preserve"> </w:t>
      </w:r>
      <w:proofErr w:type="spellStart"/>
      <w:r>
        <w:rPr>
          <w:lang w:eastAsia="zh-CN"/>
        </w:rPr>
        <w:t>XGBoost</w:t>
      </w:r>
      <w:proofErr w:type="spellEnd"/>
      <w:r>
        <w:rPr>
          <w:lang w:eastAsia="zh-CN"/>
        </w:rPr>
        <w:t xml:space="preserve"> </w:t>
      </w:r>
      <w:r>
        <w:rPr>
          <w:lang w:eastAsia="zh-CN"/>
        </w:rPr>
        <w:t>模型的重要特征主要包括步态</w:t>
      </w:r>
      <w:r>
        <w:rPr>
          <w:lang w:eastAsia="zh-CN"/>
        </w:rPr>
        <w:t>/</w:t>
      </w:r>
      <w:r>
        <w:rPr>
          <w:lang w:eastAsia="zh-CN"/>
        </w:rPr>
        <w:t>平衡</w:t>
      </w:r>
      <w:r>
        <w:rPr>
          <w:lang w:eastAsia="zh-CN"/>
        </w:rPr>
        <w:t>/</w:t>
      </w:r>
      <w:r>
        <w:rPr>
          <w:lang w:eastAsia="zh-CN"/>
        </w:rPr>
        <w:t>运动控制异常、报告者类型、</w:t>
      </w:r>
      <w:r>
        <w:rPr>
          <w:lang w:eastAsia="zh-CN"/>
        </w:rPr>
        <w:t xml:space="preserve">CNS </w:t>
      </w:r>
      <w:r>
        <w:rPr>
          <w:lang w:eastAsia="zh-CN"/>
        </w:rPr>
        <w:t>合并用药分层、意识认知改变、眩晕</w:t>
      </w:r>
      <w:r>
        <w:rPr>
          <w:lang w:eastAsia="zh-CN"/>
        </w:rPr>
        <w:t>/</w:t>
      </w:r>
      <w:r>
        <w:rPr>
          <w:lang w:eastAsia="zh-CN"/>
        </w:rPr>
        <w:t>晕厥、神经系统相关适应证和肌肉骨骼系统相关适应证。</w:t>
      </w:r>
      <w:r>
        <w:rPr>
          <w:lang w:eastAsia="zh-CN"/>
        </w:rPr>
        <w:t xml:space="preserve">Logistic regression </w:t>
      </w:r>
      <w:r>
        <w:rPr>
          <w:lang w:eastAsia="zh-CN"/>
        </w:rPr>
        <w:t>增强模型中，步态</w:t>
      </w:r>
      <w:r>
        <w:rPr>
          <w:lang w:eastAsia="zh-CN"/>
        </w:rPr>
        <w:t>/</w:t>
      </w:r>
      <w:r>
        <w:rPr>
          <w:lang w:eastAsia="zh-CN"/>
        </w:rPr>
        <w:t>平衡</w:t>
      </w:r>
      <w:r>
        <w:rPr>
          <w:lang w:eastAsia="zh-CN"/>
        </w:rPr>
        <w:t>/</w:t>
      </w:r>
      <w:r>
        <w:rPr>
          <w:lang w:eastAsia="zh-CN"/>
        </w:rPr>
        <w:t>运动控制异常、眩晕</w:t>
      </w:r>
      <w:r>
        <w:rPr>
          <w:lang w:eastAsia="zh-CN"/>
        </w:rPr>
        <w:t>/</w:t>
      </w:r>
      <w:r>
        <w:rPr>
          <w:lang w:eastAsia="zh-CN"/>
        </w:rPr>
        <w:t>晕厥、意识认知改变、神经系统相关适应证和低血压均与跌倒报告呈正相关。该结果与</w:t>
      </w:r>
      <w:r>
        <w:rPr>
          <w:lang w:eastAsia="zh-CN"/>
        </w:rPr>
        <w:t xml:space="preserve"> PT </w:t>
      </w:r>
      <w:r>
        <w:rPr>
          <w:lang w:eastAsia="zh-CN"/>
        </w:rPr>
        <w:t>共现网络分析方向一致，说明机器学习模型捕捉到的报告特征模式主要集中在神经认知、眩晕</w:t>
      </w:r>
      <w:r>
        <w:rPr>
          <w:lang w:eastAsia="zh-CN"/>
        </w:rPr>
        <w:t>/</w:t>
      </w:r>
      <w:r>
        <w:rPr>
          <w:lang w:eastAsia="zh-CN"/>
        </w:rPr>
        <w:t>晕厥、低血压和步态平衡异常等临床相关特征上。</w:t>
      </w:r>
    </w:p>
    <w:p w14:paraId="0E1E49D6" w14:textId="77777777" w:rsidR="0092061E" w:rsidRDefault="00817EEB">
      <w:pPr>
        <w:ind w:firstLine="420"/>
        <w:rPr>
          <w:lang w:eastAsia="zh-CN"/>
        </w:rPr>
      </w:pPr>
      <w:r>
        <w:rPr>
          <w:lang w:eastAsia="zh-CN"/>
        </w:rPr>
        <w:t>机器学习模型在测试集中的</w:t>
      </w:r>
      <w:r>
        <w:rPr>
          <w:lang w:eastAsia="zh-CN"/>
        </w:rPr>
        <w:t xml:space="preserve"> ROC </w:t>
      </w:r>
      <w:r>
        <w:rPr>
          <w:lang w:eastAsia="zh-CN"/>
        </w:rPr>
        <w:t>曲线见图</w:t>
      </w:r>
      <w:r>
        <w:rPr>
          <w:lang w:eastAsia="zh-CN"/>
        </w:rPr>
        <w:t xml:space="preserve"> 5</w:t>
      </w:r>
      <w:r>
        <w:rPr>
          <w:lang w:eastAsia="zh-CN"/>
        </w:rPr>
        <w:t>。</w:t>
      </w:r>
      <w:proofErr w:type="spellStart"/>
      <w:r>
        <w:rPr>
          <w:lang w:eastAsia="zh-CN"/>
        </w:rPr>
        <w:t>XGBoost</w:t>
      </w:r>
      <w:proofErr w:type="spellEnd"/>
      <w:r>
        <w:rPr>
          <w:lang w:eastAsia="zh-CN"/>
        </w:rPr>
        <w:t xml:space="preserve"> </w:t>
      </w:r>
      <w:r>
        <w:rPr>
          <w:lang w:eastAsia="zh-CN"/>
        </w:rPr>
        <w:t>增强模型</w:t>
      </w:r>
      <w:r>
        <w:rPr>
          <w:lang w:eastAsia="zh-CN"/>
        </w:rPr>
        <w:t xml:space="preserve"> AUC </w:t>
      </w:r>
      <w:r>
        <w:rPr>
          <w:lang w:eastAsia="zh-CN"/>
        </w:rPr>
        <w:t>最高，</w:t>
      </w:r>
      <w:r>
        <w:rPr>
          <w:lang w:eastAsia="zh-CN"/>
        </w:rPr>
        <w:t xml:space="preserve">Random forest </w:t>
      </w:r>
      <w:r>
        <w:rPr>
          <w:lang w:eastAsia="zh-CN"/>
        </w:rPr>
        <w:t>增强模型次之，说明机器学习算法可从报告特征角度补充传统信号检测结果。但不同模型</w:t>
      </w:r>
      <w:r>
        <w:rPr>
          <w:lang w:eastAsia="zh-CN"/>
        </w:rPr>
        <w:t xml:space="preserve"> AUC </w:t>
      </w:r>
      <w:r>
        <w:rPr>
          <w:lang w:eastAsia="zh-CN"/>
        </w:rPr>
        <w:t>差异较小，且本研究数据来源于自发报告系统，因此机器学习结果更适合用于补充描述</w:t>
      </w:r>
      <w:r>
        <w:rPr>
          <w:lang w:eastAsia="zh-CN"/>
        </w:rPr>
        <w:t xml:space="preserve"> FAERS </w:t>
      </w:r>
      <w:r>
        <w:rPr>
          <w:lang w:eastAsia="zh-CN"/>
        </w:rPr>
        <w:t>报告特征，而不宜解释为临床个体风险预测工具。</w:t>
      </w:r>
    </w:p>
    <w:p w14:paraId="3B035635" w14:textId="77777777" w:rsidR="0092061E" w:rsidRDefault="00817EEB">
      <w:pPr>
        <w:jc w:val="center"/>
      </w:pPr>
      <w:r>
        <w:rPr>
          <w:noProof/>
        </w:rPr>
        <w:drawing>
          <wp:inline distT="0" distB="0" distL="0" distR="0" wp14:anchorId="1DB1F873" wp14:editId="4F95084D">
            <wp:extent cx="2861999" cy="25692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ML_ROC.jpg"/>
                    <pic:cNvPicPr/>
                  </pic:nvPicPr>
                  <pic:blipFill>
                    <a:blip r:embed="rId13"/>
                    <a:stretch>
                      <a:fillRect/>
                    </a:stretch>
                  </pic:blipFill>
                  <pic:spPr>
                    <a:xfrm>
                      <a:off x="0" y="0"/>
                      <a:ext cx="2861999" cy="2569238"/>
                    </a:xfrm>
                    <a:prstGeom prst="rect">
                      <a:avLst/>
                    </a:prstGeom>
                  </pic:spPr>
                </pic:pic>
              </a:graphicData>
            </a:graphic>
          </wp:inline>
        </w:drawing>
      </w:r>
    </w:p>
    <w:p w14:paraId="0A0F0354" w14:textId="77777777" w:rsidR="0092061E" w:rsidRDefault="00817EEB">
      <w:pPr>
        <w:spacing w:before="60" w:after="80" w:line="264" w:lineRule="auto"/>
        <w:jc w:val="center"/>
      </w:pPr>
      <w:r>
        <w:rPr>
          <w:rFonts w:eastAsia="黑体"/>
          <w:sz w:val="15"/>
        </w:rPr>
        <w:t>图</w:t>
      </w:r>
      <w:r>
        <w:rPr>
          <w:rFonts w:eastAsia="黑体"/>
          <w:sz w:val="15"/>
        </w:rPr>
        <w:t xml:space="preserve"> 5 </w:t>
      </w:r>
      <w:proofErr w:type="spellStart"/>
      <w:r>
        <w:rPr>
          <w:rFonts w:eastAsia="黑体"/>
          <w:sz w:val="15"/>
        </w:rPr>
        <w:t>机器学习模型在测试集中的</w:t>
      </w:r>
      <w:proofErr w:type="spellEnd"/>
      <w:r>
        <w:rPr>
          <w:rFonts w:eastAsia="黑体"/>
          <w:sz w:val="15"/>
        </w:rPr>
        <w:t xml:space="preserve"> ROC </w:t>
      </w:r>
      <w:proofErr w:type="spellStart"/>
      <w:r>
        <w:rPr>
          <w:rFonts w:eastAsia="黑体"/>
          <w:sz w:val="15"/>
        </w:rPr>
        <w:t>曲线</w:t>
      </w:r>
      <w:proofErr w:type="spellEnd"/>
      <w:r>
        <w:rPr>
          <w:rFonts w:eastAsia="黑体"/>
          <w:sz w:val="15"/>
        </w:rPr>
        <w:br/>
        <w:t>Figure 5 ROC curves of machine learning models in the test set</w:t>
      </w:r>
    </w:p>
    <w:p w14:paraId="7CFF5958" w14:textId="77777777" w:rsidR="0092061E" w:rsidRDefault="00817EEB">
      <w:pPr>
        <w:keepNext/>
        <w:spacing w:before="100" w:after="60" w:line="276" w:lineRule="auto"/>
      </w:pPr>
      <w:r>
        <w:rPr>
          <w:rFonts w:eastAsia="黑体"/>
          <w:b/>
          <w:sz w:val="20"/>
        </w:rPr>
        <w:t xml:space="preserve">4 </w:t>
      </w:r>
      <w:proofErr w:type="spellStart"/>
      <w:r>
        <w:rPr>
          <w:rFonts w:eastAsia="黑体"/>
          <w:b/>
          <w:sz w:val="20"/>
        </w:rPr>
        <w:t>讨论</w:t>
      </w:r>
      <w:proofErr w:type="spellEnd"/>
    </w:p>
    <w:p w14:paraId="6B138F22" w14:textId="77777777" w:rsidR="0092061E" w:rsidRDefault="00817EEB">
      <w:pPr>
        <w:ind w:firstLine="420"/>
        <w:rPr>
          <w:lang w:eastAsia="zh-CN"/>
        </w:rPr>
      </w:pPr>
      <w:proofErr w:type="spellStart"/>
      <w:r>
        <w:t>本研究基于</w:t>
      </w:r>
      <w:proofErr w:type="spellEnd"/>
      <w:r>
        <w:t xml:space="preserve"> FAERS 2004—2025 </w:t>
      </w:r>
      <w:proofErr w:type="spellStart"/>
      <w:r>
        <w:t>年老年病例数据发现，唑吡坦相关跌倒事件存在稳定药物警戒报告信号</w:t>
      </w:r>
      <w:proofErr w:type="spellEnd"/>
      <w:r>
        <w:t>。</w:t>
      </w:r>
      <w:r>
        <w:rPr>
          <w:lang w:eastAsia="zh-CN"/>
        </w:rPr>
        <w:t>主分析中，唑吡坦报告组的跌倒报告占比为</w:t>
      </w:r>
      <w:r>
        <w:rPr>
          <w:lang w:eastAsia="zh-CN"/>
        </w:rPr>
        <w:t xml:space="preserve"> 13.57%</w:t>
      </w:r>
      <w:r>
        <w:rPr>
          <w:lang w:eastAsia="zh-CN"/>
        </w:rPr>
        <w:t>，明显高于非唑吡坦报告组的</w:t>
      </w:r>
      <w:r>
        <w:rPr>
          <w:lang w:eastAsia="zh-CN"/>
        </w:rPr>
        <w:t xml:space="preserve"> 3.17%</w:t>
      </w:r>
      <w:r>
        <w:rPr>
          <w:lang w:eastAsia="zh-CN"/>
        </w:rPr>
        <w:t>；</w:t>
      </w:r>
      <w:r>
        <w:rPr>
          <w:lang w:eastAsia="zh-CN"/>
        </w:rPr>
        <w:t>ROR</w:t>
      </w:r>
      <w:r>
        <w:rPr>
          <w:lang w:eastAsia="zh-CN"/>
        </w:rPr>
        <w:t>、</w:t>
      </w:r>
      <w:r>
        <w:rPr>
          <w:lang w:eastAsia="zh-CN"/>
        </w:rPr>
        <w:t>PRR</w:t>
      </w:r>
      <w:r>
        <w:rPr>
          <w:lang w:eastAsia="zh-CN"/>
        </w:rPr>
        <w:t>、</w:t>
      </w:r>
      <w:r>
        <w:rPr>
          <w:lang w:eastAsia="zh-CN"/>
        </w:rPr>
        <w:t xml:space="preserve">IC </w:t>
      </w:r>
      <w:r>
        <w:rPr>
          <w:lang w:eastAsia="zh-CN"/>
        </w:rPr>
        <w:t>和</w:t>
      </w:r>
      <w:r>
        <w:rPr>
          <w:lang w:eastAsia="zh-CN"/>
        </w:rPr>
        <w:t xml:space="preserve"> EBGM </w:t>
      </w:r>
      <w:r>
        <w:rPr>
          <w:lang w:eastAsia="zh-CN"/>
        </w:rPr>
        <w:t>均达到阳性信号标准。调整年龄、性别、报告时间、多重用药和中枢神经系统相关合并用药后，唑吡坦与跌倒事件的报告关联仍然存在。进一步调整报告来源和适应证因素后，关联强度有所降低，但仍保持显著，提示该信号不能完全用基础病例构成差异解释。</w:t>
      </w:r>
    </w:p>
    <w:p w14:paraId="68670974" w14:textId="77777777" w:rsidR="0092061E" w:rsidRDefault="00817EEB">
      <w:pPr>
        <w:ind w:firstLine="420"/>
        <w:rPr>
          <w:lang w:eastAsia="zh-CN"/>
        </w:rPr>
      </w:pPr>
      <w:proofErr w:type="gramStart"/>
      <w:r>
        <w:rPr>
          <w:lang w:eastAsia="zh-CN"/>
        </w:rPr>
        <w:t>唑吡坦作为</w:t>
      </w:r>
      <w:proofErr w:type="gramEnd"/>
      <w:r>
        <w:rPr>
          <w:lang w:eastAsia="zh-CN"/>
        </w:rPr>
        <w:t>非苯二氮䓬类镇静催眠药，临床上常用于失眠治疗。老年患者药代动力学和药效学特点发生改变，对镇静催眠药更加敏感，容易出现次日残余镇静、反应变慢、注意力下降、意识模糊、眩晕和步态不稳等问题。这些反应均可能增加跌倒风险。本研究采用严格</w:t>
      </w:r>
      <w:r>
        <w:rPr>
          <w:lang w:eastAsia="zh-CN"/>
        </w:rPr>
        <w:t xml:space="preserve"> PT </w:t>
      </w:r>
      <w:r>
        <w:rPr>
          <w:lang w:eastAsia="zh-CN"/>
        </w:rPr>
        <w:t>定义，仅将</w:t>
      </w:r>
      <w:r>
        <w:rPr>
          <w:lang w:eastAsia="zh-CN"/>
        </w:rPr>
        <w:t xml:space="preserve"> FALL </w:t>
      </w:r>
      <w:r>
        <w:rPr>
          <w:lang w:eastAsia="zh-CN"/>
        </w:rPr>
        <w:t>和</w:t>
      </w:r>
      <w:r>
        <w:rPr>
          <w:lang w:eastAsia="zh-CN"/>
        </w:rPr>
        <w:t xml:space="preserve"> DROP ATTACKS </w:t>
      </w:r>
      <w:r>
        <w:rPr>
          <w:lang w:eastAsia="zh-CN"/>
        </w:rPr>
        <w:t>作为结局，有助于减少宽泛结局定义造成的误分类。即便在较严格的结局定义下，</w:t>
      </w:r>
      <w:proofErr w:type="gramStart"/>
      <w:r>
        <w:rPr>
          <w:lang w:eastAsia="zh-CN"/>
        </w:rPr>
        <w:t>唑吡坦相关</w:t>
      </w:r>
      <w:proofErr w:type="gramEnd"/>
      <w:r>
        <w:rPr>
          <w:lang w:eastAsia="zh-CN"/>
        </w:rPr>
        <w:t>跌倒信号仍然稳定存在，说明该信号具有一定药物警戒意义。</w:t>
      </w:r>
    </w:p>
    <w:p w14:paraId="53E29BF4" w14:textId="77777777" w:rsidR="0092061E" w:rsidRDefault="00817EEB">
      <w:pPr>
        <w:ind w:firstLine="420"/>
        <w:rPr>
          <w:lang w:eastAsia="zh-CN"/>
        </w:rPr>
      </w:pPr>
      <w:r>
        <w:rPr>
          <w:lang w:eastAsia="zh-CN"/>
        </w:rPr>
        <w:t>敏感性分析进一步支持主结果。将</w:t>
      </w:r>
      <w:proofErr w:type="gramStart"/>
      <w:r>
        <w:rPr>
          <w:lang w:eastAsia="zh-CN"/>
        </w:rPr>
        <w:t>唑吡坦相关</w:t>
      </w:r>
      <w:proofErr w:type="gramEnd"/>
      <w:r>
        <w:rPr>
          <w:lang w:eastAsia="zh-CN"/>
        </w:rPr>
        <w:t>报告限定为主要怀疑药物后，</w:t>
      </w:r>
      <w:proofErr w:type="gramStart"/>
      <w:r>
        <w:rPr>
          <w:lang w:eastAsia="zh-CN"/>
        </w:rPr>
        <w:t>唑吡坦相关</w:t>
      </w:r>
      <w:proofErr w:type="gramEnd"/>
      <w:r>
        <w:rPr>
          <w:lang w:eastAsia="zh-CN"/>
        </w:rPr>
        <w:t>跌倒事件仍表现为稳定阳性信号，且调整后</w:t>
      </w:r>
      <w:proofErr w:type="gramStart"/>
      <w:r>
        <w:rPr>
          <w:lang w:eastAsia="zh-CN"/>
        </w:rPr>
        <w:t>关联仍</w:t>
      </w:r>
      <w:proofErr w:type="gramEnd"/>
      <w:r>
        <w:rPr>
          <w:lang w:eastAsia="zh-CN"/>
        </w:rPr>
        <w:t>明显。与其他</w:t>
      </w:r>
      <w:r>
        <w:rPr>
          <w:lang w:eastAsia="zh-CN"/>
        </w:rPr>
        <w:t xml:space="preserve"> Z-drugs </w:t>
      </w:r>
      <w:r>
        <w:rPr>
          <w:lang w:eastAsia="zh-CN"/>
        </w:rPr>
        <w:t>的比较显示，</w:t>
      </w:r>
      <w:proofErr w:type="gramStart"/>
      <w:r>
        <w:rPr>
          <w:lang w:eastAsia="zh-CN"/>
        </w:rPr>
        <w:t>唑吡</w:t>
      </w:r>
      <w:proofErr w:type="gramEnd"/>
      <w:r>
        <w:rPr>
          <w:lang w:eastAsia="zh-CN"/>
        </w:rPr>
        <w:t>坦和其他</w:t>
      </w:r>
      <w:r>
        <w:rPr>
          <w:lang w:eastAsia="zh-CN"/>
        </w:rPr>
        <w:t xml:space="preserve"> Z-drugs </w:t>
      </w:r>
      <w:r>
        <w:rPr>
          <w:lang w:eastAsia="zh-CN"/>
        </w:rPr>
        <w:t>在跌倒报告模式上可能存在差异。但这类比较容易受到上市时间、适应证、使用人群和报告习惯影响，因此更适合解释为</w:t>
      </w:r>
      <w:r>
        <w:rPr>
          <w:lang w:eastAsia="zh-CN"/>
        </w:rPr>
        <w:t xml:space="preserve"> FAERS </w:t>
      </w:r>
      <w:r>
        <w:rPr>
          <w:lang w:eastAsia="zh-CN"/>
        </w:rPr>
        <w:t>报告模式差异，而不能直接推断真实临床发生风险高低。</w:t>
      </w:r>
    </w:p>
    <w:p w14:paraId="3785C04D" w14:textId="77777777" w:rsidR="0092061E" w:rsidRDefault="00817EEB">
      <w:pPr>
        <w:ind w:firstLine="420"/>
        <w:rPr>
          <w:lang w:eastAsia="zh-CN"/>
        </w:rPr>
      </w:pPr>
      <w:r>
        <w:rPr>
          <w:lang w:eastAsia="zh-CN"/>
        </w:rPr>
        <w:t xml:space="preserve">PT </w:t>
      </w:r>
      <w:r>
        <w:rPr>
          <w:lang w:eastAsia="zh-CN"/>
        </w:rPr>
        <w:t>共</w:t>
      </w:r>
      <w:proofErr w:type="gramStart"/>
      <w:r>
        <w:rPr>
          <w:lang w:eastAsia="zh-CN"/>
        </w:rPr>
        <w:t>现结构</w:t>
      </w:r>
      <w:proofErr w:type="gramEnd"/>
      <w:r>
        <w:rPr>
          <w:lang w:eastAsia="zh-CN"/>
        </w:rPr>
        <w:t>为理解跌倒报告提供了更多临床线索。</w:t>
      </w:r>
      <w:proofErr w:type="gramStart"/>
      <w:r>
        <w:rPr>
          <w:lang w:eastAsia="zh-CN"/>
        </w:rPr>
        <w:t>唑吡坦相关</w:t>
      </w:r>
      <w:proofErr w:type="gramEnd"/>
      <w:r>
        <w:rPr>
          <w:lang w:eastAsia="zh-CN"/>
        </w:rPr>
        <w:t>跌倒病例中，意识模糊、眩晕、低血压、晕厥、协调异常、认知障碍、活动能力下降、谵妄、步态异常和镇静等</w:t>
      </w:r>
      <w:r>
        <w:rPr>
          <w:lang w:eastAsia="zh-CN"/>
        </w:rPr>
        <w:t xml:space="preserve"> PT </w:t>
      </w:r>
      <w:r>
        <w:rPr>
          <w:lang w:eastAsia="zh-CN"/>
        </w:rPr>
        <w:t>较常见。这些</w:t>
      </w:r>
      <w:r>
        <w:rPr>
          <w:lang w:eastAsia="zh-CN"/>
        </w:rPr>
        <w:t xml:space="preserve"> PT </w:t>
      </w:r>
      <w:r>
        <w:rPr>
          <w:lang w:eastAsia="zh-CN"/>
        </w:rPr>
        <w:t>可以大致归纳为几个相关模块：一是意识</w:t>
      </w:r>
      <w:r>
        <w:rPr>
          <w:lang w:eastAsia="zh-CN"/>
        </w:rPr>
        <w:t>/</w:t>
      </w:r>
      <w:r>
        <w:rPr>
          <w:lang w:eastAsia="zh-CN"/>
        </w:rPr>
        <w:t>认知改变，二是眩晕</w:t>
      </w:r>
      <w:r>
        <w:rPr>
          <w:lang w:eastAsia="zh-CN"/>
        </w:rPr>
        <w:t>/</w:t>
      </w:r>
      <w:r>
        <w:rPr>
          <w:lang w:eastAsia="zh-CN"/>
        </w:rPr>
        <w:t>晕厥相关表现，三是步态</w:t>
      </w:r>
      <w:r>
        <w:rPr>
          <w:lang w:eastAsia="zh-CN"/>
        </w:rPr>
        <w:t>/</w:t>
      </w:r>
      <w:r>
        <w:rPr>
          <w:lang w:eastAsia="zh-CN"/>
        </w:rPr>
        <w:t>平衡</w:t>
      </w:r>
      <w:r>
        <w:rPr>
          <w:lang w:eastAsia="zh-CN"/>
        </w:rPr>
        <w:t>/</w:t>
      </w:r>
      <w:r>
        <w:rPr>
          <w:lang w:eastAsia="zh-CN"/>
        </w:rPr>
        <w:t>运动控制异常，四是挫伤、骨折、头部损伤等跌倒损伤后果。低血压和镇静</w:t>
      </w:r>
      <w:r>
        <w:rPr>
          <w:lang w:eastAsia="zh-CN"/>
        </w:rPr>
        <w:t>/</w:t>
      </w:r>
      <w:r>
        <w:rPr>
          <w:lang w:eastAsia="zh-CN"/>
        </w:rPr>
        <w:t>嗜睡虽未在病例层面表型谱中单独作为模块展示，但仍是具有临床解释价值的具体共现</w:t>
      </w:r>
      <w:r>
        <w:rPr>
          <w:lang w:eastAsia="zh-CN"/>
        </w:rPr>
        <w:t xml:space="preserve"> PT</w:t>
      </w:r>
      <w:r>
        <w:rPr>
          <w:lang w:eastAsia="zh-CN"/>
        </w:rPr>
        <w:t>。复合图中的病例层面表型谱也支持上述归纳，其中意识</w:t>
      </w:r>
      <w:r>
        <w:rPr>
          <w:lang w:eastAsia="zh-CN"/>
        </w:rPr>
        <w:t>/</w:t>
      </w:r>
      <w:r>
        <w:rPr>
          <w:lang w:eastAsia="zh-CN"/>
        </w:rPr>
        <w:t>认知改变模块占比最高，骨折</w:t>
      </w:r>
      <w:r>
        <w:rPr>
          <w:lang w:eastAsia="zh-CN"/>
        </w:rPr>
        <w:t>/</w:t>
      </w:r>
      <w:r>
        <w:rPr>
          <w:lang w:eastAsia="zh-CN"/>
        </w:rPr>
        <w:t>损伤、步态</w:t>
      </w:r>
      <w:r>
        <w:rPr>
          <w:lang w:eastAsia="zh-CN"/>
        </w:rPr>
        <w:t>/</w:t>
      </w:r>
      <w:r>
        <w:rPr>
          <w:lang w:eastAsia="zh-CN"/>
        </w:rPr>
        <w:t>平衡异常和眩晕</w:t>
      </w:r>
      <w:r>
        <w:rPr>
          <w:lang w:eastAsia="zh-CN"/>
        </w:rPr>
        <w:t>/</w:t>
      </w:r>
      <w:r>
        <w:rPr>
          <w:lang w:eastAsia="zh-CN"/>
        </w:rPr>
        <w:t>晕厥模块也较常见。既往基于自发报告数据库的跌倒相关不良事件研究也提示，年龄、中枢神经系统用药和共现症状组合可能影响跌倒相关报告模式</w:t>
      </w:r>
      <w:r>
        <w:rPr>
          <w:vertAlign w:val="superscript"/>
          <w:lang w:eastAsia="zh-CN"/>
        </w:rPr>
        <w:t>[20][21]</w:t>
      </w:r>
      <w:r>
        <w:rPr>
          <w:lang w:eastAsia="zh-CN"/>
        </w:rPr>
        <w:t>。这说明</w:t>
      </w:r>
      <w:r>
        <w:rPr>
          <w:lang w:eastAsia="zh-CN"/>
        </w:rPr>
        <w:t xml:space="preserve"> FAERS </w:t>
      </w:r>
      <w:r>
        <w:rPr>
          <w:lang w:eastAsia="zh-CN"/>
        </w:rPr>
        <w:t>中的跌倒报告并非只有单个</w:t>
      </w:r>
      <w:r>
        <w:rPr>
          <w:lang w:eastAsia="zh-CN"/>
        </w:rPr>
        <w:t>“</w:t>
      </w:r>
      <w:r>
        <w:rPr>
          <w:lang w:eastAsia="zh-CN"/>
        </w:rPr>
        <w:t>跌倒</w:t>
      </w:r>
      <w:r>
        <w:rPr>
          <w:lang w:eastAsia="zh-CN"/>
        </w:rPr>
        <w:t>”</w:t>
      </w:r>
      <w:r>
        <w:rPr>
          <w:lang w:eastAsia="zh-CN"/>
        </w:rPr>
        <w:t>词条，而是常伴随一组符合临床逻辑的神经功能和运动功能异常表现。</w:t>
      </w:r>
    </w:p>
    <w:p w14:paraId="212F0997" w14:textId="77777777" w:rsidR="0092061E" w:rsidRDefault="00817EEB">
      <w:pPr>
        <w:ind w:firstLine="420"/>
        <w:rPr>
          <w:lang w:eastAsia="zh-CN"/>
        </w:rPr>
      </w:pPr>
      <w:r>
        <w:rPr>
          <w:lang w:eastAsia="zh-CN"/>
        </w:rPr>
        <w:t>机器学习模型进一步从报告特征角度补充了上述发现。在测试集上，三个模型由核心特征集扩展为增强特征集后</w:t>
      </w:r>
      <w:r>
        <w:rPr>
          <w:lang w:eastAsia="zh-CN"/>
        </w:rPr>
        <w:t xml:space="preserve"> ROC-AUC </w:t>
      </w:r>
      <w:r>
        <w:rPr>
          <w:lang w:eastAsia="zh-CN"/>
        </w:rPr>
        <w:t>均有所提高，其中增强特征集</w:t>
      </w:r>
      <w:r>
        <w:rPr>
          <w:lang w:eastAsia="zh-CN"/>
        </w:rPr>
        <w:t xml:space="preserve"> </w:t>
      </w:r>
      <w:proofErr w:type="spellStart"/>
      <w:r>
        <w:rPr>
          <w:lang w:eastAsia="zh-CN"/>
        </w:rPr>
        <w:t>XGBoost</w:t>
      </w:r>
      <w:proofErr w:type="spellEnd"/>
      <w:r>
        <w:rPr>
          <w:lang w:eastAsia="zh-CN"/>
        </w:rPr>
        <w:t xml:space="preserve"> </w:t>
      </w:r>
      <w:r>
        <w:rPr>
          <w:lang w:eastAsia="zh-CN"/>
        </w:rPr>
        <w:t>模型和</w:t>
      </w:r>
      <w:r>
        <w:rPr>
          <w:lang w:eastAsia="zh-CN"/>
        </w:rPr>
        <w:t xml:space="preserve"> Random forest </w:t>
      </w:r>
      <w:r>
        <w:rPr>
          <w:lang w:eastAsia="zh-CN"/>
        </w:rPr>
        <w:t>模型性能相对较佳，</w:t>
      </w:r>
      <w:r>
        <w:rPr>
          <w:lang w:eastAsia="zh-CN"/>
        </w:rPr>
        <w:t xml:space="preserve">ROC-AUC </w:t>
      </w:r>
      <w:r>
        <w:rPr>
          <w:lang w:eastAsia="zh-CN"/>
        </w:rPr>
        <w:t>分别为</w:t>
      </w:r>
      <w:r>
        <w:rPr>
          <w:lang w:eastAsia="zh-CN"/>
        </w:rPr>
        <w:t xml:space="preserve"> 0.805 </w:t>
      </w:r>
      <w:r>
        <w:rPr>
          <w:lang w:eastAsia="zh-CN"/>
        </w:rPr>
        <w:t>和</w:t>
      </w:r>
      <w:r>
        <w:rPr>
          <w:lang w:eastAsia="zh-CN"/>
        </w:rPr>
        <w:t xml:space="preserve"> 0.801</w:t>
      </w:r>
      <w:r>
        <w:rPr>
          <w:lang w:eastAsia="zh-CN"/>
        </w:rPr>
        <w:t>。这说明</w:t>
      </w:r>
      <w:r>
        <w:rPr>
          <w:lang w:eastAsia="zh-CN"/>
        </w:rPr>
        <w:t xml:space="preserve"> PT </w:t>
      </w:r>
      <w:r>
        <w:rPr>
          <w:lang w:eastAsia="zh-CN"/>
        </w:rPr>
        <w:t>表型、适应证和报告特征可为跌倒报告识别提供额外信息。已有研究也显示，在</w:t>
      </w:r>
      <w:r>
        <w:rPr>
          <w:lang w:eastAsia="zh-CN"/>
        </w:rPr>
        <w:t xml:space="preserve"> FAERS </w:t>
      </w:r>
      <w:r>
        <w:rPr>
          <w:lang w:eastAsia="zh-CN"/>
        </w:rPr>
        <w:t>数据中加入报告特征或非临床药物特征，可用于补充传统信号检测或不良反应预测</w:t>
      </w:r>
      <w:r>
        <w:rPr>
          <w:vertAlign w:val="superscript"/>
          <w:lang w:eastAsia="zh-CN"/>
        </w:rPr>
        <w:t>[18][19]</w:t>
      </w:r>
      <w:r>
        <w:rPr>
          <w:lang w:eastAsia="zh-CN"/>
        </w:rPr>
        <w:t>。模型重要特征中，步态</w:t>
      </w:r>
      <w:r>
        <w:rPr>
          <w:lang w:eastAsia="zh-CN"/>
        </w:rPr>
        <w:t>/</w:t>
      </w:r>
      <w:r>
        <w:rPr>
          <w:lang w:eastAsia="zh-CN"/>
        </w:rPr>
        <w:t>平衡异常、意识认知改变、眩晕</w:t>
      </w:r>
      <w:r>
        <w:rPr>
          <w:lang w:eastAsia="zh-CN"/>
        </w:rPr>
        <w:t>/</w:t>
      </w:r>
      <w:r>
        <w:rPr>
          <w:lang w:eastAsia="zh-CN"/>
        </w:rPr>
        <w:t>晕厥、低血压和神经系统相关适应证与共现网络结果方向一致。需要注意的是，机器学习模型识别的是</w:t>
      </w:r>
      <w:r>
        <w:rPr>
          <w:lang w:eastAsia="zh-CN"/>
        </w:rPr>
        <w:t xml:space="preserve"> FAERS </w:t>
      </w:r>
      <w:r>
        <w:rPr>
          <w:lang w:eastAsia="zh-CN"/>
        </w:rPr>
        <w:t>报告中的特征模式，不代表这些特征一定是跌倒的因果因素，也不能直接用于临床个体风险预测。</w:t>
      </w:r>
    </w:p>
    <w:p w14:paraId="248FA180" w14:textId="77777777" w:rsidR="0092061E" w:rsidRDefault="00817EEB">
      <w:pPr>
        <w:ind w:firstLine="420"/>
        <w:rPr>
          <w:lang w:eastAsia="zh-CN"/>
        </w:rPr>
      </w:pPr>
      <w:r>
        <w:rPr>
          <w:lang w:eastAsia="zh-CN"/>
        </w:rPr>
        <w:t>从临床角度看，本研究提示老年患者使用</w:t>
      </w:r>
      <w:proofErr w:type="gramStart"/>
      <w:r>
        <w:rPr>
          <w:lang w:eastAsia="zh-CN"/>
        </w:rPr>
        <w:t>唑吡坦前</w:t>
      </w:r>
      <w:proofErr w:type="gramEnd"/>
      <w:r>
        <w:rPr>
          <w:lang w:eastAsia="zh-CN"/>
        </w:rPr>
        <w:t>应进行跌倒风险评估，尤其应关注既往跌倒史、认知状态、夜间起夜、低血压或直立性低血压、步态不稳，以及是否合并使用苯二氮䓬类、抗抑郁药、抗精神病药、阿片类和抗癫痫药等中枢神经系统相关药物</w:t>
      </w:r>
      <w:r>
        <w:rPr>
          <w:vertAlign w:val="superscript"/>
          <w:lang w:eastAsia="zh-CN"/>
        </w:rPr>
        <w:t>[1][7][20]</w:t>
      </w:r>
      <w:r>
        <w:rPr>
          <w:lang w:eastAsia="zh-CN"/>
        </w:rPr>
        <w:t>。用药过程中若出现眩晕、嗜睡、意识模糊、协调异常或步态不稳，应及时评估继续用药的必要性，并考虑剂量调整、停药或非药物干预。</w:t>
      </w:r>
    </w:p>
    <w:p w14:paraId="35337575" w14:textId="77777777" w:rsidR="0092061E" w:rsidRDefault="00817EEB">
      <w:pPr>
        <w:ind w:firstLine="420"/>
        <w:rPr>
          <w:lang w:eastAsia="zh-CN"/>
        </w:rPr>
      </w:pPr>
      <w:r>
        <w:rPr>
          <w:lang w:eastAsia="zh-CN"/>
        </w:rPr>
        <w:t>本研究仍存在局限性。首先，</w:t>
      </w:r>
      <w:r>
        <w:rPr>
          <w:lang w:eastAsia="zh-CN"/>
        </w:rPr>
        <w:t xml:space="preserve">FAERS </w:t>
      </w:r>
      <w:r>
        <w:rPr>
          <w:lang w:eastAsia="zh-CN"/>
        </w:rPr>
        <w:t>是自发报告数据库，存在漏报、重复报告、选择性报告和刺激性报告偏倚</w:t>
      </w:r>
      <w:r>
        <w:rPr>
          <w:vertAlign w:val="superscript"/>
          <w:lang w:eastAsia="zh-CN"/>
        </w:rPr>
        <w:t>[8][14]</w:t>
      </w:r>
      <w:r>
        <w:rPr>
          <w:lang w:eastAsia="zh-CN"/>
        </w:rPr>
        <w:t>。其次，</w:t>
      </w:r>
      <w:r>
        <w:rPr>
          <w:lang w:eastAsia="zh-CN"/>
        </w:rPr>
        <w:t xml:space="preserve">FAERS </w:t>
      </w:r>
      <w:r>
        <w:rPr>
          <w:lang w:eastAsia="zh-CN"/>
        </w:rPr>
        <w:t>缺乏真实用药人群分母，因此本研究中的报告比例不等于真实临床发生率。第三，虽然本研究进行了多变量调整，但仍无法完全控制失眠严重程度、基础疾病、用药剂量、服药时间、治疗持续时间、环境因素和跌倒史等混杂因素。第四，药物暴露和结局依赖报告记录和</w:t>
      </w:r>
      <w:r>
        <w:rPr>
          <w:lang w:eastAsia="zh-CN"/>
        </w:rPr>
        <w:t xml:space="preserve"> MedDRA </w:t>
      </w:r>
      <w:r>
        <w:rPr>
          <w:lang w:eastAsia="zh-CN"/>
        </w:rPr>
        <w:t>编码，可能存在误分类</w:t>
      </w:r>
      <w:r>
        <w:rPr>
          <w:vertAlign w:val="superscript"/>
          <w:lang w:eastAsia="zh-CN"/>
        </w:rPr>
        <w:t>[15]</w:t>
      </w:r>
      <w:r>
        <w:rPr>
          <w:lang w:eastAsia="zh-CN"/>
        </w:rPr>
        <w:t>。第五，机器学习模型基于</w:t>
      </w:r>
      <w:r>
        <w:rPr>
          <w:lang w:eastAsia="zh-CN"/>
        </w:rPr>
        <w:t xml:space="preserve"> FAERS </w:t>
      </w:r>
      <w:r>
        <w:rPr>
          <w:lang w:eastAsia="zh-CN"/>
        </w:rPr>
        <w:t>报告模式训练，不能直接推广为临床个体预测模型。因此，本研究结果应作为药物警戒信号和临床监测提示，仍需进一步通过队列研究、病例对照研究或临床真实世界数据进行验证。</w:t>
      </w:r>
    </w:p>
    <w:p w14:paraId="122DC7B3" w14:textId="77777777" w:rsidR="0092061E" w:rsidRDefault="00817EEB">
      <w:pPr>
        <w:keepNext/>
        <w:spacing w:before="100" w:after="60" w:line="276" w:lineRule="auto"/>
        <w:rPr>
          <w:lang w:eastAsia="zh-CN"/>
        </w:rPr>
      </w:pPr>
      <w:r>
        <w:rPr>
          <w:rFonts w:eastAsia="黑体"/>
          <w:b/>
          <w:sz w:val="20"/>
          <w:lang w:eastAsia="zh-CN"/>
        </w:rPr>
        <w:t xml:space="preserve">5 </w:t>
      </w:r>
      <w:r>
        <w:rPr>
          <w:rFonts w:eastAsia="黑体"/>
          <w:b/>
          <w:sz w:val="20"/>
          <w:lang w:eastAsia="zh-CN"/>
        </w:rPr>
        <w:t>结论</w:t>
      </w:r>
    </w:p>
    <w:p w14:paraId="0152C85E" w14:textId="77777777" w:rsidR="0092061E" w:rsidRDefault="00817EEB">
      <w:pPr>
        <w:ind w:firstLine="420"/>
        <w:rPr>
          <w:lang w:eastAsia="zh-CN"/>
        </w:rPr>
      </w:pPr>
      <w:r>
        <w:rPr>
          <w:lang w:eastAsia="zh-CN"/>
        </w:rPr>
        <w:t>基于</w:t>
      </w:r>
      <w:r>
        <w:rPr>
          <w:lang w:eastAsia="zh-CN"/>
        </w:rPr>
        <w:t xml:space="preserve"> FAERS 2004—2025 </w:t>
      </w:r>
      <w:r>
        <w:rPr>
          <w:lang w:eastAsia="zh-CN"/>
        </w:rPr>
        <w:t>年老年病例数据，</w:t>
      </w:r>
      <w:proofErr w:type="gramStart"/>
      <w:r>
        <w:rPr>
          <w:lang w:eastAsia="zh-CN"/>
        </w:rPr>
        <w:t>唑吡</w:t>
      </w:r>
      <w:proofErr w:type="gramEnd"/>
      <w:r>
        <w:rPr>
          <w:lang w:eastAsia="zh-CN"/>
        </w:rPr>
        <w:t>坦与跌倒事件报告增加相关，且该报告信号在传统比例失衡分析、</w:t>
      </w:r>
      <w:r>
        <w:rPr>
          <w:lang w:eastAsia="zh-CN"/>
        </w:rPr>
        <w:lastRenderedPageBreak/>
        <w:t>调整后模型和敏感性分析中均较稳定。</w:t>
      </w:r>
      <w:r>
        <w:rPr>
          <w:lang w:eastAsia="zh-CN"/>
        </w:rPr>
        <w:t xml:space="preserve">PT </w:t>
      </w:r>
      <w:r>
        <w:rPr>
          <w:lang w:eastAsia="zh-CN"/>
        </w:rPr>
        <w:t>共现网络和机器学习分析提示，</w:t>
      </w:r>
      <w:proofErr w:type="gramStart"/>
      <w:r>
        <w:rPr>
          <w:lang w:eastAsia="zh-CN"/>
        </w:rPr>
        <w:t>唑吡坦相关</w:t>
      </w:r>
      <w:proofErr w:type="gramEnd"/>
      <w:r>
        <w:rPr>
          <w:lang w:eastAsia="zh-CN"/>
        </w:rPr>
        <w:t>跌倒报告常伴随意识认知改变、眩晕</w:t>
      </w:r>
      <w:r>
        <w:rPr>
          <w:lang w:eastAsia="zh-CN"/>
        </w:rPr>
        <w:t>/</w:t>
      </w:r>
      <w:r>
        <w:rPr>
          <w:lang w:eastAsia="zh-CN"/>
        </w:rPr>
        <w:t>晕厥、低血压、步态平衡异常和镇静等特征。临床使用</w:t>
      </w:r>
      <w:proofErr w:type="gramStart"/>
      <w:r>
        <w:rPr>
          <w:lang w:eastAsia="zh-CN"/>
        </w:rPr>
        <w:t>唑吡坦治疗</w:t>
      </w:r>
      <w:proofErr w:type="gramEnd"/>
      <w:r>
        <w:rPr>
          <w:lang w:eastAsia="zh-CN"/>
        </w:rPr>
        <w:t>老年失眠患者时，应加强跌倒风险评估和用药后监测，尤其关注合并中枢神经系统用药、步态不稳、眩晕或认知改变的高风险患者。</w:t>
      </w:r>
    </w:p>
    <w:p w14:paraId="5FDD6350" w14:textId="77777777" w:rsidR="00DD4410" w:rsidRDefault="00817EEB">
      <w:pPr>
        <w:ind w:firstLine="420"/>
      </w:pPr>
      <w:proofErr w:type="spellStart"/>
      <w:r>
        <w:t>志谢</w:t>
      </w:r>
      <w:proofErr w:type="spellEnd"/>
    </w:p>
    <w:p w14:paraId="4B37D180" w14:textId="77777777" w:rsidR="00DD4410" w:rsidRDefault="00817EEB">
      <w:pPr>
        <w:ind w:firstLine="420"/>
      </w:pPr>
      <w:r>
        <w:t>无。</w:t>
      </w:r>
    </w:p>
    <w:p w14:paraId="376CEDD9" w14:textId="77777777" w:rsidR="0092061E" w:rsidRDefault="00817EEB">
      <w:pPr>
        <w:keepNext/>
        <w:spacing w:before="100" w:after="60" w:line="276" w:lineRule="auto"/>
      </w:pPr>
      <w:proofErr w:type="spellStart"/>
      <w:r>
        <w:rPr>
          <w:rFonts w:eastAsia="黑体"/>
          <w:b/>
          <w:sz w:val="20"/>
        </w:rPr>
        <w:t>参考文献</w:t>
      </w:r>
      <w:proofErr w:type="spellEnd"/>
    </w:p>
    <w:p w14:paraId="68ED6935" w14:textId="77777777" w:rsidR="0092061E" w:rsidRDefault="00817EEB">
      <w:pPr>
        <w:spacing w:after="20" w:line="240" w:lineRule="auto"/>
        <w:ind w:left="255" w:hanging="255"/>
      </w:pPr>
      <w:r>
        <w:rPr>
          <w:sz w:val="15"/>
        </w:rPr>
        <w:t>[1] Montero-</w:t>
      </w:r>
      <w:proofErr w:type="spellStart"/>
      <w:r>
        <w:rPr>
          <w:sz w:val="15"/>
        </w:rPr>
        <w:t>Odasso</w:t>
      </w:r>
      <w:proofErr w:type="spellEnd"/>
      <w:r>
        <w:rPr>
          <w:sz w:val="15"/>
        </w:rPr>
        <w:t xml:space="preserve"> M, van der Velde N, Martin F C, et al. World guidelines for falls prevention and management for older adults: a global initiative[J]. Age Ageing, 2022, 51(9): afac205. DOI: 10.1093/ageing/afac205.</w:t>
      </w:r>
    </w:p>
    <w:p w14:paraId="76EA0C1D" w14:textId="77777777" w:rsidR="0092061E" w:rsidRDefault="00817EEB">
      <w:pPr>
        <w:spacing w:after="20" w:line="240" w:lineRule="auto"/>
        <w:ind w:left="255" w:hanging="255"/>
      </w:pPr>
      <w:r>
        <w:rPr>
          <w:sz w:val="15"/>
        </w:rPr>
        <w:t xml:space="preserve">[2] Treves N, Perlman A, </w:t>
      </w:r>
      <w:proofErr w:type="spellStart"/>
      <w:r>
        <w:rPr>
          <w:sz w:val="15"/>
        </w:rPr>
        <w:t>Kolenberg</w:t>
      </w:r>
      <w:proofErr w:type="spellEnd"/>
      <w:r>
        <w:rPr>
          <w:sz w:val="15"/>
        </w:rPr>
        <w:t xml:space="preserve"> Geron L, et al. Z-drugs and risk for falls and fractures in older adults: a systematic review and meta-analysis[J]. Age Ageing, 2018, 47(2): 201-208. DOI: 10.1093/ageing/afx167.</w:t>
      </w:r>
    </w:p>
    <w:p w14:paraId="0BDFAA07" w14:textId="77777777" w:rsidR="0092061E" w:rsidRDefault="00817EEB">
      <w:pPr>
        <w:spacing w:after="20" w:line="240" w:lineRule="auto"/>
        <w:ind w:left="255" w:hanging="255"/>
      </w:pPr>
      <w:r>
        <w:rPr>
          <w:sz w:val="15"/>
        </w:rPr>
        <w:t>[3] Kang D Y, Park S, Rhee C W, et al. Zolpidem use and risk of fracture in elderly insomnia patients[J]. J Prev Med Public Health, 2012, 45(4): 219-226. DOI: 10.3961/jpmph.2012.45.4.219.</w:t>
      </w:r>
    </w:p>
    <w:p w14:paraId="1E8A7AD4" w14:textId="77777777" w:rsidR="0092061E" w:rsidRDefault="00817EEB">
      <w:pPr>
        <w:spacing w:after="20" w:line="240" w:lineRule="auto"/>
        <w:ind w:left="255" w:hanging="255"/>
      </w:pPr>
      <w:r>
        <w:rPr>
          <w:sz w:val="15"/>
        </w:rPr>
        <w:t>[4] Berry S D, Lee Y, Cai S, et al. Nonbenzodiazepine sleep medication use and hip fractures in nursing home residents[J]. JAMA Intern Med, 2013, 173(9): 754-761. DOI: 10.1001/jamainternmed.2013.3795.</w:t>
      </w:r>
    </w:p>
    <w:p w14:paraId="4196D7E7" w14:textId="77777777" w:rsidR="0092061E" w:rsidRDefault="00817EEB">
      <w:pPr>
        <w:spacing w:after="20" w:line="240" w:lineRule="auto"/>
        <w:ind w:left="255" w:hanging="255"/>
      </w:pPr>
      <w:r>
        <w:rPr>
          <w:sz w:val="15"/>
        </w:rPr>
        <w:t xml:space="preserve">[5] U.S. Food and Drug Administration. FDA Drug Safety Communication: FDA requires lower recommended doses for certain drugs containing </w:t>
      </w:r>
      <w:proofErr w:type="gramStart"/>
      <w:r>
        <w:rPr>
          <w:sz w:val="15"/>
        </w:rPr>
        <w:t>zolpidem[</w:t>
      </w:r>
      <w:proofErr w:type="gramEnd"/>
      <w:r>
        <w:rPr>
          <w:sz w:val="15"/>
        </w:rPr>
        <w:t>EB/OL]. (2013-01-10) [2026-06-01]. https://www.fda.gov/drugs/drug-safety-and-availability/fda-drug-safety-communication-fda-requires-lower-recommended-doses-certain-drugs-containing.</w:t>
      </w:r>
    </w:p>
    <w:p w14:paraId="52E59E4C" w14:textId="77777777" w:rsidR="0092061E" w:rsidRDefault="00817EEB">
      <w:pPr>
        <w:spacing w:after="20" w:line="240" w:lineRule="auto"/>
        <w:ind w:left="255" w:hanging="255"/>
      </w:pPr>
      <w:r>
        <w:rPr>
          <w:sz w:val="15"/>
        </w:rPr>
        <w:t xml:space="preserve">[6] U.S. Food and Drug Administration. FDA adds Boxed Warning for risk of serious injuries caused by sleepwalking with certain prescription insomnia </w:t>
      </w:r>
      <w:proofErr w:type="gramStart"/>
      <w:r>
        <w:rPr>
          <w:sz w:val="15"/>
        </w:rPr>
        <w:t>medicines[</w:t>
      </w:r>
      <w:proofErr w:type="gramEnd"/>
      <w:r>
        <w:rPr>
          <w:sz w:val="15"/>
        </w:rPr>
        <w:t>EB/OL]. (2019-04-30) [2026-06-01]. https://www.fda.gov/media/123819/download.</w:t>
      </w:r>
    </w:p>
    <w:p w14:paraId="4DF69A3B" w14:textId="77777777" w:rsidR="0092061E" w:rsidRDefault="00817EEB">
      <w:pPr>
        <w:spacing w:after="20" w:line="240" w:lineRule="auto"/>
        <w:ind w:left="255" w:hanging="255"/>
      </w:pPr>
      <w:r>
        <w:rPr>
          <w:sz w:val="15"/>
        </w:rPr>
        <w:t xml:space="preserve">[7] American Geriatrics Society Beers Criteria Update Expert Panel. American Geriatrics Society 2023 updated AGS Beers Criteria for potentially inappropriate medication use in older adults[J]. J Am </w:t>
      </w:r>
      <w:proofErr w:type="spellStart"/>
      <w:r>
        <w:rPr>
          <w:sz w:val="15"/>
        </w:rPr>
        <w:t>Geriatr</w:t>
      </w:r>
      <w:proofErr w:type="spellEnd"/>
      <w:r>
        <w:rPr>
          <w:sz w:val="15"/>
        </w:rPr>
        <w:t xml:space="preserve"> Soc, 2023, 71(7): 2052-2081. DOI: 10.1111/jgs.18372.</w:t>
      </w:r>
    </w:p>
    <w:p w14:paraId="0887B45C" w14:textId="77777777" w:rsidR="0092061E" w:rsidRDefault="00817EEB">
      <w:pPr>
        <w:spacing w:after="20" w:line="240" w:lineRule="auto"/>
        <w:ind w:left="255" w:hanging="255"/>
      </w:pPr>
      <w:r>
        <w:rPr>
          <w:sz w:val="15"/>
        </w:rPr>
        <w:t xml:space="preserve">[8] U.S. Food and Drug Administration. FDA Adverse Event Reporting System (FAERS) Public </w:t>
      </w:r>
      <w:proofErr w:type="gramStart"/>
      <w:r>
        <w:rPr>
          <w:sz w:val="15"/>
        </w:rPr>
        <w:t>Dashboard[</w:t>
      </w:r>
      <w:proofErr w:type="gramEnd"/>
      <w:r>
        <w:rPr>
          <w:sz w:val="15"/>
        </w:rPr>
        <w:t>EB/OL]. [2026-06-01]. https://www.fda.gov/drugs/fda-adverse-event-monitoring-system-aems/fda-adverse-event-reporting-system-faers-public-dashboard.</w:t>
      </w:r>
    </w:p>
    <w:p w14:paraId="591EE89D" w14:textId="77777777" w:rsidR="0092061E" w:rsidRDefault="00817EEB">
      <w:pPr>
        <w:spacing w:after="20" w:line="240" w:lineRule="auto"/>
        <w:ind w:left="255" w:hanging="255"/>
      </w:pPr>
      <w:r>
        <w:rPr>
          <w:sz w:val="15"/>
        </w:rPr>
        <w:t xml:space="preserve">[9] Evans S J W, Waller P C, Davis S. Use of proportional reporting ratios (PRRs) for signal generation from spontaneous adverse drug reaction reports[J]. </w:t>
      </w:r>
      <w:proofErr w:type="spellStart"/>
      <w:r>
        <w:rPr>
          <w:sz w:val="15"/>
        </w:rPr>
        <w:t>Pharmacoepidemiol</w:t>
      </w:r>
      <w:proofErr w:type="spellEnd"/>
      <w:r>
        <w:rPr>
          <w:sz w:val="15"/>
        </w:rPr>
        <w:t xml:space="preserve"> Drug Saf, 2001, 10(6): 483-486. DOI: 10.1002/pds.677.</w:t>
      </w:r>
    </w:p>
    <w:p w14:paraId="11CEBBE9" w14:textId="77777777" w:rsidR="0092061E" w:rsidRDefault="00817EEB">
      <w:pPr>
        <w:spacing w:after="20" w:line="240" w:lineRule="auto"/>
        <w:ind w:left="255" w:hanging="255"/>
      </w:pPr>
      <w:r>
        <w:rPr>
          <w:sz w:val="15"/>
        </w:rPr>
        <w:t xml:space="preserve">[10] van </w:t>
      </w:r>
      <w:proofErr w:type="spellStart"/>
      <w:r>
        <w:rPr>
          <w:sz w:val="15"/>
        </w:rPr>
        <w:t>Puijenbroek</w:t>
      </w:r>
      <w:proofErr w:type="spellEnd"/>
      <w:r>
        <w:rPr>
          <w:sz w:val="15"/>
        </w:rPr>
        <w:t xml:space="preserve"> E P, Bate A, </w:t>
      </w:r>
      <w:proofErr w:type="spellStart"/>
      <w:r>
        <w:rPr>
          <w:sz w:val="15"/>
        </w:rPr>
        <w:t>Leufkens</w:t>
      </w:r>
      <w:proofErr w:type="spellEnd"/>
      <w:r>
        <w:rPr>
          <w:sz w:val="15"/>
        </w:rPr>
        <w:t xml:space="preserve"> H G M, et al. A comparison of measures of disproportionality for signal detection in spontaneous reporting systems for adverse drug reactions[J]. </w:t>
      </w:r>
      <w:proofErr w:type="spellStart"/>
      <w:r>
        <w:rPr>
          <w:sz w:val="15"/>
        </w:rPr>
        <w:t>Pharmacoepidemiol</w:t>
      </w:r>
      <w:proofErr w:type="spellEnd"/>
      <w:r>
        <w:rPr>
          <w:sz w:val="15"/>
        </w:rPr>
        <w:t xml:space="preserve"> Drug Saf, 2002, 11(1): 3-10. DOI: 10.1002/pds.668.</w:t>
      </w:r>
    </w:p>
    <w:p w14:paraId="430B8A33" w14:textId="77777777" w:rsidR="0092061E" w:rsidRDefault="00817EEB">
      <w:pPr>
        <w:spacing w:after="20" w:line="240" w:lineRule="auto"/>
        <w:ind w:left="255" w:hanging="255"/>
      </w:pPr>
      <w:r>
        <w:rPr>
          <w:sz w:val="15"/>
        </w:rPr>
        <w:t xml:space="preserve">[11] Bate A, Lindquist M, Edwards I R, et al. A Bayesian neural network method for adverse drug reaction signal generation[J]. </w:t>
      </w:r>
      <w:proofErr w:type="spellStart"/>
      <w:r>
        <w:rPr>
          <w:sz w:val="15"/>
        </w:rPr>
        <w:t>Eur</w:t>
      </w:r>
      <w:proofErr w:type="spellEnd"/>
      <w:r>
        <w:rPr>
          <w:sz w:val="15"/>
        </w:rPr>
        <w:t xml:space="preserve"> J Clin Pharmacol, 1998, 54(4): 315-321. DOI: 10.1007/s002280050466.</w:t>
      </w:r>
    </w:p>
    <w:p w14:paraId="2CC194FB" w14:textId="77777777" w:rsidR="0092061E" w:rsidRDefault="00817EEB">
      <w:pPr>
        <w:spacing w:after="20" w:line="240" w:lineRule="auto"/>
        <w:ind w:left="255" w:hanging="255"/>
      </w:pPr>
      <w:r>
        <w:rPr>
          <w:sz w:val="15"/>
        </w:rPr>
        <w:t xml:space="preserve">[12] </w:t>
      </w:r>
      <w:proofErr w:type="spellStart"/>
      <w:r>
        <w:rPr>
          <w:sz w:val="15"/>
        </w:rPr>
        <w:t>DuMouchel</w:t>
      </w:r>
      <w:proofErr w:type="spellEnd"/>
      <w:r>
        <w:rPr>
          <w:sz w:val="15"/>
        </w:rPr>
        <w:t xml:space="preserve"> W. Bayesian data mining in large frequency tables, with an application to the FDA spontaneous reporting system[J]. Am Stat, 1999, 53(3): 177-190. DOI: 10.1080/00031305.1999.10474456.</w:t>
      </w:r>
    </w:p>
    <w:p w14:paraId="197D1B7B" w14:textId="77777777" w:rsidR="0092061E" w:rsidRDefault="00817EEB">
      <w:pPr>
        <w:spacing w:after="20" w:line="240" w:lineRule="auto"/>
        <w:ind w:left="255" w:hanging="255"/>
      </w:pPr>
      <w:r>
        <w:rPr>
          <w:sz w:val="15"/>
        </w:rPr>
        <w:t xml:space="preserve">[13] Harpaz R, </w:t>
      </w:r>
      <w:proofErr w:type="spellStart"/>
      <w:r>
        <w:rPr>
          <w:sz w:val="15"/>
        </w:rPr>
        <w:t>DuMouchel</w:t>
      </w:r>
      <w:proofErr w:type="spellEnd"/>
      <w:r>
        <w:rPr>
          <w:sz w:val="15"/>
        </w:rPr>
        <w:t xml:space="preserve"> W, Shah N H, et al. Novel data-mining methodologies for adverse drug event discovery and analysis[J]. Clin </w:t>
      </w:r>
      <w:proofErr w:type="spellStart"/>
      <w:r>
        <w:rPr>
          <w:sz w:val="15"/>
        </w:rPr>
        <w:t>Pharmacol</w:t>
      </w:r>
      <w:proofErr w:type="spellEnd"/>
      <w:r>
        <w:rPr>
          <w:sz w:val="15"/>
        </w:rPr>
        <w:t xml:space="preserve"> Ther, 2012, 91(6): 1010-1021. DOI: 10.1038/clpt.2012.50.</w:t>
      </w:r>
    </w:p>
    <w:p w14:paraId="6F93FD4C" w14:textId="77777777" w:rsidR="0092061E" w:rsidRDefault="00817EEB">
      <w:pPr>
        <w:spacing w:after="20" w:line="240" w:lineRule="auto"/>
        <w:ind w:left="255" w:hanging="255"/>
      </w:pPr>
      <w:r>
        <w:rPr>
          <w:sz w:val="15"/>
        </w:rPr>
        <w:t xml:space="preserve">[14] U.S. Food and Drug Administration. FDA Adverse Event Reporting System (FAERS) </w:t>
      </w:r>
      <w:proofErr w:type="gramStart"/>
      <w:r>
        <w:rPr>
          <w:sz w:val="15"/>
        </w:rPr>
        <w:t>Database[</w:t>
      </w:r>
      <w:proofErr w:type="gramEnd"/>
      <w:r>
        <w:rPr>
          <w:sz w:val="15"/>
        </w:rPr>
        <w:t>EB/OL]. [2026-06-01]. https://www.fda.gov/drugs/drug-approvals-and-databases/fda-adverse-event-reporting-system-faers-database.</w:t>
      </w:r>
    </w:p>
    <w:p w14:paraId="1B692E9E" w14:textId="77777777" w:rsidR="0092061E" w:rsidRDefault="00817EEB">
      <w:pPr>
        <w:spacing w:after="20" w:line="240" w:lineRule="auto"/>
        <w:ind w:left="255" w:hanging="255"/>
      </w:pPr>
      <w:r>
        <w:rPr>
          <w:sz w:val="15"/>
        </w:rPr>
        <w:t>[15] Medical Dictionary for Regulatory Activities. Introductory Guide MedDRA Version 29.0[EB/OL]. (2026) [2026-06-01]. https://alt.meddra.org/files_acrobat/intguide_29_0_English.pdf.</w:t>
      </w:r>
    </w:p>
    <w:p w14:paraId="2D2E2D5B" w14:textId="77777777" w:rsidR="0092061E" w:rsidRDefault="00817EEB">
      <w:pPr>
        <w:spacing w:after="20" w:line="240" w:lineRule="auto"/>
        <w:ind w:left="255" w:hanging="255"/>
      </w:pPr>
      <w:r>
        <w:rPr>
          <w:sz w:val="15"/>
        </w:rPr>
        <w:t xml:space="preserve">[16] Harpaz R, Vilar S, </w:t>
      </w:r>
      <w:proofErr w:type="spellStart"/>
      <w:r>
        <w:rPr>
          <w:sz w:val="15"/>
        </w:rPr>
        <w:t>DuMouchel</w:t>
      </w:r>
      <w:proofErr w:type="spellEnd"/>
      <w:r>
        <w:rPr>
          <w:sz w:val="15"/>
        </w:rPr>
        <w:t xml:space="preserve"> W, et al. Combining signals from spontaneous reports and electronic health records for detection of adverse drug reactions[J]. J Am Med Inform Assoc, 2013, 20(3): 413-419. DOI: 10.1136/amiajnl-2012-000930.</w:t>
      </w:r>
    </w:p>
    <w:p w14:paraId="5F8EBA3F" w14:textId="77777777" w:rsidR="0092061E" w:rsidRDefault="00817EEB">
      <w:pPr>
        <w:spacing w:after="20" w:line="240" w:lineRule="auto"/>
        <w:ind w:left="255" w:hanging="255"/>
      </w:pPr>
      <w:r>
        <w:rPr>
          <w:sz w:val="15"/>
        </w:rPr>
        <w:t xml:space="preserve">[17] Le H, Chen R, Harris S, et al. </w:t>
      </w:r>
      <w:proofErr w:type="spellStart"/>
      <w:r>
        <w:rPr>
          <w:sz w:val="15"/>
        </w:rPr>
        <w:t>RxNorm</w:t>
      </w:r>
      <w:proofErr w:type="spellEnd"/>
      <w:r>
        <w:rPr>
          <w:sz w:val="15"/>
        </w:rPr>
        <w:t xml:space="preserve"> for drug name normalization: a case study of prescription opioids in the FDA adverse events reporting system[J]. Front </w:t>
      </w:r>
      <w:proofErr w:type="spellStart"/>
      <w:r>
        <w:rPr>
          <w:sz w:val="15"/>
        </w:rPr>
        <w:t>Bioinform</w:t>
      </w:r>
      <w:proofErr w:type="spellEnd"/>
      <w:r>
        <w:rPr>
          <w:sz w:val="15"/>
        </w:rPr>
        <w:t>, 2024, 3: 1328613. DOI: 10.3389/fbinf.2023.1328613.</w:t>
      </w:r>
    </w:p>
    <w:p w14:paraId="018BF9F4" w14:textId="77777777" w:rsidR="0092061E" w:rsidRDefault="00817EEB">
      <w:pPr>
        <w:spacing w:after="20" w:line="240" w:lineRule="auto"/>
        <w:ind w:left="255" w:hanging="255"/>
      </w:pPr>
      <w:r>
        <w:rPr>
          <w:sz w:val="15"/>
        </w:rPr>
        <w:t>[18] Dauner D G, Leal E, Adam T J, et al. Evaluation of four machine learning models for signal detection[J]. Ther Adv Drug Saf, 2023, 14: 20420986231219472. DOI: 10.1177/20420986231219472.</w:t>
      </w:r>
    </w:p>
    <w:p w14:paraId="7200AACD" w14:textId="77777777" w:rsidR="0092061E" w:rsidRDefault="00817EEB">
      <w:pPr>
        <w:spacing w:after="20" w:line="240" w:lineRule="auto"/>
        <w:ind w:left="255" w:hanging="255"/>
      </w:pPr>
      <w:r>
        <w:rPr>
          <w:sz w:val="15"/>
        </w:rPr>
        <w:t xml:space="preserve">[19] Farnoush A, Sedighi-Maman Z, </w:t>
      </w:r>
      <w:proofErr w:type="spellStart"/>
      <w:r>
        <w:rPr>
          <w:sz w:val="15"/>
        </w:rPr>
        <w:t>Rasoolian</w:t>
      </w:r>
      <w:proofErr w:type="spellEnd"/>
      <w:r>
        <w:rPr>
          <w:sz w:val="15"/>
        </w:rPr>
        <w:t xml:space="preserve"> B, et al. Prediction of adverse drug reactions using demographic and non-clinical drug characteristics in FAERS data[J]. Sci Rep, 2024, 14(1): 23636. DOI: 10.1038/s41598-024-74505-2.</w:t>
      </w:r>
    </w:p>
    <w:p w14:paraId="1EA57E46" w14:textId="77777777" w:rsidR="0092061E" w:rsidRDefault="00817EEB">
      <w:pPr>
        <w:spacing w:after="20" w:line="240" w:lineRule="auto"/>
        <w:ind w:left="255" w:hanging="255"/>
      </w:pPr>
      <w:r>
        <w:rPr>
          <w:sz w:val="15"/>
        </w:rPr>
        <w:t xml:space="preserve">[20] </w:t>
      </w:r>
      <w:proofErr w:type="spellStart"/>
      <w:r>
        <w:rPr>
          <w:sz w:val="15"/>
        </w:rPr>
        <w:t>Hatahira</w:t>
      </w:r>
      <w:proofErr w:type="spellEnd"/>
      <w:r>
        <w:rPr>
          <w:sz w:val="15"/>
        </w:rPr>
        <w:t xml:space="preserve"> H, Hasegawa S, Sasaoka S, et al. Analysis of fall-related adverse events among older adults using the Japanese Adverse Drug Event Report (JADER) database[J]. J Pharm Health Care Sci, 2018, 4: 32. DOI: 10.1186/s40780-018-0129-8.</w:t>
      </w:r>
    </w:p>
    <w:p w14:paraId="4DEA15ED" w14:textId="77777777" w:rsidR="0092061E" w:rsidRDefault="00817EEB">
      <w:pPr>
        <w:spacing w:after="20" w:line="240" w:lineRule="auto"/>
        <w:ind w:left="255" w:hanging="255"/>
      </w:pPr>
      <w:r>
        <w:rPr>
          <w:sz w:val="15"/>
        </w:rPr>
        <w:t>[21] Mukai R, Hasegawa S, Umetsu R, et al. Evaluation of pregabalin-induced adverse events related to falls using the FDA adverse event reporting system and Japanese Adverse Drug Event Report databases[J]. J Clin Pharm Ther, 2019, 44(2): 285-291. DOI: 10.1111/jcpt.12790.</w:t>
      </w:r>
    </w:p>
    <w:sectPr w:rsidR="0092061E" w:rsidSect="001A414E">
      <w:type w:val="continuous"/>
      <w:pgSz w:w="11906" w:h="16838"/>
      <w:pgMar w:top="1440" w:right="1219" w:bottom="1247" w:left="1219"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86773" w14:textId="77777777" w:rsidR="006B4717" w:rsidRDefault="006B4717">
      <w:pPr>
        <w:spacing w:line="240" w:lineRule="auto"/>
      </w:pPr>
      <w:r>
        <w:separator/>
      </w:r>
    </w:p>
  </w:endnote>
  <w:endnote w:type="continuationSeparator" w:id="0">
    <w:p w14:paraId="1027B698" w14:textId="77777777" w:rsidR="006B4717" w:rsidRDefault="006B47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A61F" w14:textId="77777777" w:rsidR="0092061E" w:rsidRDefault="00817EEB">
    <w:pPr>
      <w:pStyle w:val="a7"/>
      <w:jc w:val="center"/>
    </w:pPr>
    <w:r>
      <w:rPr>
        <w:sz w:val="18"/>
      </w:rPr>
      <w:fldChar w:fldCharType="begin"/>
    </w:r>
    <w:r>
      <w:rPr>
        <w:sz w:val="18"/>
      </w:rPr>
      <w:instrText>PAGE</w:instrText>
    </w:r>
    <w:r>
      <w:rPr>
        <w:sz w:val="18"/>
      </w:rPr>
      <w:fldChar w:fldCharType="separate"/>
    </w:r>
    <w:r w:rsidR="003C2AAD">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5D4DA" w14:textId="77777777" w:rsidR="006B4717" w:rsidRDefault="006B4717">
      <w:pPr>
        <w:spacing w:line="240" w:lineRule="auto"/>
      </w:pPr>
      <w:r>
        <w:separator/>
      </w:r>
    </w:p>
  </w:footnote>
  <w:footnote w:type="continuationSeparator" w:id="0">
    <w:p w14:paraId="11BE6FA2" w14:textId="77777777" w:rsidR="006B4717" w:rsidRDefault="006B47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66187201">
    <w:abstractNumId w:val="8"/>
  </w:num>
  <w:num w:numId="2" w16cid:durableId="1912693083">
    <w:abstractNumId w:val="6"/>
  </w:num>
  <w:num w:numId="3" w16cid:durableId="1030759721">
    <w:abstractNumId w:val="5"/>
  </w:num>
  <w:num w:numId="4" w16cid:durableId="659040714">
    <w:abstractNumId w:val="4"/>
  </w:num>
  <w:num w:numId="5" w16cid:durableId="673192926">
    <w:abstractNumId w:val="7"/>
  </w:num>
  <w:num w:numId="6" w16cid:durableId="440151843">
    <w:abstractNumId w:val="3"/>
  </w:num>
  <w:num w:numId="7" w16cid:durableId="474420208">
    <w:abstractNumId w:val="2"/>
  </w:num>
  <w:num w:numId="8" w16cid:durableId="2069645545">
    <w:abstractNumId w:val="1"/>
  </w:num>
  <w:num w:numId="9" w16cid:durableId="79005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14E"/>
    <w:rsid w:val="0029639D"/>
    <w:rsid w:val="00326F90"/>
    <w:rsid w:val="003C2AAD"/>
    <w:rsid w:val="005B04AE"/>
    <w:rsid w:val="006414A9"/>
    <w:rsid w:val="00672A4C"/>
    <w:rsid w:val="006B4717"/>
    <w:rsid w:val="007124FB"/>
    <w:rsid w:val="00733139"/>
    <w:rsid w:val="00736B1E"/>
    <w:rsid w:val="00817EEB"/>
    <w:rsid w:val="008E559B"/>
    <w:rsid w:val="0092061E"/>
    <w:rsid w:val="00926B1E"/>
    <w:rsid w:val="009F4178"/>
    <w:rsid w:val="00A27536"/>
    <w:rsid w:val="00A47DDB"/>
    <w:rsid w:val="00AA1D8D"/>
    <w:rsid w:val="00B47730"/>
    <w:rsid w:val="00B6149C"/>
    <w:rsid w:val="00C2408B"/>
    <w:rsid w:val="00C86CC3"/>
    <w:rsid w:val="00CB0664"/>
    <w:rsid w:val="00CD29F1"/>
    <w:rsid w:val="00DD44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4F93AF"/>
  <w14:defaultImageDpi w14:val="300"/>
  <w15:docId w15:val="{E261A1E9-A3C0-40B2-B3F9-E546FBB47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60" w:lineRule="exact"/>
    </w:pPr>
    <w:rPr>
      <w:rFonts w:ascii="Times New Roman" w:eastAsia="宋体" w:hAnsi="Times New Roman"/>
      <w:sz w:val="17"/>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6075</Words>
  <Characters>11666</Characters>
  <Application>Microsoft Office Word</Application>
  <DocSecurity>0</DocSecurity>
  <Lines>466</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yanlin shao</cp:lastModifiedBy>
  <cp:revision>4</cp:revision>
  <dcterms:created xsi:type="dcterms:W3CDTF">2026-06-04T09:06:00Z</dcterms:created>
  <dcterms:modified xsi:type="dcterms:W3CDTF">2026-06-04T09:11:00Z</dcterms:modified>
  <cp:category/>
</cp:coreProperties>
</file>