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  <w:lang w:val="es-PE"/>
        </w:rPr>
        <w:t xml:space="preserve">Ejercicios propuestos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1: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un programa que almacene la cadena de caracteres “contraseña” en una variable,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pregunte al usuario por la contraseña e imprima por pantalla si la contraseña introducida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por el usuario coincide con la guardada en la variable sin tener en cuenta mayúsculas y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minúsculas.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Contraseña, ClaveGuardada como cadena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una contraseña: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Contraseña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“Vuelva a ingresar la contraseña: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ClaveGuardada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(Minúscula(Contraseña) == Minúscula(ClaveGuardada))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“Contraseña coincidente.”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“Contraseña no coincide.”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2: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un programa que pida al usuario dos números y muestre por pantalla su división.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el divisor es cero el programa debe mostrar un error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.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Num1, Num2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su primer número: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Num1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su segundo número: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Num2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(Num2 ==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“Error.”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“Resultado de la división: ” + (Num1 / Num2)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3: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un programa que pida al usuario un número entero y muestre por pantalla si es par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o impar.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4: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Para tributar un determinado impuesto se debe ser mayor de 16 años y tener unos ingresos 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iguales o superiores a S/ 1000 mensuales. Escribir un programa que pregunte al usuario 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su edad y sus ingresos mensuales y muestre por pantalla si el usuario tiene que tributar o 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no.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5: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En un estacionamiento cobran S/. 2.50 por hora o fracción. Diseñe un algoritmo que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determine cuanto debe pagar un cliente por el estacionamiento de su vehículo, conociendo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el tiempo de estacionamiento en minutos (Se debe ingressar la cantidad de minutos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estacionado).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6: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Diseñe un algoritmo que determine si un número es o no es par, y si es positivo o negativo.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7: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Un supermercado ha puesto en oferta la venta al por mayor de cierto producto, ofreciendo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un descuento del 15% por la compra de más de 3 docenas y 10% en caso contrario.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Además por la compra de más de 3 docenas se obsequia una unidad del producto. Diseñe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un algoritmo que determine el monto de la compra, el monto del descuento, el monto 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pagar y el número de unidades de obsequio por la compra de cierta cantidad de docenas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del producto. La cantidad de produtos se debe ingresar em unidades y luego calcular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cuantas docenas hay em las unidades compradas.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8: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Diseñe un algoritmo que lea un número de tres cifras y determine si es igual al revés del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número.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9: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Una compañía dedicada al alquiler de automoviles cobra un monto fijo de S/ 60.00 para los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primeros 300 km de recorrido. Para más de 300 km y hasta 1000 km, cobra un monto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adicional de S/ 1.50 por cada kilómetro en exceso sobre 300. Para más de 1000 km cobra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un monto adicional de S/ 1.10 por cada kilómetro en exceso sobre 1000. Los precios ya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incluyen el 20% del impuesto general a las ventas, IGV. Diseñe un algoritmo que determine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el monto a pagar por el alquiler de un vehículo y el monto incluído del impuesto.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10: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El promedio de prácticas de un curso se calcula en base a cuatro prácticas calificadas de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las cuales se elimina la nota menor y se promedian las tres notas más altas. Diseñe un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algoritmo que determine la nota eliminada y el promedio de prácticas de un estudiante.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es-PE"/>
        </w:rPr>
      </w:r>
      <w:r/>
      <w:r/>
    </w:p>
    <w:p>
      <w:pPr>
        <w:pBdr/>
        <w:spacing/>
        <w:ind/>
        <w:rPr/>
      </w:pPr>
      <w:r>
        <w:rPr>
          <w:highlight w:val="none"/>
          <w:lang w:val="es-PE"/>
        </w:rPr>
      </w:r>
      <w:r>
        <w:rPr>
          <w:highlight w:val="none"/>
          <w:lang w:val="es-PE"/>
        </w:rPr>
      </w:r>
      <w:r>
        <w:rPr>
          <w:highlight w:val="none"/>
          <w:lang w:val="es-PE"/>
        </w:rPr>
      </w:r>
    </w:p>
    <w:sectPr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4609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70D4609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2025-09-30T04:51:57Z</dcterms:modified>
</cp:coreProperties>
</file>