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公共底层智能体平台技术架构设计文档</w:t>
      </w:r>
    </w:p>
    <w:p>
      <w:pPr>
        <w:jc w:val="center"/>
      </w:pPr>
      <w:r>
        <w:rPr>
          <w:color w:val="64748B"/>
          <w:sz w:val="22"/>
        </w:rPr>
        <w:t>draw.io 增强版｜覆盖指标体系构建 Agent 与物料分类补全 Agent</w:t>
      </w:r>
    </w:p>
    <w:p/>
    <w:p>
      <w:pPr>
        <w:pStyle w:val="Heading1"/>
      </w:pPr>
      <w:r>
        <w:t>1. 需求复述与设计边界</w:t>
      </w:r>
    </w:p>
    <w:p>
      <w:r>
        <w:t>本架构不是为单一业务写死的一套流程，而是抽象公共底层智能体平台，通过 Agent 模板承载两个当前业务需求：指标体系构建 Agent、基于物料分类/物料知识库的补全 Agent。平台底座需要同时具备 Agent Runtime、LangGraph 状态机、RAG 知识服务、Tool/MCP/Skill 能力体系、模型路由、审计脱敏、可观测、离线部署与后续扩展能力。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业务需求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核心输入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核心输出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主处理路径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指标体系构建 Agent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表结构 JSON、Excel/Word 指标说明、Prompt、业务域上下文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指标体系 JSON、SQL 建议、可行性检查、人工确认状态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Schema瘦身 + RAG检索 + 模型推导 + 规则复评 + HITL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物料分类补全 Agent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物料知识库 Excel、待补全 Excel、物料ID/分类/字段别名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补全后 Excel、异常 Sheet、差异报告、审计日志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结构化精确查询 + 批量字段回填；RAG/LLM只做辅助</w:t>
            </w:r>
          </w:p>
        </w:tc>
      </w:tr>
    </w:tbl>
    <w:p/>
    <w:p>
      <w:pPr>
        <w:pStyle w:val="Heading1"/>
      </w:pPr>
      <w:r>
        <w:t>2. 总体技术架构</w:t>
      </w:r>
    </w:p>
    <w:p>
      <w:r>
        <w:t>总体架构采用 Python AI 服务 + Java 管理后台的组合。Java 继续承担企业后台、权限配置、任务管理等能力；Python 服务负责 FastAPI 接入、LangGraph 编排、RAG、模型调用、工具执行与文件处理。模型由 Model Gateway 统一路由，存储使用 PostgreSQL + pgvector 作为主库和向量库，Redis 承担队列、缓存和分布式锁。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886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technical_architecture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88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1：总体技术架构图（源文件：01_overall_technical_architecture.drawio）</w:t>
      </w:r>
    </w:p>
    <w:p>
      <w:pPr>
        <w:pStyle w:val="Heading1"/>
      </w:pPr>
      <w:r>
        <w:t>3. 端到端业务流程</w:t>
      </w:r>
    </w:p>
    <w:p>
      <w:r>
        <w:t>两个业务流程共享底座但主路径不同：指标 Agent 是偏生成式推理流程，需要 Schema 瘦身、知识检索和指标生成；物料补全 Agent 是偏数据处理流程，主路径必须落到结构化精确匹配和批量回填，不能把它设计成普通问答式 RAG。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327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siness_flow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32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2：两个业务需求端到端流程图（源文件：02_business_flow.drawio）</w:t>
      </w:r>
    </w:p>
    <w:p>
      <w:pPr>
        <w:pStyle w:val="Heading1"/>
      </w:pPr>
      <w:r>
        <w:t>4. 核心执行时序</w:t>
      </w:r>
    </w:p>
    <w:p>
      <w:r>
        <w:t>所有任务以 run_id 为主线追踪。FastAPI 创建任务并持久化元数据后，由 LangGraph 驱动节点执行；节点通过 Tool/MCP/Skill 调用外部能力，需要知识上下文时访问 RAG，需要模型能力时访问 Model Gateway。每一步写入 checkpoint、artifact 和 audit_log，支持断点恢复与审计追溯。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7272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e_sequence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72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3：核心执行时序图（源文件：03_core_sequence.drawio）</w:t>
      </w:r>
    </w:p>
    <w:p>
      <w:pPr>
        <w:pStyle w:val="Heading1"/>
      </w:pPr>
      <w:r>
        <w:t>5. RAG 知识库流程</w:t>
      </w:r>
    </w:p>
    <w:p>
      <w:r>
        <w:t>RAG 服务拆成写入链路和检索链路。写入时按文件类型解析为统一 DocumentModel，再依据文档结构分块、生成 embedding 并落入 pgvector。检索时先进行 Query 理解，再结合 metadata filter、向量召回、重排与权限过滤，最终把可引用片段注入 GraphState。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782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_flow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78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4：RAG写入、Chunk与检索流程图（源文件：04_rag_flow.drawio）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知识类型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分块策略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检索策略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使用场景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指标口径/业务说明 Word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按标题层级、段落语义和 token 窗口分块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业务域过滤 + 向量召回 + rerank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指标定义、口径解释、维度度量建议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物料知识库 Excel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主路径结构化落库；必要时按 sheet/row/主键生成辅助 chunk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物料ID/分类精确查询优先，低置信度才用语义辅助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字段解释、分类规则、异常匹配说明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历史人工确认样本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按案例、业务域、问题类型沉淀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metadata filter + topK 相似案例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复用修正经验、生成评测样本</w:t>
            </w:r>
          </w:p>
        </w:tc>
      </w:tr>
    </w:tbl>
    <w:p/>
    <w:p>
      <w:pPr>
        <w:pStyle w:val="Heading1"/>
      </w:pPr>
      <w:r>
        <w:t>6. 模型分流与切换</w:t>
      </w:r>
    </w:p>
    <w:p>
      <w:r>
        <w:t>模型不在业务节点里硬编码。节点只声明 task_type，Model Gateway 根据任务类型、成本、延迟、可用性和 fallback 策略选择小模型、主推理模型、Embedding/Rerank 或确定性执行器。前期可用 CPU Local/API Stub 验证功能，确认模型后再选择 GPU 与 vLLM 等推理框架。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38000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el_switch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380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5：三类模型分流与切换图（源文件：05_model_switch.drawio）</w:t>
      </w:r>
    </w:p>
    <w:p>
      <w:pPr>
        <w:pStyle w:val="Heading1"/>
      </w:pPr>
      <w:r>
        <w:t>7. LangGraph 节点编排</w:t>
      </w:r>
    </w:p>
    <w:p>
      <w:r>
        <w:t>LangGraph 由公共节点和业务节点组成。公共节点负责输入标准化、权限脱敏、计划生成、工具执行、校验与审计；业务节点只实现具体业务差异。这样新增 Agent 时只需增加模板和少量业务节点，而不需要重写底层运行框架。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020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anggraph_nodes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02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6：LangGraph节点编排图（源文件：06_langgraph_nodes.drawio）</w:t>
      </w:r>
    </w:p>
    <w:p>
      <w:pPr>
        <w:pStyle w:val="Heading1"/>
      </w:pPr>
      <w:r>
        <w:t>8. 状态机与记忆设计</w:t>
      </w:r>
    </w:p>
    <w:p>
      <w:r>
        <w:t>智能体状态围绕 run 生命周期扭转。短期记忆用于当前任务的上下文、检索片段、工具结果和中间结果；长期记忆用于字段字典、指标知识、物料分类规则、人工确认样本与评测样本。长期记忆进入模型前必须经过权限过滤和脱敏摘要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27218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gent_state_transition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272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7：智能体状态扭转图（源文件：07_agent_state_transition.drawio）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37521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emory_design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375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8：短期记忆与长期记忆设计图（源文件：09_memory_design.drawio）</w:t>
      </w:r>
    </w:p>
    <w:p>
      <w:pPr>
        <w:pStyle w:val="Heading1"/>
      </w:pPr>
      <w:r>
        <w:t>9. Tool / MCP / Skill 能力体系</w:t>
      </w:r>
    </w:p>
    <w:p>
      <w:r>
        <w:t>Tool 用于确定性动作，例如数据库查询、文件解析、Excel 导出；MCP 用于标准化外部系统协议接入，例如 PostgreSQL、文件仓库和知识服务；Skill 用于封装可复用专家流程，例如指标设计流程、物料补全策略和 draw.io 图生成。所有能力调用都必须经过注册、权限、超时、重试、审计和输出校验。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4229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ool_mcp_skill.draw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42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9：Tool/MCP/Skill调用架构图（源文件：08_tool_mcp_skill.drawio）</w:t>
      </w:r>
    </w:p>
    <w:p>
      <w:pPr>
        <w:pStyle w:val="Heading1"/>
      </w:pPr>
      <w:r>
        <w:t>10. 数据与部署架构</w:t>
      </w:r>
    </w:p>
    <w:p>
      <w:r>
        <w:t>前期按内网单机 VM 部署设计，核心依赖全部离线包化。最低功能验证优先 CPU 环境，不提前绑定大模型和 GPU；当指标生成质量、物料补全性能和 QPS 压测结果确认后，再确定 GPU、vLLM、模型参数规模与并发策略。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591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ata_deploy.draw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59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10：数据存储与离线部署架构图（源文件：10_data_deploy.drawio）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建议版本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离线部署要点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Python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3.11.x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AI 服务、RAG、LangGraph、文件处理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制作 wheels 离线包，固定 constraints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FastAPI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0.115+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Agent API、SSE进度、文件上传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与 uvicorn/gunicorn 一并离线安装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LangChain / LangGraph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1.0+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模型抽象、状态图编排、checkpoint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版本锁定，避免 API 兼容问题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PostgreSQL + pgvector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PostgreSQL 16 + pgvector 0.7+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业务主库、向量库、审计库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内网安装包、扩展预编译或源码包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Redis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7.x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任务队列、缓存、锁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单机可用，后续可主从/哨兵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Model Runtime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CPU: llama.cpp/API Stub；GPU: vLLM 后续确认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小模型/主模型/Embedding/Rerank 推理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模型文件离线导入，先验证再定 GPU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MCP/Tool/Skill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按内部封装版本管理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外部能力、确定性工具、专家流程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能力清单、Schema、权限、审计配置随包发布</w:t>
            </w:r>
          </w:p>
        </w:tc>
      </w:tr>
    </w:tbl>
    <w:p/>
    <w:p>
      <w:pPr>
        <w:pStyle w:val="Heading1"/>
      </w:pPr>
      <w:r>
        <w:t>11. 高性能与治理要点</w:t>
      </w:r>
    </w:p>
    <w:p>
      <w:pPr>
        <w:pStyle w:val="ListBullet"/>
        <w:spacing w:after="80"/>
      </w:pPr>
      <w:r>
        <w:t>避免把上千/上万张表拼成超大 JSON 直接喂给模型，必须先做 schema 瘦身、业务域切分、字段摘要和候选表检索。</w:t>
      </w:r>
    </w:p>
    <w:p>
      <w:pPr>
        <w:pStyle w:val="ListBullet"/>
        <w:spacing w:after="80"/>
      </w:pPr>
      <w:r>
        <w:t>物料补全按批次进行结构化查询和批量回填，使用 B-tree 索引、JSONB row_snapshot 和批量写入，RAG/LLM 不进入主链路。</w:t>
      </w:r>
    </w:p>
    <w:p>
      <w:pPr>
        <w:pStyle w:val="ListBullet"/>
        <w:spacing w:after="80"/>
      </w:pPr>
      <w:r>
        <w:t>QPS 100 的目标通过 FastAPI 异步接口、Redis 队列、任务状态轮询/SSE、RAG 缓存、模型限流和批处理实现。</w:t>
      </w:r>
    </w:p>
    <w:p>
      <w:pPr>
        <w:pStyle w:val="ListBullet"/>
        <w:spacing w:after="80"/>
      </w:pPr>
      <w:r>
        <w:t>所有模型输入前做权限过滤和脱敏，所有 Tool/MCP/Skill 调用写 audit_log，输出结果做 JSON Schema 或 Excel 结构校验。</w:t>
      </w:r>
    </w:p>
    <w:p>
      <w:pPr>
        <w:pStyle w:val="ListBullet"/>
        <w:spacing w:after="80"/>
      </w:pPr>
      <w:r>
        <w:t>离线部署需要同步准备 Python wheels、系统 RPM/DEB、Docker 镜像、模型文件、pgvector 扩展包和回滚脚本。</w:t>
      </w:r>
    </w:p>
    <w:p>
      <w:pPr>
        <w:pStyle w:val="Heading1"/>
      </w:pPr>
      <w:r>
        <w:t>12. 交付物说明</w:t>
      </w:r>
    </w:p>
    <w:p>
      <w:r>
        <w:t>本次生成的架构图均为原生 draw.io 文件，并导出为嵌入 XML 的 PNG，后续可直接用 draw.io 打开 PNG 或 .drawio 源文件继续编辑。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64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图名称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draw.io 源文件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PNG 导出文件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总体技术架构图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01_overall_technical_architecture.drawio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01_overall_technical_architecture.drawio.png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两个业务需求端到端流程图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02_business_flow.drawio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02_business_flow.drawio.png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核心执行时序图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03_core_sequence.drawio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03_core_sequence.drawio.png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RAG写入、Chunk与检索流程图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04_rag_flow.drawio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04_rag_flow.drawio.png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三类模型分流与切换图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05_model_switch.drawio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05_model_switch.drawio.png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LangGraph节点编排图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06_langgraph_nodes.drawio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06_langgraph_nodes.drawio.png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7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智能体状态扭转图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07_agent_state_transition.drawio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07_agent_state_transition.drawio.png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Tool/MCP/Skill调用架构图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08_tool_mcp_skill.drawio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08_tool_mcp_skill.drawio.png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9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短期记忆与长期记忆设计图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09_memory_design.drawio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09_memory_design.drawio.png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数据存储与离线部署架构图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10_data_deploy.drawio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10_data_deploy.drawio.png</w:t>
            </w:r>
          </w:p>
        </w:tc>
      </w:tr>
    </w:tbl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