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40"/>
        </w:rPr>
        <w:t>公共底层智能体平台技术选型方案（工程实现版）</w:t>
      </w:r>
    </w:p>
    <w:p>
      <w:pPr>
        <w:jc w:val="center"/>
      </w:pPr>
      <w:r>
        <w:rPr>
          <w:rFonts w:ascii="Microsoft YaHei" w:hAnsi="Microsoft YaHei" w:eastAsia="Microsoft YaHei"/>
          <w:sz w:val="20"/>
        </w:rPr>
        <w:t>面向指标体系构建 Agent 与物料分类补全 Agent，离线单机先验，后续可扩展部署</w:t>
      </w:r>
    </w:p>
    <w:p>
      <w:pPr>
        <w:pStyle w:val="Heading1"/>
      </w:pPr>
      <w:r>
        <w:t>1. 选型原则</w:t>
      </w:r>
    </w:p>
    <w:p>
      <w:pPr>
        <w:pStyle w:val="ListBullet"/>
      </w:pPr>
      <w:r>
        <w:t>以 Python 3.10+ 作为 AI Agent 服务主语言，Java 保留为管理后台、权限、流程和企业系统集成入口。</w:t>
      </w:r>
    </w:p>
    <w:p>
      <w:pPr>
        <w:pStyle w:val="ListBullet"/>
      </w:pPr>
      <w:r>
        <w:t>先 CPU 功能验证，模型、GPU 和并发配置在样例数据跑通后再压测确认。</w:t>
      </w:r>
    </w:p>
    <w:p>
      <w:pPr>
        <w:pStyle w:val="ListBullet"/>
      </w:pPr>
      <w:r>
        <w:t>离线部署优先：依赖 wheels、模型文件、Docker 镜像和数据库初始化脚本均可离线导入。</w:t>
      </w:r>
    </w:p>
    <w:p>
      <w:pPr>
        <w:pStyle w:val="ListBullet"/>
      </w:pPr>
      <w:r>
        <w:t>结构化 Excel 字段匹配优先，向量检索用于字段语义、业务定义、历史规则和相似案例召回。</w:t>
      </w:r>
    </w:p>
    <w:p>
      <w:pPr>
        <w:pStyle w:val="Heading1"/>
      </w:pPr>
      <w:r>
        <w:t>2. 核心组件版本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b/>
              </w:rPr>
              <w:t>组件</w:t>
            </w:r>
          </w:p>
        </w:tc>
        <w:tc>
          <w:tcPr>
            <w:tcW w:type="dxa" w:w="2160"/>
            <w:shd w:fill="D9EAF7"/>
          </w:tcPr>
          <w:p>
            <w:r>
              <w:rPr>
                <w:b/>
              </w:rPr>
              <w:t>建议版本</w:t>
            </w:r>
          </w:p>
        </w:tc>
        <w:tc>
          <w:tcPr>
            <w:tcW w:type="dxa" w:w="2160"/>
            <w:shd w:fill="D9EAF7"/>
          </w:tcPr>
          <w:p>
            <w:r>
              <w:rPr>
                <w:b/>
              </w:rPr>
              <w:t>作用</w:t>
            </w:r>
          </w:p>
        </w:tc>
        <w:tc>
          <w:tcPr>
            <w:tcW w:type="dxa" w:w="2160"/>
            <w:shd w:fill="D9EAF7"/>
          </w:tcPr>
          <w:p>
            <w:r>
              <w:rPr>
                <w:b/>
              </w:rPr>
              <w:t>选择说明</w:t>
            </w:r>
          </w:p>
        </w:tc>
      </w:tr>
      <w:tr>
        <w:tc>
          <w:tcPr>
            <w:tcW w:type="dxa" w:w="2160"/>
          </w:tcPr>
          <w:p>
            <w:r>
              <w:t>Python</w:t>
            </w:r>
          </w:p>
        </w:tc>
        <w:tc>
          <w:tcPr>
            <w:tcW w:type="dxa" w:w="2160"/>
          </w:tcPr>
          <w:p>
            <w:r>
              <w:t>3.10.18+</w:t>
            </w:r>
          </w:p>
        </w:tc>
        <w:tc>
          <w:tcPr>
            <w:tcW w:type="dxa" w:w="2160"/>
          </w:tcPr>
          <w:p>
            <w:r>
              <w:t>Agent 服务运行环境</w:t>
            </w:r>
          </w:p>
        </w:tc>
        <w:tc>
          <w:tcPr>
            <w:tcW w:type="dxa" w:w="2160"/>
          </w:tcPr>
          <w:p>
            <w:r>
              <w:t>当前机器已发现 /usr/local/anaconda3/envs/py310/bin/python；满足 3.10+ 要求</w:t>
            </w:r>
          </w:p>
        </w:tc>
      </w:tr>
      <w:tr>
        <w:tc>
          <w:tcPr>
            <w:tcW w:type="dxa" w:w="2160"/>
          </w:tcPr>
          <w:p>
            <w:r>
              <w:t>FastAPI</w:t>
            </w:r>
          </w:p>
        </w:tc>
        <w:tc>
          <w:tcPr>
            <w:tcW w:type="dxa" w:w="2160"/>
          </w:tcPr>
          <w:p>
            <w:r>
              <w:t>0.115.12</w:t>
            </w:r>
          </w:p>
        </w:tc>
        <w:tc>
          <w:tcPr>
            <w:tcW w:type="dxa" w:w="2160"/>
          </w:tcPr>
          <w:p>
            <w:r>
              <w:t>AI 服务 HTTP/SSE 接口</w:t>
            </w:r>
          </w:p>
        </w:tc>
        <w:tc>
          <w:tcPr>
            <w:tcW w:type="dxa" w:w="2160"/>
          </w:tcPr>
          <w:p>
            <w:r>
              <w:t>轻量、异步、OpenAPI 友好，适合与 Java 后台集成</w:t>
            </w:r>
          </w:p>
        </w:tc>
      </w:tr>
      <w:tr>
        <w:tc>
          <w:tcPr>
            <w:tcW w:type="dxa" w:w="2160"/>
          </w:tcPr>
          <w:p>
            <w:r>
              <w:t>Uvicorn</w:t>
            </w:r>
          </w:p>
        </w:tc>
        <w:tc>
          <w:tcPr>
            <w:tcW w:type="dxa" w:w="2160"/>
          </w:tcPr>
          <w:p>
            <w:r>
              <w:t>0.34.2</w:t>
            </w:r>
          </w:p>
        </w:tc>
        <w:tc>
          <w:tcPr>
            <w:tcW w:type="dxa" w:w="2160"/>
          </w:tcPr>
          <w:p>
            <w:r>
              <w:t>ASGI Server</w:t>
            </w:r>
          </w:p>
        </w:tc>
        <w:tc>
          <w:tcPr>
            <w:tcW w:type="dxa" w:w="2160"/>
          </w:tcPr>
          <w:p>
            <w:r>
              <w:t>单机部署简单，后续可用 gunicorn/uvicorn 多进程扩展</w:t>
            </w:r>
          </w:p>
        </w:tc>
      </w:tr>
      <w:tr>
        <w:tc>
          <w:tcPr>
            <w:tcW w:type="dxa" w:w="2160"/>
          </w:tcPr>
          <w:p>
            <w:r>
              <w:t>LangChain</w:t>
            </w:r>
          </w:p>
        </w:tc>
        <w:tc>
          <w:tcPr>
            <w:tcW w:type="dxa" w:w="2160"/>
          </w:tcPr>
          <w:p>
            <w:r>
              <w:t>1.3.1</w:t>
            </w:r>
          </w:p>
        </w:tc>
        <w:tc>
          <w:tcPr>
            <w:tcW w:type="dxa" w:w="2160"/>
          </w:tcPr>
          <w:p>
            <w:r>
              <w:t>模型、Prompt、工具调用抽象</w:t>
            </w:r>
          </w:p>
        </w:tc>
        <w:tc>
          <w:tcPr>
            <w:tcW w:type="dxa" w:w="2160"/>
          </w:tcPr>
          <w:p>
            <w:r>
              <w:t>已通过 pip 索引确认当前可安装最新版本为 1.3.1</w:t>
            </w:r>
          </w:p>
        </w:tc>
      </w:tr>
      <w:tr>
        <w:tc>
          <w:tcPr>
            <w:tcW w:type="dxa" w:w="2160"/>
          </w:tcPr>
          <w:p>
            <w:r>
              <w:t>LangGraph</w:t>
            </w:r>
          </w:p>
        </w:tc>
        <w:tc>
          <w:tcPr>
            <w:tcW w:type="dxa" w:w="2160"/>
          </w:tcPr>
          <w:p>
            <w:r>
              <w:t>1.2.0</w:t>
            </w:r>
          </w:p>
        </w:tc>
        <w:tc>
          <w:tcPr>
            <w:tcW w:type="dxa" w:w="2160"/>
          </w:tcPr>
          <w:p>
            <w:r>
              <w:t>Agent 状态图编排</w:t>
            </w:r>
          </w:p>
        </w:tc>
        <w:tc>
          <w:tcPr>
            <w:tcW w:type="dxa" w:w="2160"/>
          </w:tcPr>
          <w:p>
            <w:r>
              <w:t>已通过 pip 索引确认当前可安装最新版本为 1.2.0；代码已实现未安装时的线性 fallback</w:t>
            </w:r>
          </w:p>
        </w:tc>
      </w:tr>
      <w:tr>
        <w:tc>
          <w:tcPr>
            <w:tcW w:type="dxa" w:w="2160"/>
          </w:tcPr>
          <w:p>
            <w:r>
              <w:t>pandas</w:t>
            </w:r>
          </w:p>
        </w:tc>
        <w:tc>
          <w:tcPr>
            <w:tcW w:type="dxa" w:w="2160"/>
          </w:tcPr>
          <w:p>
            <w:r>
              <w:t>2.0.3</w:t>
            </w:r>
          </w:p>
        </w:tc>
        <w:tc>
          <w:tcPr>
            <w:tcW w:type="dxa" w:w="2160"/>
          </w:tcPr>
          <w:p>
            <w:r>
              <w:t>Excel 数据处理</w:t>
            </w:r>
          </w:p>
        </w:tc>
        <w:tc>
          <w:tcPr>
            <w:tcW w:type="dxa" w:w="2160"/>
          </w:tcPr>
          <w:p>
            <w:r>
              <w:t>当前本地样例已验证可读取 xls/xlsx</w:t>
            </w:r>
          </w:p>
        </w:tc>
      </w:tr>
      <w:tr>
        <w:tc>
          <w:tcPr>
            <w:tcW w:type="dxa" w:w="2160"/>
          </w:tcPr>
          <w:p>
            <w:r>
              <w:t>openpyxl</w:t>
            </w:r>
          </w:p>
        </w:tc>
        <w:tc>
          <w:tcPr>
            <w:tcW w:type="dxa" w:w="2160"/>
          </w:tcPr>
          <w:p>
            <w:r>
              <w:t>3.1.5</w:t>
            </w:r>
          </w:p>
        </w:tc>
        <w:tc>
          <w:tcPr>
            <w:tcW w:type="dxa" w:w="2160"/>
          </w:tcPr>
          <w:p>
            <w:r>
              <w:t>xlsx 读写</w:t>
            </w:r>
          </w:p>
        </w:tc>
        <w:tc>
          <w:tcPr>
            <w:tcW w:type="dxa" w:w="2160"/>
          </w:tcPr>
          <w:p>
            <w:r>
              <w:t>输出补全结果、异常明细、统计工作表</w:t>
            </w:r>
          </w:p>
        </w:tc>
      </w:tr>
      <w:tr>
        <w:tc>
          <w:tcPr>
            <w:tcW w:type="dxa" w:w="2160"/>
          </w:tcPr>
          <w:p>
            <w:r>
              <w:t>xlrd</w:t>
            </w:r>
          </w:p>
        </w:tc>
        <w:tc>
          <w:tcPr>
            <w:tcW w:type="dxa" w:w="2160"/>
          </w:tcPr>
          <w:p>
            <w:r>
              <w:t>2.0.1</w:t>
            </w:r>
          </w:p>
        </w:tc>
        <w:tc>
          <w:tcPr>
            <w:tcW w:type="dxa" w:w="2160"/>
          </w:tcPr>
          <w:p>
            <w:r>
              <w:t>xls 读取</w:t>
            </w:r>
          </w:p>
        </w:tc>
        <w:tc>
          <w:tcPr>
            <w:tcW w:type="dxa" w:w="2160"/>
          </w:tcPr>
          <w:p>
            <w:r>
              <w:t>兼容当前 PLM 与五步测试的 xls 文件</w:t>
            </w:r>
          </w:p>
        </w:tc>
      </w:tr>
      <w:tr>
        <w:tc>
          <w:tcPr>
            <w:tcW w:type="dxa" w:w="2160"/>
          </w:tcPr>
          <w:p>
            <w:r>
              <w:t>PostgreSQL + pgvector</w:t>
            </w:r>
          </w:p>
        </w:tc>
        <w:tc>
          <w:tcPr>
            <w:tcW w:type="dxa" w:w="2160"/>
          </w:tcPr>
          <w:p>
            <w:r>
              <w:t>PostgreSQL 16 / pgvector 0.7+</w:t>
            </w:r>
          </w:p>
        </w:tc>
        <w:tc>
          <w:tcPr>
            <w:tcW w:type="dxa" w:w="2160"/>
          </w:tcPr>
          <w:p>
            <w:r>
              <w:t>结构化数据、向量索引、审计数据存储</w:t>
            </w:r>
          </w:p>
        </w:tc>
        <w:tc>
          <w:tcPr>
            <w:tcW w:type="dxa" w:w="2160"/>
          </w:tcPr>
          <w:p>
            <w:r>
              <w:t>数据规模几万字段级可满足；便于离线单机部署</w:t>
            </w:r>
          </w:p>
        </w:tc>
      </w:tr>
      <w:tr>
        <w:tc>
          <w:tcPr>
            <w:tcW w:type="dxa" w:w="2160"/>
          </w:tcPr>
          <w:p>
            <w:r>
              <w:t>Redis</w:t>
            </w:r>
          </w:p>
        </w:tc>
        <w:tc>
          <w:tcPr>
            <w:tcW w:type="dxa" w:w="2160"/>
          </w:tcPr>
          <w:p>
            <w:r>
              <w:t>5.2.1 client / Redis 7.x server</w:t>
            </w:r>
          </w:p>
        </w:tc>
        <w:tc>
          <w:tcPr>
            <w:tcW w:type="dxa" w:w="2160"/>
          </w:tcPr>
          <w:p>
            <w:r>
              <w:t>队列、缓存、短期状态</w:t>
            </w:r>
          </w:p>
        </w:tc>
        <w:tc>
          <w:tcPr>
            <w:tcW w:type="dxa" w:w="2160"/>
          </w:tcPr>
          <w:p>
            <w:r>
              <w:t>低 QPS 场景足够，后续可接 RQ/Celery</w:t>
            </w:r>
          </w:p>
        </w:tc>
      </w:tr>
      <w:tr>
        <w:tc>
          <w:tcPr>
            <w:tcW w:type="dxa" w:w="2160"/>
          </w:tcPr>
          <w:p>
            <w:r>
              <w:t>bge-m3</w:t>
            </w:r>
          </w:p>
        </w:tc>
        <w:tc>
          <w:tcPr>
            <w:tcW w:type="dxa" w:w="2160"/>
          </w:tcPr>
          <w:p>
            <w:r>
              <w:t>离线 embedding 模型</w:t>
            </w:r>
          </w:p>
        </w:tc>
        <w:tc>
          <w:tcPr>
            <w:tcW w:type="dxa" w:w="2160"/>
          </w:tcPr>
          <w:p>
            <w:r>
              <w:t>字段语义向量化</w:t>
            </w:r>
          </w:p>
        </w:tc>
        <w:tc>
          <w:tcPr>
            <w:tcW w:type="dxa" w:w="2160"/>
          </w:tcPr>
          <w:p>
            <w:r>
              <w:t>中英文混合字段、短文本召回适配较好</w:t>
            </w:r>
          </w:p>
        </w:tc>
      </w:tr>
      <w:tr>
        <w:tc>
          <w:tcPr>
            <w:tcW w:type="dxa" w:w="2160"/>
          </w:tcPr>
          <w:p>
            <w:r>
              <w:t>bge-reranker</w:t>
            </w:r>
          </w:p>
        </w:tc>
        <w:tc>
          <w:tcPr>
            <w:tcW w:type="dxa" w:w="2160"/>
          </w:tcPr>
          <w:p>
            <w:r>
              <w:t>离线 rerank 模型</w:t>
            </w:r>
          </w:p>
        </w:tc>
        <w:tc>
          <w:tcPr>
            <w:tcW w:type="dxa" w:w="2160"/>
          </w:tcPr>
          <w:p>
            <w:r>
              <w:t>候选字段/文档重排</w:t>
            </w:r>
          </w:p>
        </w:tc>
        <w:tc>
          <w:tcPr>
            <w:tcW w:type="dxa" w:w="2160"/>
          </w:tcPr>
          <w:p>
            <w:r>
              <w:t>提升相似字段、业务定义检索准确性</w:t>
            </w:r>
          </w:p>
        </w:tc>
      </w:tr>
      <w:tr>
        <w:tc>
          <w:tcPr>
            <w:tcW w:type="dxa" w:w="2160"/>
          </w:tcPr>
          <w:p>
            <w:r>
              <w:t>Qwen/DeepSeek 小模型</w:t>
            </w:r>
          </w:p>
        </w:tc>
        <w:tc>
          <w:tcPr>
            <w:tcW w:type="dxa" w:w="2160"/>
          </w:tcPr>
          <w:p>
            <w:r>
              <w:t>7B/8B 量级优先</w:t>
            </w:r>
          </w:p>
        </w:tc>
        <w:tc>
          <w:tcPr>
            <w:tcW w:type="dxa" w:w="2160"/>
          </w:tcPr>
          <w:p>
            <w:r>
              <w:t>规则解释、字段推理、报告生成</w:t>
            </w:r>
          </w:p>
        </w:tc>
        <w:tc>
          <w:tcPr>
            <w:tcW w:type="dxa" w:w="2160"/>
          </w:tcPr>
          <w:p>
            <w:r>
              <w:t>先 CPU/API Stub 验证，GPU 型号待性能压测后确定</w:t>
            </w:r>
          </w:p>
        </w:tc>
      </w:tr>
    </w:tbl>
    <w:p/>
    <w:p>
      <w:pPr>
        <w:pStyle w:val="Heading1"/>
      </w:pPr>
      <w:r>
        <w:t>3. Java 与 Python 分工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2880"/>
            <w:shd w:fill="D9EAF7"/>
          </w:tcPr>
          <w:p>
            <w:r>
              <w:rPr>
                <w:b/>
              </w:rPr>
              <w:t>Java</w:t>
            </w:r>
          </w:p>
        </w:tc>
        <w:tc>
          <w:tcPr>
            <w:tcW w:type="dxa" w:w="2880"/>
            <w:shd w:fill="D9EAF7"/>
          </w:tcPr>
          <w:p>
            <w:r>
              <w:rPr>
                <w:b/>
              </w:rPr>
              <w:t>Python</w:t>
            </w:r>
          </w:p>
        </w:tc>
      </w:tr>
      <w:tr>
        <w:tc>
          <w:tcPr>
            <w:tcW w:type="dxa" w:w="2880"/>
          </w:tcPr>
          <w:p>
            <w:r>
              <w:t>适用边界</w:t>
            </w:r>
          </w:p>
        </w:tc>
        <w:tc>
          <w:tcPr>
            <w:tcW w:type="dxa" w:w="2880"/>
          </w:tcPr>
          <w:p>
            <w:r>
              <w:t>管理后台、权限、用户、任务单、企业系统集成</w:t>
            </w:r>
          </w:p>
        </w:tc>
        <w:tc>
          <w:tcPr>
            <w:tcW w:type="dxa" w:w="2880"/>
          </w:tcPr>
          <w:p>
            <w:r>
              <w:t>Agent 编排、RAG、工具调用、Excel 智能补全、模型路由</w:t>
            </w:r>
          </w:p>
        </w:tc>
      </w:tr>
      <w:tr>
        <w:tc>
          <w:tcPr>
            <w:tcW w:type="dxa" w:w="2880"/>
          </w:tcPr>
          <w:p>
            <w:r>
              <w:t>优势</w:t>
            </w:r>
          </w:p>
        </w:tc>
        <w:tc>
          <w:tcPr>
            <w:tcW w:type="dxa" w:w="2880"/>
          </w:tcPr>
          <w:p>
            <w:r>
              <w:t>公司技术栈成熟，稳定治理能力强</w:t>
            </w:r>
          </w:p>
        </w:tc>
        <w:tc>
          <w:tcPr>
            <w:tcW w:type="dxa" w:w="2880"/>
          </w:tcPr>
          <w:p>
            <w:r>
              <w:t>AI 生态完整，LangGraph/LangChain/模型工具链支持好</w:t>
            </w:r>
          </w:p>
        </w:tc>
      </w:tr>
      <w:tr>
        <w:tc>
          <w:tcPr>
            <w:tcW w:type="dxa" w:w="2880"/>
          </w:tcPr>
          <w:p>
            <w:r>
              <w:t>建议</w:t>
            </w:r>
          </w:p>
        </w:tc>
        <w:tc>
          <w:tcPr>
            <w:tcW w:type="dxa" w:w="2880"/>
          </w:tcPr>
          <w:p>
            <w:r>
              <w:t>保留 agent-admin 服务</w:t>
            </w:r>
          </w:p>
        </w:tc>
        <w:tc>
          <w:tcPr>
            <w:tcW w:type="dxa" w:w="2880"/>
          </w:tcPr>
          <w:p>
            <w:r>
              <w:t>新增 agent-api 服务，AI 相关能力统一收口</w:t>
            </w:r>
          </w:p>
        </w:tc>
      </w:tr>
    </w:tbl>
    <w:p/>
    <w:p>
      <w:pPr>
        <w:pStyle w:val="Heading1"/>
      </w:pPr>
      <w:r>
        <w:t>4. 最低环境配置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r>
              <w:rPr>
                <w:b/>
              </w:rPr>
              <w:t>阶段</w:t>
            </w:r>
          </w:p>
        </w:tc>
        <w:tc>
          <w:tcPr>
            <w:tcW w:type="dxa" w:w="2880"/>
            <w:shd w:fill="D9EAF7"/>
          </w:tcPr>
          <w:p>
            <w:r>
              <w:rPr>
                <w:b/>
              </w:rPr>
              <w:t>配置建议</w:t>
            </w:r>
          </w:p>
        </w:tc>
        <w:tc>
          <w:tcPr>
            <w:tcW w:type="dxa" w:w="2880"/>
            <w:shd w:fill="D9EAF7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本地/单机 CPU 功能验证</w:t>
            </w:r>
          </w:p>
        </w:tc>
        <w:tc>
          <w:tcPr>
            <w:tcW w:type="dxa" w:w="2880"/>
          </w:tcPr>
          <w:p>
            <w:r>
              <w:t>8C16G / 200GB SSD / Python 3.10 / PostgreSQL+pgvector / Redis</w:t>
            </w:r>
          </w:p>
        </w:tc>
        <w:tc>
          <w:tcPr>
            <w:tcW w:type="dxa" w:w="2880"/>
          </w:tcPr>
          <w:p>
            <w:r>
              <w:t>优先验证 Excel 解析、字段映射、结果导出、审计流程</w:t>
            </w:r>
          </w:p>
        </w:tc>
      </w:tr>
      <w:tr>
        <w:tc>
          <w:tcPr>
            <w:tcW w:type="dxa" w:w="2880"/>
          </w:tcPr>
          <w:p>
            <w:r>
              <w:t>小模型 CPU 或 API Stub</w:t>
            </w:r>
          </w:p>
        </w:tc>
        <w:tc>
          <w:tcPr>
            <w:tcW w:type="dxa" w:w="2880"/>
          </w:tcPr>
          <w:p>
            <w:r>
              <w:t>16C32G / 500GB SSD</w:t>
            </w:r>
          </w:p>
        </w:tc>
        <w:tc>
          <w:tcPr>
            <w:tcW w:type="dxa" w:w="2880"/>
          </w:tcPr>
          <w:p>
            <w:r>
              <w:t>可验证模型网关、Prompt、LangGraph 状态流转，不追求吞吐</w:t>
            </w:r>
          </w:p>
        </w:tc>
      </w:tr>
      <w:tr>
        <w:tc>
          <w:tcPr>
            <w:tcW w:type="dxa" w:w="2880"/>
          </w:tcPr>
          <w:p>
            <w:r>
              <w:t>GPU 选型压测</w:t>
            </w:r>
          </w:p>
        </w:tc>
        <w:tc>
          <w:tcPr>
            <w:tcW w:type="dxa" w:w="2880"/>
          </w:tcPr>
          <w:p>
            <w:r>
              <w:t>确认模型后再定 GPU；优先 24GB 显存级别起测</w:t>
            </w:r>
          </w:p>
        </w:tc>
        <w:tc>
          <w:tcPr>
            <w:tcW w:type="dxa" w:w="2880"/>
          </w:tcPr>
          <w:p>
            <w:r>
              <w:t>围绕 QPS 100、批处理时延、并发任务数做压测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