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公共底层智能体平台技术选型方案</w:t>
      </w:r>
    </w:p>
    <w:p>
      <w:pPr>
        <w:jc w:val="center"/>
      </w:pPr>
      <w:r>
        <w:rPr>
          <w:color w:val="64748B"/>
          <w:sz w:val="20"/>
        </w:rPr>
        <w:t>物料分类补全真实样例增强版</w:t>
      </w:r>
    </w:p>
    <w:p>
      <w:pPr>
        <w:pStyle w:val="Heading1"/>
      </w:pPr>
      <w:r>
        <w:t>1. 样例数据理解</w:t>
      </w:r>
    </w:p>
    <w:p>
      <w:r>
        <w:t>本次补充分析了两组真实测试数据，技术选型需要围绕“Excel结构化处理 + 字段映射 + 物料知识库精确补全 + RAG/模型辅助判断”展开。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目录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作用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系统含义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试点物料 AI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IOT PLM TV整机-TV成品-TV整机  100201.xls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知识库导入数据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PLM物料明细，包含WTPart/NonRDPart Sheet、编号、旧物料号、短描述、长描述、分类、尺寸、品牌等72列左右字段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试点物料 AI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10整机-TV成品-TV整机 目标模板.xlsx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目标模板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定义主数据标准、值集收集、清洗目标模板，约束需要补全的字段、拼接规则、必填规则和值集规则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试点物料 AI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10整机-TV成品-TV整机-数据清洗试点_何海珍 20260509.xlsx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补全样例输出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目标模板被补全后的参考形态，用于反推输出结构和验收字段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AI测试文件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第1-5步*.xls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字段映射与清洗步骤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旧字段标准 + 新字段标准生成映射表；旧料号信息 + 映射表生成清洗结果表</w:t>
            </w:r>
          </w:p>
        </w:tc>
      </w:tr>
    </w:tbl>
    <w:p/>
    <w:p>
      <w:pPr>
        <w:pStyle w:val="Heading1"/>
      </w:pPr>
      <w:r>
        <w:t>2. 技术选型结论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建议版本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作用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选择理由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3.11.x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agent-api统一AI服务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Excel处理、RAG、LangGraph、模型调用生态更成熟；Java后台继续保留管理能力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0.115+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REST/SSE接口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轻量、异步、适合文件上传、任务进度和结果下载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LangGraph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1.0+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Agent状态机编排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将Excel解析、字段识别、候选召回、分类判断、属性补全、校验导出拆成可恢复节点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LangChain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1.0+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模型与RAG工具抽象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用于模型调用、Embedding/Rerank适配，避免绑定单一厂商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pandas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2.0.3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Excel数据处理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适合字段标准、映射表、旧料号信息和补全结果的表格变换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openpyxl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3.1.5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.xlsx读写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用于目标模板、补全结果输出、异常Sheet和统计Sheet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xlrd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2.0.1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.xls读取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真实样例大量为WPS生成的xls老格式，需要支持读取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PostgreSQL + pgvector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PostgreSQL 16 + pgvector 0.7+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物料结构化库和辅助向量库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主路径走结构化精确匹配；RAG用于规则解释、语义辅助、低置信度兜底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7.x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任务队列、缓存、checkpoint辅助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支持大Excel异步处理、断点续跑、任务状态查询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Model Gateway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agent-api进程内模块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模型路由、限流、降级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前期不拆独立服务，统一收敛在agent-api，降低单机离线部署复杂度</w:t>
            </w:r>
          </w:p>
        </w:tc>
      </w:tr>
    </w:tbl>
    <w:p/>
    <w:p>
      <w:pPr>
        <w:pStyle w:val="Heading1"/>
      </w:pPr>
      <w:r>
        <w:t>3. 选型约束</w:t>
      </w:r>
    </w:p>
    <w:p>
      <w:pPr>
        <w:pStyle w:val="ListBullet"/>
      </w:pPr>
      <w:r>
        <w:t>物料补全主链路不应设计为纯RAG问答；应以结构化物料库、字段映射、规则拼接和精确查询为主。</w:t>
      </w:r>
    </w:p>
    <w:p>
      <w:pPr>
        <w:pStyle w:val="ListBullet"/>
      </w:pPr>
      <w:r>
        <w:t>RAG和模型只处理字段语义匹配、分类规则解释、候选冲突、低置信度判断等辅助场景。</w:t>
      </w:r>
    </w:p>
    <w:p>
      <w:pPr>
        <w:pStyle w:val="ListBullet"/>
      </w:pPr>
      <w:r>
        <w:t>前期单机VM部署，AI能力合并在agent-api进程内，后续QPS或模型推理压力上来后再拆模型服务。</w:t>
      </w:r>
    </w:p>
    <w:p>
      <w:pPr>
        <w:pStyle w:val="ListBullet"/>
      </w:pPr>
      <w:r>
        <w:t>必须支持.xls和.xlsx两类Excel输入，保留原行号、原字段、异常原因、置信度和来源。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