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Title"/>
        <w:jc w:val="center"/>
      </w:pPr>
      <w:r>
        <w:t>公共底层智能体平台架构设计文档（双需求完整版）</w:t>
      </w:r>
    </w:p>
    <w:p>
      <w:pPr>
        <w:spacing w:after="120"/>
      </w:pPr>
      <w:r>
        <w:t xml:space="preserve">本版只围绕两个需求：指标体系构建 Agent、基于物料分类/物料知识库的补全 Agent。补齐模型切换、RAG分块检索、状态扭转、LangGraph节点、Memory、Tool/MCP/Skill等模块设计。</w:t>
      </w:r>
    </w:p>
    <w:p>
      <w:pPr>
        <w:pStyle w:val="Heading1"/>
        <w:spacing w:after="120"/>
      </w:pPr>
      <w:r>
        <w:t xml:space="preserve">1. 需求复述与边界</w:t>
      </w:r>
    </w:p>
    <w:p>
      <w:pPr>
        <w:pStyle w:val="ListParagraph"/>
        <w:ind w:left="420"/>
        <w:spacing w:after="80"/>
      </w:pPr>
      <w:r>
        <w:t xml:space="preserve">• 需求一：指标体系构建 Agent。输入表结构 JSON、Excel/Word 说明和业务 Prompt，完成 Schema 瘦身、业务域分类、指标推导、可行性复评、人工确认和指标体系 JSON 输出。</w:t>
      </w:r>
    </w:p>
    <w:p>
      <w:pPr>
        <w:pStyle w:val="ListParagraph"/>
        <w:ind w:left="420"/>
        <w:spacing w:after="80"/>
      </w:pPr>
      <w:r>
        <w:t xml:space="preserve">• 需求二：基于物料分类/物料知识库的补全 Agent。输入物料知识库 Excel 和待补全 Excel，根据物料 ID/物料分类等关键字段精确匹配知识库，补全属性字段，输出补全文件和异常报告。</w:t>
      </w:r>
    </w:p>
    <w:p>
      <w:pPr>
        <w:pStyle w:val="ListParagraph"/>
        <w:ind w:left="420"/>
        <w:spacing w:after="80"/>
      </w:pPr>
      <w:r>
        <w:t xml:space="preserve">• 不再把泛化 RAG 问答作为独立业务需求；RAG 是两个需求的底层能力，用于指标知识检索、物料分类规则检索、字段别名和异常兜底。</w:t>
      </w:r>
    </w:p>
    <w:p>
      <w:pPr>
        <w:pStyle w:val="Heading1"/>
        <w:spacing w:after="120"/>
      </w:pPr>
      <w:r>
        <w:t xml:space="preserve">2. 总体架构</w:t>
      </w:r>
    </w:p>
    <w:p>
      <w:r>
        <w:pict>
          <v:group style="width:760pt;height:360pt" coordsize="1750,750">
            <v:shape id="t1" type="#_x0000_t202" style="position:absolute;left:35;top:20;width:1650;height:72" stroked="f" filled="f">
              <v:textbox inset="0,0,0,0">
                <w:txbxContent>
                  <w:p>
                    <w:r>
                      <w:rPr>
                        <w:b/>
                        <w:sz w:val="31"/>
                        <w:color w:val="0F172A"/>
                      </w:rPr>
                      <w:t>公共底层智能体平台总体架构（仅两个业务需求）</w:t>
                    </w:r>
                  </w:p>
                  <w:p>
                    <w:r>
                      <w:rPr>
                        <w:sz w:val="17"/>
                        <w:color w:val="64748B"/>
                      </w:rPr>
                      <w:t>业务范围收敛为：指标体系构建 Agent、基于物料分类/物料知识库的补全 Agent。</w:t>
                    </w:r>
                  </w:p>
                </w:txbxContent>
              </v:textbox>
            </v:shape>
            <v:roundrect id="l1" style="position:absolute;left:40;top:110;width:1670;height:86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接入与体验层</w:t>
                    </w:r>
                  </w:p>
                </w:txbxContent>
              </v:textbox>
            </v:roundrect>
            <v:roundrect id="a1" style="position:absolute;left:80;top:148;width:230;height:38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Web UI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任务提交/结果下载</w:t>
                    </w:r>
                  </w:p>
                </w:txbxContent>
              </v:textbox>
            </v:roundrect>
            <v:roundrect id="a2" style="position:absolute;left:340;top:148;width:250;height:38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Java 管理后台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用户/权限/配置</w:t>
                    </w:r>
                  </w:p>
                </w:txbxContent>
              </v:textbox>
            </v:roundrect>
            <v:roundrect id="a3" style="position:absolute;left:620;top:148;width:270;height:38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OpenAPI Client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批处理/系统集成</w:t>
                    </w:r>
                  </w:p>
                </w:txbxContent>
              </v:textbox>
            </v:roundrect>
            <v:roundrect id="a4" style="position:absolute;left:920;top:148;width:250;height:38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HITL 工作台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确认/修正/发布</w:t>
                    </w:r>
                  </w:p>
                </w:txbxContent>
              </v:textbox>
            </v:roundrect>
            <v:roundrect id="a5" style="position:absolute;left:1200;top:148;width:200;height:38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文件上传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Excel/Word</w:t>
                    </w:r>
                  </w:p>
                </w:txbxContent>
              </v:textbox>
            </v:roundrect>
            <v:roundrect id="a6" style="position:absolute;left:1430;top:148;width:240;height:38" arcsize="10%" fillcolor="#E0F2FE" strokecolor="#0284C7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Nginx/APISIX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TLS/鉴权/限流</w:t>
                    </w:r>
                  </w:p>
                </w:txbxContent>
              </v:textbox>
            </v:roundrect>
            <v:roundrect id="l2" style="position:absolute;left:40;top:230;width:1670;height:128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公共智能体运行层</w:t>
                    </w:r>
                  </w:p>
                </w:txbxContent>
              </v:textbox>
            </v:roundrect>
            <v:roundrect id="b1" style="position:absolute;left:80;top:280;width:210;height:48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Agent 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FastAPI/SSE</w:t>
                    </w:r>
                  </w:p>
                </w:txbxContent>
              </v:textbox>
            </v:roundrect>
            <v:roundrect id="b2" style="position:absolute;left:320;top:280;width:250;height:48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Template Router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按agent_type加载</w:t>
                    </w:r>
                  </w:p>
                </w:txbxContent>
              </v:textbox>
            </v:roundrect>
            <v:roundrect id="b3" style="position:absolute;left:600;top:280;width:280;height:48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LangGraph Runtime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StateGraph/Checkpoint</w:t>
                    </w:r>
                  </w:p>
                </w:txbxContent>
              </v:textbox>
            </v:roundrect>
            <v:roundrect id="b4" style="position:absolute;left:910;top:280;width:230;height:48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Task Queue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Redis/Celery/RQ</w:t>
                    </w:r>
                  </w:p>
                </w:txbxContent>
              </v:textbox>
            </v:roundrect>
            <v:roundrect id="b5" style="position:absolute;left:1170;top:280;width:230;height:48" arcsize="10%" fillcolor="#ECFDF5" strokecolor="#059669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Memory Manager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短期/长期记忆</w:t>
                    </w:r>
                  </w:p>
                </w:txbxContent>
              </v:textbox>
            </v:roundrect>
            <v:roundrect id="b6" style="position:absolute;left:1430;top:280;width:230;height:48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Policy/Audit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权限/脱敏/审计</w:t>
                    </w:r>
                  </w:p>
                </w:txbxContent>
              </v:textbox>
            </v:roundrect>
            <v:roundrect id="l3" style="position:absolute;left:40;top:390;width:760;height:150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业务 Agent 模板层</w:t>
                    </w:r>
                  </w:p>
                </w:txbxContent>
              </v:textbox>
            </v:roundrect>
            <v:roundrect id="c1" style="position:absolute;left:120;top:455;width:260;height:54" arcsize="10%" fillcolor="#EFF6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指标体系构建 Agent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Schema理解/业务域分类/指标推导</w:t>
                    </w:r>
                  </w:p>
                </w:txbxContent>
              </v:textbox>
            </v:roundrect>
            <v:roundrect id="c2" style="position:absolute;left:450;top:455;width:290;height:54" arcsize="10%" fillcolor="#F0FDF4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物料分类补全 Agent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物料ID/分类识别/属性回填</w:t>
                    </w:r>
                  </w:p>
                </w:txbxContent>
              </v:textbox>
            </v:roundrect>
            <v:roundrect id="l4" style="position:absolute;left:840;top:390;width:870;height:150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能力插件与知识服务层</w:t>
                    </w:r>
                  </w:p>
                </w:txbxContent>
              </v:textbox>
            </v:roundrect>
            <v:roundrect id="d1" style="position:absolute;left:880;top:455;width:170;height:54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Tool Registry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强Schema工具</w:t>
                    </w:r>
                  </w:p>
                </w:txbxContent>
              </v:textbox>
            </v:roundrect>
            <v:roundrect id="d2" style="position:absolute;left:1075;top:455;width:170;height:54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MCP Servers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DB/File/Knowledge</w:t>
                    </w:r>
                  </w:p>
                </w:txbxContent>
              </v:textbox>
            </v:roundrect>
            <v:roundrect id="d3" style="position:absolute;left:1270;top:455;width:180;height:54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Skill Library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专家流程</w:t>
                    </w:r>
                  </w:p>
                </w:txbxContent>
              </v:textbox>
            </v:roundrect>
            <v:roundrect id="d4" style="position:absolute;left:1475;top:455;width:185;height:54" arcsize="10%" fillcolor="#F3E8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RAG Service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Chunk/Retrieve/Rerank</w:t>
                    </w:r>
                  </w:p>
                </w:txbxContent>
              </v:textbox>
            </v:roundrect>
            <v:roundrect id="l5" style="position:absolute;left:40;top:570;width:820;height:145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模型路由与模型服务层</w:t>
                    </w:r>
                  </w:p>
                </w:txbxContent>
              </v:textbox>
            </v:roundrect>
            <v:roundrect id="e1" style="position:absolute;left:85;top:630;width:220;height:48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Model 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统一模型入口</w:t>
                    </w:r>
                  </w:p>
                </w:txbxContent>
              </v:textbox>
            </v:roundrect>
            <v:roundrect id="e2" style="position:absolute;left:330;top:630;width:160;height:48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路由模型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分类/意图/字段别名</w:t>
                    </w:r>
                  </w:p>
                </w:txbxContent>
              </v:textbox>
            </v:roundrect>
            <v:roundrect id="e3" style="position:absolute;left:515;top:630;width:160;height:48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推理模型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指标推导/解释</w:t>
                    </w:r>
                  </w:p>
                </w:txbxContent>
              </v:textbox>
            </v:roundrect>
            <v:roundrect id="e4" style="position:absolute;left:700;top:630;width:125;height:48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向量/重排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Embedding/Rerank</w:t>
                    </w:r>
                  </w:p>
                </w:txbxContent>
              </v:textbox>
            </v:roundrect>
            <v:roundrect id="l6" style="position:absolute;left:900;top:570;width:810;height:145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数据存储与治理层</w:t>
                    </w:r>
                  </w:p>
                </w:txbxContent>
              </v:textbox>
            </v:roundrect>
            <v:roundrect id="f1" style="position:absolute;left:940;top:630;width:240;height:48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PostgreSQL+pgvector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agent/rag/material/metric</w:t>
                    </w:r>
                  </w:p>
                </w:txbxContent>
              </v:textbox>
            </v:roundrect>
            <v:roundrect id="f2" style="position:absolute;left:1210;top:630;width:145;height:48" arcsize="10%" fillcolor="#FFFFFF" strokecolor="#EA580C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Redis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cache/queue</w:t>
                    </w:r>
                  </w:p>
                </w:txbxContent>
              </v:textbox>
            </v:roundrect>
            <v:roundrect id="f3" style="position:absolute;left:1385;top:630;width:145;height:48" arcsize="10%" fillcolor="#FFFFFF" strokecolor="#0284C7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File Repo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文件/模型</w:t>
                    </w:r>
                  </w:p>
                </w:txbxContent>
              </v:textbox>
            </v:roundrect>
            <v:roundrect id="f4" style="position:absolute;left:1560;top:630;width:115;height:48" arcsize="10%" fillcolor="#FFFFFF" strokecolor="#059669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Observe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OTel/Phoenix</w:t>
                    </w:r>
                  </w:p>
                </w:txbxContent>
              </v:textbox>
            </v:roundrect>
            <v:line id="x0" style="position:absolute" from="1550,186" to="1550,280" strokecolor="#64748B" strokeweight="1.45pt">
              <v:stroke endarrow="block"/>
            </v:line>
            <v:line id="x1" style="position:absolute" from="290,304" to="320,304" strokecolor="#64748B" strokeweight="1.45pt">
              <v:stroke endarrow="block"/>
            </v:line>
            <v:line id="x2" style="position:absolute" from="570,304" to="600,304" strokecolor="#64748B" strokeweight="1.45pt">
              <v:stroke endarrow="block"/>
            </v:line>
            <v:line id="x3" style="position:absolute" from="880,304" to="910,304" strokecolor="#64748B" strokeweight="1.45pt">
              <v:stroke endarrow="block"/>
            </v:line>
            <v:line id="x4" style="position:absolute" from="1140,304" to="1170,304" strokecolor="#64748B" strokeweight="1.45pt">
              <v:stroke endarrow="block"/>
            </v:line>
            <v:line id="x5" style="position:absolute" from="1400,304" to="1430,304" strokecolor="#64748B" strokeweight="1.45pt">
              <v:stroke endarrow="block"/>
            </v:line>
            <v:line id="x6" style="position:absolute" from="740,328" to="740,455" strokecolor="#64748B" strokeweight="1.45pt">
              <v:stroke endarrow="block"/>
            </v:line>
            <v:line id="x7" style="position:absolute" from="740,482" to="880,482" strokecolor="#64748B" strokeweight="1.45pt">
              <v:stroke endarrow="block"/>
            </v:line>
            <v:line id="x8" style="position:absolute" from="1450,482" to="1475,482" strokecolor="#64748B" strokeweight="1.45pt">
              <v:stroke endarrow="block"/>
            </v:line>
            <v:line id="x9" style="position:absolute" from="450,509" to="450,630" strokecolor="#64748B" strokeweight="1.45pt">
              <v:stroke endarrow="block"/>
            </v:line>
            <v:line id="x10" style="position:absolute" from="1530,509" to="1530,630" strokecolor="#64748B" strokeweight="1.45pt">
              <v:stroke endarrow="block"/>
            </v:line>
          </v:group>
        </w:pict>
      </w:r>
    </w:p>
    <w:p>
      <w:pPr>
        <w:jc w:val="center"/>
      </w:pPr>
      <w:r>
        <w:rPr>
          <w:color w:val="64748B"/>
          <w:sz w:val="18"/>
        </w:rPr>
        <w:t>图 1：公共底层智能体平台总体架构（双需求版）</w:t>
      </w:r>
    </w:p>
    <w:p>
      <w:pPr>
        <w:pStyle w:val="Heading1"/>
        <w:spacing w:after="120"/>
      </w:pPr>
      <w:r>
        <w:t xml:space="preserve">3. 三类模型分流与切换</w:t>
      </w:r>
    </w:p>
    <w:p>
      <w:r>
        <w:pict>
          <v:group style="width:760pt;height:330pt" coordsize="1750,680">
            <v:shape id="t2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1"/>
                        <w:color w:val="0F172A"/>
                      </w:rPr>
                      <w:t>三类模型分流与三种部署模式切换</w:t>
                    </w:r>
                  </w:p>
                  <w:p>
                    <w:r>
                      <w:rPr>
                        <w:sz w:val="17"/>
                        <w:color w:val="64748B"/>
                      </w:rPr>
                      <w:t>模型切换由 Model Gateway 统一完成，上层 LangGraph Node 只声明任务类型，不直接绑定具体模型。</w:t>
                    </w:r>
                  </w:p>
                </w:txbxContent>
              </v:textbox>
            </v:shape>
            <v:roundrect id="input" style="position:absolute;left:60;top:120;width:360;height:520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任务类型输入</w:t>
                    </w:r>
                  </w:p>
                </w:txbxContent>
              </v:textbox>
            </v:roundrect>
            <v:roundrect id="i1" style="position:absolute;left:110;top:190;width:260;height:52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路由/分类任务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业务域分类/字段别名/意图识别</w:t>
                    </w:r>
                  </w:p>
                </w:txbxContent>
              </v:textbox>
            </v:roundrect>
            <v:roundrect id="i2" style="position:absolute;left:110;top:305;width:260;height:52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复杂推理任务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指标推导/口径解释/异常说明</w:t>
                    </w:r>
                  </w:p>
                </w:txbxContent>
              </v:textbox>
            </v:roundrect>
            <v:roundrect id="i3" style="position:absolute;left:110;top:420;width:260;height:52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检索向量任务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知识入库/Query Embedding/Rerank</w:t>
                    </w:r>
                  </w:p>
                </w:txbxContent>
              </v:textbox>
            </v:roundrect>
            <v:roundrect id="i4" style="position:absolute;left:110;top:535;width:260;height:52" arcsize="10%" fillcolor="#F0FDF4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确定性任务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物料ID补全/SQL精确查询</w:t>
                    </w:r>
                  </w:p>
                </w:txbxContent>
              </v:textbox>
            </v:roundrect>
            <v:roundrect id="gw" style="position:absolute;left:500;top:120;width:450;height:520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Model Gateway</w:t>
                    </w:r>
                  </w:p>
                </w:txbxContent>
              </v:textbox>
            </v:roundrect>
            <v:roundrect id="g1" style="position:absolute;left:575;top:205;width:300;height:70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模型路由策略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task_type / latency / cost / fallback</w:t>
                    </w:r>
                  </w:p>
                </w:txbxContent>
              </v:textbox>
            </v:roundrect>
            <v:roundrect id="g2" style="position:absolute;left:575;top:335;width:300;height:70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部署模式切换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cpu_local / api_remote / gpu_vllm</w:t>
                    </w:r>
                  </w:p>
                </w:txbxContent>
              </v:textbox>
            </v:roundrect>
            <v:roundrect id="g3" style="position:absolute;left:575;top:465;width:300;height:70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统一接口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OpenAI Compatible API</w:t>
                    </w:r>
                  </w:p>
                </w:txbxContent>
              </v:textbox>
            </v:roundrect>
            <v:roundrect id="model" style="position:absolute;left:1040;top:120;width:610;height:520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后端模型与执行器</w:t>
                    </w:r>
                  </w:p>
                </w:txbxContent>
              </v:textbox>
            </v:roundrect>
            <v:roundrect id="m1" style="position:absolute;left:1095;top:185;width:220;height:62" arcsize="10%" fillcolor="#FFFFFF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Small LLM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Qwen 7B/14B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分类/路由</w:t>
                    </w:r>
                  </w:p>
                </w:txbxContent>
              </v:textbox>
            </v:roundrect>
            <v:roundrect id="m2" style="position:absolute;left:1370;top:185;width:220;height:62" arcsize="10%" fillcolor="#FFFFFF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Main LLM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Qwen 14B/32B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指标推导</w:t>
                    </w:r>
                  </w:p>
                </w:txbxContent>
              </v:textbox>
            </v:roundrect>
            <v:roundrect id="m3" style="position:absolute;left:1095;top:325;width:220;height:62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Embedding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bge-m3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向量化</w:t>
                    </w:r>
                  </w:p>
                </w:txbxContent>
              </v:textbox>
            </v:roundrect>
            <v:roundrect id="m4" style="position:absolute;left:1370;top:325;width:220;height:62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Reranker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bge-reranker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重排</w:t>
                    </w:r>
                  </w:p>
                </w:txbxContent>
              </v:textbox>
            </v:roundrect>
            <v:roundrect id="m5" style="position:absolute;left:1095;top:465;width:220;height:6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CPU Local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llama.cpp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功能验证</w:t>
                    </w:r>
                  </w:p>
                </w:txbxContent>
              </v:textbox>
            </v:roundrect>
            <v:roundrect id="m6" style="position:absolute;left:1370;top:465;width:220;height:6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GPU/API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vLLM 或模型API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生产/选型</w:t>
                    </w:r>
                  </w:p>
                </w:txbxContent>
              </v:textbox>
            </v:roundrect>
            <v:line id="l1" style="position:absolute" from="370,216" to="575,240" strokecolor="#64748B" strokeweight="1.45pt">
              <v:stroke endarrow="block"/>
            </v:line>
            <v:line id="l2" style="position:absolute" from="370,331" to="575,240" strokecolor="#64748B" strokeweight="1.45pt">
              <v:stroke endarrow="block"/>
            </v:line>
            <v:line id="l3" style="position:absolute" from="370,446" to="575,240" strokecolor="#64748B" strokeweight="1.45pt">
              <v:stroke endarrow="block"/>
            </v:line>
            <v:line id="l4" style="position:absolute" from="875,240" to="1095,216" strokecolor="#64748B" strokeweight="1.45pt">
              <v:stroke endarrow="block"/>
            </v:line>
            <v:line id="l5" style="position:absolute" from="875,240" to="1370,216" strokecolor="#64748B" strokeweight="1.45pt">
              <v:stroke endarrow="block"/>
            </v:line>
            <v:line id="l6" style="position:absolute" from="875,370" to="1095,356" strokecolor="#64748B" strokeweight="1.45pt">
              <v:stroke endarrow="block"/>
            </v:line>
            <v:line id="l7" style="position:absolute" from="875,370" to="1370,356" strokecolor="#64748B" strokeweight="1.45pt">
              <v:stroke endarrow="block"/>
            </v:line>
            <v:line id="l8" style="position:absolute" from="875,500" to="1095,496" strokecolor="#64748B" strokeweight="1.45pt">
              <v:stroke endarrow="block"/>
            </v:line>
            <v:line id="l9" style="position:absolute" from="875,500" to="1370,496" strokecolor="#64748B" strokeweight="1.45pt">
              <v:stroke endarrow="block"/>
            </v:line>
            <v:roundrect id="tag1" style="position:absolute;left:105;top:610;width:96;height:28" arcsize="50%" fillcolor="#16A34A" stroked="f">
              <v:textbox inset="0,2pt,0,0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5"/>
                        <w:color w:val="FFFFFF"/>
                      </w:rPr>
                      <w:t>LLM旁路</w:t>
                    </w:r>
                  </w:p>
                </w:txbxContent>
              </v:textbox>
            </v:roundrect>
          </v:group>
        </w:pict>
      </w:r>
    </w:p>
    <w:p>
      <w:pPr>
        <w:jc w:val="center"/>
      </w:pPr>
      <w:r>
        <w:rPr>
          <w:color w:val="64748B"/>
          <w:sz w:val="18"/>
        </w:rPr>
        <w:t>图 2：三类模型分流与三种部署模式切换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模型/模式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适用任务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切换策略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3550" w:type="dxa"/>
          </w:tcPr>
          <w:p>
            <w:r>
              <w:t xml:space="preserve">路由模型 Small LLM</w:t>
            </w:r>
          </w:p>
        </w:tc>
        <w:tc>
          <w:tcPr>
            <w:tcW w:w="3550" w:type="dxa"/>
          </w:tcPr>
          <w:p>
            <w:r>
              <w:t xml:space="preserve">业务域分类、意图识别、字段别名判断、物料分类辅助</w:t>
            </w:r>
          </w:p>
        </w:tc>
        <w:tc>
          <w:tcPr>
            <w:tcW w:w="3550" w:type="dxa"/>
          </w:tcPr>
          <w:p>
            <w:r>
              <w:t xml:space="preserve">task_type=classify/route/alias</w:t>
            </w:r>
          </w:p>
        </w:tc>
        <w:tc>
          <w:tcPr>
            <w:tcW w:w="3550" w:type="dxa"/>
          </w:tcPr>
          <w:p>
            <w:r>
              <w:t xml:space="preserve">低成本低延迟，可用 7B/14B。</w:t>
            </w:r>
          </w:p>
        </w:tc>
      </w:tr>
      <w:tr>
        <w:tc>
          <w:tcPr>
            <w:tcW w:w="3550" w:type="dxa"/>
          </w:tcPr>
          <w:p>
            <w:r>
              <w:t xml:space="preserve">推理模型 Main LLM</w:t>
            </w:r>
          </w:p>
        </w:tc>
        <w:tc>
          <w:tcPr>
            <w:tcW w:w="3550" w:type="dxa"/>
          </w:tcPr>
          <w:p>
            <w:r>
              <w:t xml:space="preserve">指标推导、口径解释、异常说明、补全报告摘要</w:t>
            </w:r>
          </w:p>
        </w:tc>
        <w:tc>
          <w:tcPr>
            <w:tcW w:w="3550" w:type="dxa"/>
          </w:tcPr>
          <w:p>
            <w:r>
              <w:t xml:space="preserve">task_type=reason/generate</w:t>
            </w:r>
          </w:p>
        </w:tc>
        <w:tc>
          <w:tcPr>
            <w:tcW w:w="3550" w:type="dxa"/>
          </w:tcPr>
          <w:p>
            <w:r>
              <w:t xml:space="preserve">复杂任务使用，输出必须经过 Schema 校验。</w:t>
            </w:r>
          </w:p>
        </w:tc>
      </w:tr>
      <w:tr>
        <w:tc>
          <w:tcPr>
            <w:tcW w:w="3550" w:type="dxa"/>
          </w:tcPr>
          <w:p>
            <w:r>
              <w:t xml:space="preserve">Embedding/Rerank 模型</w:t>
            </w:r>
          </w:p>
        </w:tc>
        <w:tc>
          <w:tcPr>
            <w:tcW w:w="3550" w:type="dxa"/>
          </w:tcPr>
          <w:p>
            <w:r>
              <w:t xml:space="preserve">知识入库向量化、query embedding、召回重排</w:t>
            </w:r>
          </w:p>
        </w:tc>
        <w:tc>
          <w:tcPr>
            <w:tcW w:w="3550" w:type="dxa"/>
          </w:tcPr>
          <w:p>
            <w:r>
              <w:t xml:space="preserve">task_type=embedding/rerank</w:t>
            </w:r>
          </w:p>
        </w:tc>
        <w:tc>
          <w:tcPr>
            <w:tcW w:w="3550" w:type="dxa"/>
          </w:tcPr>
          <w:p>
            <w:r>
              <w:t xml:space="preserve">服务于 RAG，不直接生成答案。</w:t>
            </w:r>
          </w:p>
        </w:tc>
      </w:tr>
      <w:tr>
        <w:tc>
          <w:tcPr>
            <w:tcW w:w="3550" w:type="dxa"/>
          </w:tcPr>
          <w:p>
            <w:r>
              <w:t xml:space="preserve">CPU Local</w:t>
            </w:r>
          </w:p>
        </w:tc>
        <w:tc>
          <w:tcPr>
            <w:tcW w:w="3550" w:type="dxa"/>
          </w:tcPr>
          <w:p>
            <w:r>
              <w:t xml:space="preserve">前期功能验证</w:t>
            </w:r>
          </w:p>
        </w:tc>
        <w:tc>
          <w:tcPr>
            <w:tcW w:w="3550" w:type="dxa"/>
          </w:tcPr>
          <w:p>
            <w:r>
              <w:t xml:space="preserve">LLM_ROUTER_MODE=cpu_local</w:t>
            </w:r>
          </w:p>
        </w:tc>
        <w:tc>
          <w:tcPr>
            <w:tcW w:w="3550" w:type="dxa"/>
          </w:tcPr>
          <w:p>
            <w:r>
              <w:t xml:space="preserve">llama.cpp/GGUF，验证链路不看性能。</w:t>
            </w:r>
          </w:p>
        </w:tc>
      </w:tr>
      <w:tr>
        <w:tc>
          <w:tcPr>
            <w:tcW w:w="3550" w:type="dxa"/>
          </w:tcPr>
          <w:p>
            <w:r>
              <w:t xml:space="preserve">API Remote</w:t>
            </w:r>
          </w:p>
        </w:tc>
        <w:tc>
          <w:tcPr>
            <w:tcW w:w="3550" w:type="dxa"/>
          </w:tcPr>
          <w:p>
            <w:r>
              <w:t xml:space="preserve">模型效果选型</w:t>
            </w:r>
          </w:p>
        </w:tc>
        <w:tc>
          <w:tcPr>
            <w:tcW w:w="3550" w:type="dxa"/>
          </w:tcPr>
          <w:p>
            <w:r>
              <w:t xml:space="preserve">LLM_ROUTER_MODE=api_remote</w:t>
            </w:r>
          </w:p>
        </w:tc>
        <w:tc>
          <w:tcPr>
            <w:tcW w:w="3550" w:type="dxa"/>
          </w:tcPr>
          <w:p>
            <w:r>
              <w:t xml:space="preserve">外部或内部模型 API，对比效果与成本。</w:t>
            </w:r>
          </w:p>
        </w:tc>
      </w:tr>
      <w:tr>
        <w:tc>
          <w:tcPr>
            <w:tcW w:w="3550" w:type="dxa"/>
          </w:tcPr>
          <w:p>
            <w:r>
              <w:t xml:space="preserve">GPU vLLM</w:t>
            </w:r>
          </w:p>
        </w:tc>
        <w:tc>
          <w:tcPr>
            <w:tcW w:w="3550" w:type="dxa"/>
          </w:tcPr>
          <w:p>
            <w:r>
              <w:t xml:space="preserve">生产推理</w:t>
            </w:r>
          </w:p>
        </w:tc>
        <w:tc>
          <w:tcPr>
            <w:tcW w:w="3550" w:type="dxa"/>
          </w:tcPr>
          <w:p>
            <w:r>
              <w:t xml:space="preserve">LLM_ROUTER_MODE=gpu_vllm</w:t>
            </w:r>
          </w:p>
        </w:tc>
        <w:tc>
          <w:tcPr>
            <w:tcW w:w="3550" w:type="dxa"/>
          </w:tcPr>
          <w:p>
            <w:r>
              <w:t xml:space="preserve">确认模型后采购 GPU，自部署 vLLM。</w:t>
            </w:r>
          </w:p>
        </w:tc>
      </w:tr>
    </w:tbl>
    <w:p>
      <w:pPr>
        <w:pStyle w:val="Heading1"/>
        <w:spacing w:after="120"/>
      </w:pPr>
      <w:r>
        <w:t xml:space="preserve">4. RAG 知识库写入、Chunk 与检索流程</w:t>
      </w:r>
    </w:p>
    <w:p>
      <w:r>
        <w:pict>
          <v:group style="width:760pt;height:350pt" coordsize="1750,720">
            <v:shape id="t3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1"/>
                        <w:color w:val="0F172A"/>
                      </w:rPr>
                      <w:t>RAG 知识库写入、Chunk 分块与检索流程</w:t>
                    </w:r>
                  </w:p>
                  <w:p>
                    <w:r>
                      <w:rPr>
                        <w:sz w:val="17"/>
                        <w:color w:val="64748B"/>
                      </w:rPr>
                      <w:t>指标知识和物料分类规则可进入RAG；物料属性补全主路径仍是结构化精确查询。</w:t>
                    </w:r>
                  </w:p>
                </w:txbxContent>
              </v:textbox>
            </v:shape>
            <v:roundrect id="write" style="position:absolute;left:55;top:115;width:790;height:525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知识库写入链路</w:t>
                    </w:r>
                  </w:p>
                </w:txbxContent>
              </v:textbox>
            </v:roundrect>
            <v:roundrect id="w0" style="position:absolute;left:120;top:180;width:600;height:50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文件接入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Excel/Word/PDF/指标文档</w:t>
                    </w:r>
                  </w:p>
                </w:txbxContent>
              </v:textbox>
            </v:roundrect>
            <v:line id="wl0" style="position:absolute" from="420,230" to="420,248" strokecolor="#7C3AED" strokeweight="1.45pt">
              <v:stroke endarrow="block"/>
            </v:line>
            <v:roundrect id="w1" style="position:absolute;left:120;top:262;width:600;height:50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解析标准化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Parser Router → DocumentModel</w:t>
                    </w:r>
                  </w:p>
                </w:txbxContent>
              </v:textbox>
            </v:roundrect>
            <v:line id="wl1" style="position:absolute" from="420,312" to="420,330" strokecolor="#7C3AED" strokeweight="1.45pt">
              <v:stroke endarrow="block"/>
            </v:line>
            <v:roundrect id="w2" style="position:absolute;left:120;top:344;width:600;height:50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Chunk策略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按文档类型分块</w:t>
                    </w:r>
                  </w:p>
                </w:txbxContent>
              </v:textbox>
            </v:roundrect>
            <v:line id="wl2" style="position:absolute" from="420,394" to="420,412" strokecolor="#7C3AED" strokeweight="1.45pt">
              <v:stroke endarrow="block"/>
            </v:line>
            <v:roundrect id="w3" style="position:absolute;left:120;top:426;width:600;height:50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Embedding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bge-m3 批量向量化</w:t>
                    </w:r>
                  </w:p>
                </w:txbxContent>
              </v:textbox>
            </v:roundrect>
            <v:line id="wl3" style="position:absolute" from="420,476" to="420,494" strokecolor="#7C3AED" strokeweight="1.45pt">
              <v:stroke endarrow="block"/>
            </v:line>
            <v:roundrect id="w4" style="position:absolute;left:120;top:508;width:600;height:50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落库索引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rag_chunks + metadata + vector</w:t>
                    </w:r>
                  </w:p>
                </w:txbxContent>
              </v:textbox>
            </v:roundrect>
            <v:roundrect id="read" style="position:absolute;left:920;top:115;width:770;height:525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知识库检索链路</w:t>
                    </w:r>
                  </w:p>
                </w:txbxContent>
              </v:textbox>
            </v:roundrect>
            <v:roundrect id="r0" style="position:absolute;left:995;top:180;width:600;height:50" arcsize="10%" fillcolor="#FFFFFF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Query理解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抽取问题、业务域、过滤条件</w:t>
                    </w:r>
                  </w:p>
                </w:txbxContent>
              </v:textbox>
            </v:roundrect>
            <v:line id="rl0" style="position:absolute" from="1295,230" to="1295,248" strokecolor="#16A34A" strokeweight="1.45pt">
              <v:stroke endarrow="block"/>
            </v:line>
            <v:roundrect id="r1" style="position:absolute;left:995;top:262;width:600;height:50" arcsize="10%" fillcolor="#FFFFFF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检索路由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结构化过滤 / 向量召回 / 混合检索</w:t>
                    </w:r>
                  </w:p>
                </w:txbxContent>
              </v:textbox>
            </v:roundrect>
            <v:line id="rl1" style="position:absolute" from="1295,312" to="1295,330" strokecolor="#16A34A" strokeweight="1.45pt">
              <v:stroke endarrow="block"/>
            </v:line>
            <v:roundrect id="r2" style="position:absolute;left:995;top:344;width:600;height:50" arcsize="10%" fillcolor="#FFFFFF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召回候选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pgvector topK + metadata filter</w:t>
                    </w:r>
                  </w:p>
                </w:txbxContent>
              </v:textbox>
            </v:roundrect>
            <v:line id="rl2" style="position:absolute" from="1295,394" to="1295,412" strokecolor="#16A34A" strokeweight="1.45pt">
              <v:stroke endarrow="block"/>
            </v:line>
            <v:roundrect id="r3" style="position:absolute;left:995;top:426;width:600;height:50" arcsize="10%" fillcolor="#FFFFFF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重排过滤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reranker + 权限/来源过滤</w:t>
                    </w:r>
                  </w:p>
                </w:txbxContent>
              </v:textbox>
            </v:roundrect>
            <v:line id="rl3" style="position:absolute" from="1295,476" to="1295,494" strokecolor="#16A34A" strokeweight="1.45pt">
              <v:stroke endarrow="block"/>
            </v:line>
            <v:roundrect id="r4" style="position:absolute;left:995;top:508;width:600;height:50" arcsize="10%" fillcolor="#FFFFFF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上下文组装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引用片段 + source/page/chunk_id</w:t>
                    </w:r>
                  </w:p>
                </w:txbxContent>
              </v:textbox>
            </v:roundrect>
            <v:roundrect id="rules" style="position:absolute;left:235;top:610;width:1280;height:68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Chunk 分块规则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Excel知识库：结构化表优先入 master_rows，必要时按行生成chunk；Word/PDF：标题层级+语义段落；PPT：slide/section；普通文本：300-800 tokens，50-100 overlap。</w:t>
                    </w:r>
                  </w:p>
                </w:txbxContent>
              </v:textbox>
            </v:roundrect>
          </v:group>
        </w:pict>
      </w:r>
    </w:p>
    <w:p>
      <w:pPr>
        <w:jc w:val="center"/>
      </w:pPr>
      <w:r>
        <w:rPr>
          <w:color w:val="64748B"/>
          <w:sz w:val="18"/>
        </w:rPr>
        <w:t>图 3：RAG 知识库写入、Chunk 分块与检索流程</w:t>
      </w:r>
    </w:p>
    <w:p>
      <w:pPr>
        <w:pStyle w:val="Heading1"/>
        <w:spacing w:after="120"/>
      </w:pPr>
      <w:r>
        <w:t xml:space="preserve">4.1 Chunk 分块策略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知识类型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分块规则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metadata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3550" w:type="dxa"/>
          </w:tcPr>
          <w:p>
            <w:r>
              <w:t xml:space="preserve">指标口径 Word/PDF</w:t>
            </w:r>
          </w:p>
        </w:tc>
        <w:tc>
          <w:tcPr>
            <w:tcW w:w="3550" w:type="dxa"/>
          </w:tcPr>
          <w:p>
            <w:r>
              <w:t xml:space="preserve">按标题层级 + 语义段落分块，保留上下级标题路径</w:t>
            </w:r>
          </w:p>
        </w:tc>
        <w:tc>
          <w:tcPr>
            <w:tcW w:w="3550" w:type="dxa"/>
          </w:tcPr>
          <w:p>
            <w:r>
              <w:t xml:space="preserve">source_id, heading_path, page_no, chunk_type</w:t>
            </w:r>
          </w:p>
        </w:tc>
        <w:tc>
          <w:tcPr>
            <w:tcW w:w="3550" w:type="dxa"/>
          </w:tcPr>
          <w:p>
            <w:r>
              <w:t xml:space="preserve">指标推导时检索口径、维度、计算逻辑。</w:t>
            </w:r>
          </w:p>
        </w:tc>
      </w:tr>
      <w:tr>
        <w:tc>
          <w:tcPr>
            <w:tcW w:w="3550" w:type="dxa"/>
          </w:tcPr>
          <w:p>
            <w:r>
              <w:t xml:space="preserve">指标/字段 Excel</w:t>
            </w:r>
          </w:p>
        </w:tc>
        <w:tc>
          <w:tcPr>
            <w:tcW w:w="3550" w:type="dxa"/>
          </w:tcPr>
          <w:p>
            <w:r>
              <w:t xml:space="preserve">结构化表先入 schema/field 表，必要时按行生成 chunk</w:t>
            </w:r>
          </w:p>
        </w:tc>
        <w:tc>
          <w:tcPr>
            <w:tcW w:w="3550" w:type="dxa"/>
          </w:tcPr>
          <w:p>
            <w:r>
              <w:t xml:space="preserve">sheet_name, row_no, field_names, domain</w:t>
            </w:r>
          </w:p>
        </w:tc>
        <w:tc>
          <w:tcPr>
            <w:tcW w:w="3550" w:type="dxa"/>
          </w:tcPr>
          <w:p>
            <w:r>
              <w:t xml:space="preserve">业务域分类和字段语义辅助。</w:t>
            </w:r>
          </w:p>
        </w:tc>
      </w:tr>
      <w:tr>
        <w:tc>
          <w:tcPr>
            <w:tcW w:w="3550" w:type="dxa"/>
          </w:tcPr>
          <w:p>
            <w:r>
              <w:t xml:space="preserve">物料分类规则 Excel</w:t>
            </w:r>
          </w:p>
        </w:tc>
        <w:tc>
          <w:tcPr>
            <w:tcW w:w="3550" w:type="dxa"/>
          </w:tcPr>
          <w:p>
            <w:r>
              <w:t xml:space="preserve">分类编码/属性规则按行或规则组分块</w:t>
            </w:r>
          </w:p>
        </w:tc>
        <w:tc>
          <w:tcPr>
            <w:tcW w:w="3550" w:type="dxa"/>
          </w:tcPr>
          <w:p>
            <w:r>
              <w:t xml:space="preserve">category_id, attr_group, row_id</w:t>
            </w:r>
          </w:p>
        </w:tc>
        <w:tc>
          <w:tcPr>
            <w:tcW w:w="3550" w:type="dxa"/>
          </w:tcPr>
          <w:p>
            <w:r>
              <w:t xml:space="preserve">物料分类补全时检索分类规则和字段解释。</w:t>
            </w:r>
          </w:p>
        </w:tc>
      </w:tr>
      <w:tr>
        <w:tc>
          <w:tcPr>
            <w:tcW w:w="3550" w:type="dxa"/>
          </w:tcPr>
          <w:p>
            <w:r>
              <w:t xml:space="preserve">物料主数据 Excel</w:t>
            </w:r>
          </w:p>
        </w:tc>
        <w:tc>
          <w:tcPr>
            <w:tcW w:w="3550" w:type="dxa"/>
          </w:tcPr>
          <w:p>
            <w:r>
              <w:t xml:space="preserve">主路径入 master_rows，按物料ID精确查询；仅描述字段可生成 chunk</w:t>
            </w:r>
          </w:p>
        </w:tc>
        <w:tc>
          <w:tcPr>
            <w:tcW w:w="3550" w:type="dxa"/>
          </w:tcPr>
          <w:p>
            <w:r>
              <w:t xml:space="preserve">material_id, category, row_id</w:t>
            </w:r>
          </w:p>
        </w:tc>
        <w:tc>
          <w:tcPr>
            <w:tcW w:w="3550" w:type="dxa"/>
          </w:tcPr>
          <w:p>
            <w:r>
              <w:t xml:space="preserve">属性补全主路径不依赖向量。</w:t>
            </w:r>
          </w:p>
        </w:tc>
      </w:tr>
      <w:tr>
        <w:tc>
          <w:tcPr>
            <w:tcW w:w="3550" w:type="dxa"/>
          </w:tcPr>
          <w:p>
            <w:r>
              <w:t xml:space="preserve">普通文本/Markdown</w:t>
            </w:r>
          </w:p>
        </w:tc>
        <w:tc>
          <w:tcPr>
            <w:tcW w:w="3550" w:type="dxa"/>
          </w:tcPr>
          <w:p>
            <w:r>
              <w:t xml:space="preserve">300-800 tokens，50-100 overlap</w:t>
            </w:r>
          </w:p>
        </w:tc>
        <w:tc>
          <w:tcPr>
            <w:tcW w:w="3550" w:type="dxa"/>
          </w:tcPr>
          <w:p>
            <w:r>
              <w:t xml:space="preserve">source_id, section, chunk_index</w:t>
            </w:r>
          </w:p>
        </w:tc>
        <w:tc>
          <w:tcPr>
            <w:tcW w:w="3550" w:type="dxa"/>
          </w:tcPr>
          <w:p>
            <w:r>
              <w:t xml:space="preserve">通用知识解释。</w:t>
            </w:r>
          </w:p>
        </w:tc>
      </w:tr>
    </w:tbl>
    <w:p>
      <w:pPr>
        <w:pStyle w:val="Heading1"/>
        <w:spacing w:after="120"/>
      </w:pPr>
      <w:r>
        <w:t xml:space="preserve">4.2 检索策略</w:t>
      </w:r>
    </w:p>
    <w:p>
      <w:pPr>
        <w:pStyle w:val="ListParagraph"/>
        <w:ind w:left="420"/>
        <w:spacing w:after="80"/>
      </w:pPr>
      <w:r>
        <w:t xml:space="preserve">• 指标体系构建：先按业务域、表名、字段名做 metadata filter，再 pgvector 召回指标知识，rerank 后组装上下文。</w:t>
      </w:r>
    </w:p>
    <w:p>
      <w:pPr>
        <w:pStyle w:val="ListParagraph"/>
        <w:ind w:left="420"/>
        <w:spacing w:after="80"/>
      </w:pPr>
      <w:r>
        <w:t xml:space="preserve">• 物料分类补全：物料 ID/分类明确时走 PostgreSQL 精确查询；仅在字段别名、分类规则解释、低置信度候选时使用 RAG。</w:t>
      </w:r>
    </w:p>
    <w:p>
      <w:pPr>
        <w:pStyle w:val="ListParagraph"/>
        <w:ind w:left="420"/>
        <w:spacing w:after="80"/>
      </w:pPr>
      <w:r>
        <w:t xml:space="preserve">• 召回结果必须携带 source_id、chunk_id、page/row、score，进入 Validator 做引用和权限校验。</w:t>
      </w:r>
    </w:p>
    <w:p>
      <w:pPr>
        <w:pStyle w:val="Heading1"/>
        <w:spacing w:after="120"/>
      </w:pPr>
      <w:r>
        <w:t xml:space="preserve">5. 智能体状态扭转</w:t>
      </w:r>
    </w:p>
    <w:p>
      <w:r>
        <w:pict>
          <v:group style="width:760pt;height:280pt" coordsize="1750,560">
            <v:shape id="t4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1"/>
                        <w:color w:val="0F172A"/>
                      </w:rPr>
                      <w:t>智能体状态扭转图</w:t>
                    </w:r>
                  </w:p>
                  <w:p>
                    <w:r>
                      <w:rPr>
                        <w:sz w:val="17"/>
                        <w:color w:val="64748B"/>
                      </w:rPr>
                      <w:t>两类业务Agent共用基础状态，差异状态由各自模板扩展。</w:t>
                    </w:r>
                  </w:p>
                </w:txbxContent>
              </v:textbox>
            </v:shape>
            <v:roundrect id="s0" style="position:absolute;left:100;top:150;width:190;height:6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INIT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创建run/加载模板</w:t>
                    </w:r>
                  </w:p>
                </w:txbxContent>
              </v:textbox>
            </v:roundrect>
            <v:roundrect id="s1" style="position:absolute;left:360;top:150;width:190;height:6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INPUT_VALIDATED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输入校验/权限检查</w:t>
                    </w:r>
                  </w:p>
                </w:txbxContent>
              </v:textbox>
            </v:roundrect>
            <v:roundrect id="s2" style="position:absolute;left:620;top:150;width:190;height:6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PLANNED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生成执行计划</w:t>
                    </w:r>
                  </w:p>
                </w:txbxContent>
              </v:textbox>
            </v:roundrect>
            <v:roundrect id="s3" style="position:absolute;left:880;top:150;width:190;height:6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RUNNING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执行Node/Tool</w:t>
                    </w:r>
                  </w:p>
                </w:txbxContent>
              </v:textbox>
            </v:roundrect>
            <v:roundrect id="s4" style="position:absolute;left:1140;top:150;width:190;height:6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WAIT_HITL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等待人工确认</w:t>
                    </w:r>
                  </w:p>
                </w:txbxContent>
              </v:textbox>
            </v:roundrect>
            <v:roundrect id="s5" style="position:absolute;left:1400;top:150;width:190;height:6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VALIDATING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Schema/引用/权限校验</w:t>
                    </w:r>
                  </w:p>
                </w:txbxContent>
              </v:textbox>
            </v:roundrect>
            <v:roundrect id="s6" style="position:absolute;left:620;top:390;width:190;height:6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RETRYING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失败重试/回退</w:t>
                    </w:r>
                  </w:p>
                </w:txbxContent>
              </v:textbox>
            </v:roundrect>
            <v:roundrect id="s7" style="position:absolute;left:880;top:390;width:190;height:62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COMPLETED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生成最终结果</w:t>
                    </w:r>
                  </w:p>
                </w:txbxContent>
              </v:textbox>
            </v:roundrect>
            <v:roundrect id="s8" style="position:absolute;left:1140;top:390;width:190;height:62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FAILED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失败终止</w:t>
                    </w:r>
                  </w:p>
                </w:txbxContent>
              </v:textbox>
            </v:roundrect>
            <v:line id="l1" style="position:absolute" from="290,181" to="360,181" strokecolor="#64748B" strokeweight="1.45pt">
              <v:stroke endarrow="block"/>
            </v:line>
            <v:line id="l2" style="position:absolute" from="550,181" to="620,181" strokecolor="#64748B" strokeweight="1.45pt">
              <v:stroke endarrow="block"/>
            </v:line>
            <v:line id="l3" style="position:absolute" from="810,181" to="880,181" strokecolor="#64748B" strokeweight="1.45pt">
              <v:stroke endarrow="block"/>
            </v:line>
            <v:line id="l4" style="position:absolute" from="1070,181" to="1140,181" strokecolor="#64748B" strokeweight="1.45pt">
              <v:stroke endarrow="block"/>
            </v:line>
            <v:line id="l5" style="position:absolute" from="1330,181" to="1400,181" strokecolor="#64748B" strokeweight="1.45pt">
              <v:stroke endarrow="block"/>
            </v:line>
            <v:line id="l6" style="position:absolute" from="1495,212" to="975,390" strokecolor="#16A34A" strokeweight="1.45pt">
              <v:stroke endarrow="block"/>
            </v:line>
            <v:line id="l7" style="position:absolute" from="975,390" to="975,212" strokecolor="#64748B" strokeweight="1.45pt">
              <v:stroke endarrow="block"/>
            </v:line>
            <v:line id="l8" style="position:absolute" from="880,212" to="715,390" strokecolor="#D97706" strokeweight="1.45pt">
              <v:stroke endarrow="block"/>
            </v:line>
            <v:line id="l9" style="position:absolute" from="715,390" to="880,181" strokecolor="#D97706" strokeweight="1.45pt">
              <v:stroke endarrow="block"/>
            </v:line>
            <v:line id="l10" style="position:absolute" from="1070,421" to="1140,421" strokecolor="#E11D48" strokeweight="1.45pt">
              <v:stroke endarrow="block"/>
            </v:line>
            <v:roundrect id="ok" style="position:absolute;left:1450;top:250;width:96;height:28" arcsize="50%" fillcolor="#16A34A" stroked="f">
              <v:textbox inset="0,2pt,0,0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5"/>
                        <w:color w:val="FFFFFF"/>
                      </w:rPr>
                      <w:t>校验通过</w:t>
                    </w:r>
                  </w:p>
                </w:txbxContent>
              </v:textbox>
            </v:roundrect>
            <v:roundrect id="retry" style="position:absolute;left:650;top:330;width:96;height:28" arcsize="50%" fillcolor="#D97706" stroked="f">
              <v:textbox inset="0,2pt,0,0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5"/>
                        <w:color w:val="FFFFFF"/>
                      </w:rPr>
                      <w:t>可重试</w:t>
                    </w:r>
                  </w:p>
                </w:txbxContent>
              </v:textbox>
            </v:roundrect>
            <v:roundrect id="fail" style="position:absolute;left:1080;top:455;width:96;height:28" arcsize="50%" fillcolor="#E11D48" stroked="f">
              <v:textbox inset="0,2pt,0,0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5"/>
                        <w:color w:val="FFFFFF"/>
                      </w:rPr>
                      <w:t>不可恢复</w:t>
                    </w:r>
                  </w:p>
                </w:txbxContent>
              </v:textbox>
            </v:roundrect>
          </v:group>
        </w:pict>
      </w:r>
    </w:p>
    <w:p>
      <w:pPr>
        <w:jc w:val="center"/>
      </w:pPr>
      <w:r>
        <w:rPr>
          <w:color w:val="64748B"/>
          <w:sz w:val="18"/>
        </w:rPr>
        <w:t>图 4：智能体状态扭转图</w:t>
      </w:r>
    </w:p>
    <w:p>
      <w:pPr>
        <w:pStyle w:val="Heading1"/>
        <w:spacing w:after="120"/>
      </w:pPr>
      <w:r>
        <w:t xml:space="preserve">6. LangGraph Node 主题模块与链路编排</w:t>
      </w:r>
    </w:p>
    <w:p>
      <w:r>
        <w:pict>
          <v:group style="width:760pt;height:350pt" coordsize="1750,720">
            <v:shape id="t5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1"/>
                        <w:color w:val="0F172A"/>
                      </w:rPr>
                      <w:t>LangGraph Node 主题模块与链路编排</w:t>
                    </w:r>
                  </w:p>
                  <w:p>
                    <w:r>
                      <w:rPr>
                        <w:sz w:val="17"/>
                        <w:color w:val="64748B"/>
                      </w:rPr>
                      <w:t>通过公共节点 + 业务节点组合成两个Agent模板，节点之间用StateGraph串联。</w:t>
                    </w:r>
                  </w:p>
                </w:txbxContent>
              </v:textbox>
            </v:shape>
            <v:roundrect id="common" style="position:absolute;left:60;top:115;width:1630;height:155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公共节点模块</w:t>
                    </w:r>
                  </w:p>
                </w:txbxContent>
              </v:textbox>
            </v:roundrect>
            <v:roundrect id="c0" style="position:absolute;left:95;top:170;width:205;height:48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input_adapter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输入标准化</w:t>
                    </w:r>
                  </w:p>
                </w:txbxContent>
              </v:textbox>
            </v:roundrect>
            <v:line id="cl0" style="position:absolute" from="300,194" to="350,194" strokecolor="#64748B" strokeweight="1.45pt">
              <v:stroke endarrow="block"/>
            </v:line>
            <v:roundrect id="c1" style="position:absolute;left:350;top:170;width:205;height:48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policy_guard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权限/脱敏</w:t>
                    </w:r>
                  </w:p>
                </w:txbxContent>
              </v:textbox>
            </v:roundrect>
            <v:line id="cl1" style="position:absolute" from="555,194" to="605,194" strokecolor="#64748B" strokeweight="1.45pt">
              <v:stroke endarrow="block"/>
            </v:line>
            <v:roundrect id="c2" style="position:absolute;left:605;top:170;width:205;height:48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planner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计划生成</w:t>
                    </w:r>
                  </w:p>
                </w:txbxContent>
              </v:textbox>
            </v:roundrect>
            <v:line id="cl2" style="position:absolute" from="810,194" to="860,194" strokecolor="#64748B" strokeweight="1.45pt">
              <v:stroke endarrow="block"/>
            </v:line>
            <v:roundrect id="c3" style="position:absolute;left:860;top:170;width:205;height:48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tool_executor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工具执行</w:t>
                    </w:r>
                  </w:p>
                </w:txbxContent>
              </v:textbox>
            </v:roundrect>
            <v:line id="cl3" style="position:absolute" from="1065,194" to="1115,194" strokecolor="#64748B" strokeweight="1.45pt">
              <v:stroke endarrow="block"/>
            </v:line>
            <v:roundrect id="c4" style="position:absolute;left:1115;top:170;width:205;height:48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validator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结果校验</w:t>
                    </w:r>
                  </w:p>
                </w:txbxContent>
              </v:textbox>
            </v:roundrect>
            <v:line id="cl4" style="position:absolute" from="1320,194" to="1370,194" strokecolor="#64748B" strokeweight="1.45pt">
              <v:stroke endarrow="block"/>
            </v:line>
            <v:roundrect id="c5" style="position:absolute;left:1370;top:170;width:205;height:48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audit_writer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审计落库</w:t>
                    </w:r>
                  </w:p>
                </w:txbxContent>
              </v:textbox>
            </v:roundrect>
            <v:roundrect id="metric" style="position:absolute;left:60;top:320;width:780;height:240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指标体系构建 Agent 业务节点</w:t>
                    </w:r>
                  </w:p>
                </w:txbxContent>
              </v:textbox>
            </v:roundrect>
            <v:roundrect id="m0" style="position:absolute;left:95;top:375;width:190;height:44" arcsize="10%" fillcolor="#EFF6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schema_slimmer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Schema瘦身</w:t>
                    </w:r>
                  </w:p>
                </w:txbxContent>
              </v:textbox>
            </v:roundrect>
            <v:line id="ml0" style="position:absolute" from="285,397" to="330,397" strokecolor="#2563EB" strokeweight="1.45pt">
              <v:stroke endarrow="block"/>
            </v:line>
            <v:roundrect id="m1" style="position:absolute;left:330;top:375;width:190;height:44" arcsize="10%" fillcolor="#EFF6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domain_classifier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业务域分类</w:t>
                    </w:r>
                  </w:p>
                </w:txbxContent>
              </v:textbox>
            </v:roundrect>
            <v:line id="ml1" style="position:absolute" from="520,397" to="565,397" strokecolor="#2563EB" strokeweight="1.45pt">
              <v:stroke endarrow="block"/>
            </v:line>
            <v:roundrect id="m2" style="position:absolute;left:565;top:375;width:190;height:44" arcsize="10%" fillcolor="#EFF6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metric_retriever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指标RAG检索</w:t>
                    </w:r>
                  </w:p>
                </w:txbxContent>
              </v:textbox>
            </v:roundrect>
            <v:roundrect id="m3" style="position:absolute;left:95;top:460;width:190;height:44" arcsize="10%" fillcolor="#EFF6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metric_generator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指标推导</w:t>
                    </w:r>
                  </w:p>
                </w:txbxContent>
              </v:textbox>
            </v:roundrect>
            <v:line id="ml3" style="position:absolute" from="285,482" to="330,482" strokecolor="#2563EB" strokeweight="1.45pt">
              <v:stroke endarrow="block"/>
            </v:line>
            <v:roundrect id="m4" style="position:absolute;left:330;top:460;width:190;height:44" arcsize="10%" fillcolor="#EFF6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feasibility_checker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可行性复评</w:t>
                    </w:r>
                  </w:p>
                </w:txbxContent>
              </v:textbox>
            </v:roundrect>
            <v:line id="ml4" style="position:absolute" from="520,482" to="565,482" strokecolor="#2563EB" strokeweight="1.45pt">
              <v:stroke endarrow="block"/>
            </v:line>
            <v:roundrect id="m5" style="position:absolute;left:565;top:460;width:190;height:44" arcsize="10%" fillcolor="#EFF6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hitl_review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人工确认</w:t>
                    </w:r>
                  </w:p>
                </w:txbxContent>
              </v:textbox>
            </v:roundrect>
            <v:roundrect id="fill" style="position:absolute;left:900;top:320;width:790;height:240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物料分类补全 Agent 业务节点</w:t>
                    </w:r>
                  </w:p>
                </w:txbxContent>
              </v:textbox>
            </v:roundrect>
            <v:roundrect id="f0" style="position:absolute;left:935;top:375;width:190;height:44" arcsize="10%" fillcolor="#F0FDF4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parse_excel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解析Excel</w:t>
                    </w:r>
                  </w:p>
                </w:txbxContent>
              </v:textbox>
            </v:roundrect>
            <v:line id="fl0" style="position:absolute" from="1125,397" to="1170,397" strokecolor="#16A34A" strokeweight="1.45pt">
              <v:stroke endarrow="block"/>
            </v:line>
            <v:roundrect id="f1" style="position:absolute;left:1170;top:375;width:190;height:44" arcsize="10%" fillcolor="#F0FDF4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detect_key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识别物料ID/分类</w:t>
                    </w:r>
                  </w:p>
                </w:txbxContent>
              </v:textbox>
            </v:roundrect>
            <v:line id="fl1" style="position:absolute" from="1360,397" to="1405,397" strokecolor="#16A34A" strokeweight="1.45pt">
              <v:stroke endarrow="block"/>
            </v:line>
            <v:roundrect id="f2" style="position:absolute;left:1405;top:375;width:190;height:44" arcsize="10%" fillcolor="#F0FDF4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exact_lookup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知识库精确匹配</w:t>
                    </w:r>
                  </w:p>
                </w:txbxContent>
              </v:textbox>
            </v:roundrect>
            <v:roundrect id="f3" style="position:absolute;left:935;top:460;width:190;height:44" arcsize="10%" fillcolor="#F0FDF4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fill_attrs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属性回填</w:t>
                    </w:r>
                  </w:p>
                </w:txbxContent>
              </v:textbox>
            </v:roundrect>
            <v:line id="fl3" style="position:absolute" from="1125,482" to="1170,482" strokecolor="#16A34A" strokeweight="1.45pt">
              <v:stroke endarrow="block"/>
            </v:line>
            <v:roundrect id="f4" style="position:absolute;left:1170;top:460;width:190;height:44" arcsize="10%" fillcolor="#F0FDF4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diff_validate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差异校验</w:t>
                    </w:r>
                  </w:p>
                </w:txbxContent>
              </v:textbox>
            </v:roundrect>
            <v:line id="fl4" style="position:absolute" from="1360,482" to="1405,482" strokecolor="#16A34A" strokeweight="1.45pt">
              <v:stroke endarrow="block"/>
            </v:line>
            <v:roundrect id="f5" style="position:absolute;left:1405;top:460;width:190;height:44" arcsize="10%" fillcolor="#F0FDF4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export_report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导出结果</w:t>
                    </w:r>
                  </w:p>
                </w:txbxContent>
              </v:textbox>
            </v:roundrect>
            <v:roundrect id="state" style="position:absolute;left:390;top:620;width:960;height:58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GraphState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run_id · task_context · plan · memory · tool_results · retrieval_context · model_outputs · validation_errors · final_result</w:t>
                    </w:r>
                  </w:p>
                </w:txbxContent>
              </v:textbox>
            </v:roundrect>
          </v:group>
        </w:pict>
      </w:r>
    </w:p>
    <w:p>
      <w:pPr>
        <w:jc w:val="center"/>
      </w:pPr>
      <w:r>
        <w:rPr>
          <w:color w:val="64748B"/>
          <w:sz w:val="18"/>
        </w:rPr>
        <w:t>图 5：LangGraph Node 主题模块与链路编排</w:t>
      </w:r>
    </w:p>
    <w:p>
      <w:pPr>
        <w:pStyle w:val="Heading1"/>
        <w:spacing w:after="120"/>
      </w:pPr>
      <w:r>
        <w:t xml:space="preserve">6.1 LangGraph 构建方式</w:t>
      </w:r>
    </w:p>
    <w:p>
      <w:pPr>
        <w:shd w:fill="F8FAFC"/>
        <w:spacing w:after="120"/>
      </w:pPr>
      <w:r>
        <w:rPr>
          <w:rFonts w:ascii="Consolas" w:eastAsia="Consolas"/>
          <w:sz w:val="17"/>
        </w:rPr>
        <w:t xml:space="preserve">GraphState 核心字段：
run_id, agent_type, task_context, security_context, plan,
memory, tool_results, retrieval_context, model_outputs,
validation_errors, human_feedback, final_result
公共节点：
input_adapter -&gt; policy_guard -&gt; planner -&gt; tool_executor -&gt; validator -&gt; audit_writer
指标体系构建业务节点：
schema_slimmer -&gt; domain_classifier -&gt; metric_retriever -&gt; metric_generator -&gt; feasibility_checker -&gt; hitl_review
物料分类补全业务节点：
parse_excel -&gt; detect_key -&gt; exact_lookup -&gt; fill_attrs -&gt; diff_validate -&gt; export_report</w:t>
      </w:r>
    </w:p>
    <w:p>
      <w:pPr>
        <w:pStyle w:val="Heading1"/>
        <w:spacing w:after="120"/>
      </w:pPr>
      <w:r>
        <w:t xml:space="preserve">7. 短期记忆与长期记忆设计</w:t>
      </w:r>
    </w:p>
    <w:p>
      <w:r>
        <w:pict>
          <v:group style="width:760pt;height:330pt" coordsize="1750,700">
            <v:shape id="t6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1"/>
                        <w:color w:val="0F172A"/>
                      </w:rPr>
                      <w:t>短期记忆与长期记忆设计</w:t>
                    </w:r>
                  </w:p>
                  <w:p>
                    <w:r>
                      <w:rPr>
                        <w:sz w:val="17"/>
                        <w:color w:val="64748B"/>
                      </w:rPr>
                      <w:t>两个需求都需要记忆，但记忆用途不同：指标构建偏过程上下文，物料补全偏批次与字段映射。</w:t>
                    </w:r>
                  </w:p>
                </w:txbxContent>
              </v:textbox>
            </v:shape>
            <v:roundrect id="short" style="position:absolute;left:70;top:120;width:760;height:430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短期记忆：Run / Session Scope</w:t>
                    </w:r>
                  </w:p>
                </w:txbxContent>
              </v:textbox>
            </v:roundrect>
            <v:roundrect id="s1" style="position:absolute;left:130;top:190;width:260;height:60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Conversation / Task Buffer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当前任务输入、用户反馈</w:t>
                    </w:r>
                  </w:p>
                </w:txbxContent>
              </v:textbox>
            </v:roundrect>
            <v:roundrect id="s2" style="position:absolute;left:440;top:190;width:300;height:60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LangGraph Checkpoint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节点状态、工具结果、错误</w:t>
                    </w:r>
                  </w:p>
                </w:txbxContent>
              </v:textbox>
            </v:roundrect>
            <v:roundrect id="s3" style="position:absolute;left:130;top:330;width:260;height:60" arcsize="10%" fillcolor="#F3E8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Retrieval Context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本轮召回chunk/schema</w:t>
                    </w:r>
                  </w:p>
                </w:txbxContent>
              </v:textbox>
            </v:roundrect>
            <v:roundrect id="s4" style="position:absolute;left:440;top:330;width:300;height:60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Working Memory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中间指标候选/待补全行</w:t>
                    </w:r>
                  </w:p>
                </w:txbxContent>
              </v:textbox>
            </v:roundrect>
            <v:line id="sl1" style="position:absolute" from="390,220" to="440,220" strokecolor="#64748B" strokeweight="1.45pt">
              <v:stroke endarrow="block"/>
            </v:line>
            <v:line id="sl2" style="position:absolute" from="390,360" to="440,360" strokecolor="#64748B" strokeweight="1.45pt">
              <v:stroke endarrow="block"/>
            </v:line>
            <v:roundrect id="long" style="position:absolute;left:920;top:120;width:760;height:430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长期记忆：Project / Domain Scope</w:t>
                    </w:r>
                  </w:p>
                </w:txbxContent>
              </v:textbox>
            </v:roundrect>
            <v:roundrect id="l1" style="position:absolute;left:980;top:190;width:260;height:60" arcsize="10%" fillcolor="#F0FDF4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Field Dictionary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字段别名、主键映射</w:t>
                    </w:r>
                  </w:p>
                </w:txbxContent>
              </v:textbox>
            </v:roundrect>
            <v:roundrect id="l2" style="position:absolute;left:1290;top:190;width:300;height:60" arcsize="10%" fillcolor="#F3E8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Knowledge Collections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指标知识、物料分类规则</w:t>
                    </w:r>
                  </w:p>
                </w:txbxContent>
              </v:textbox>
            </v:roundrect>
            <v:roundrect id="l3" style="position:absolute;left:980;top:330;width:260;height:60" arcsize="10%" fillcolor="#ECFDF5" strokecolor="#059669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Historical Runs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人工确认、错误样本</w:t>
                    </w:r>
                  </w:p>
                </w:txbxContent>
              </v:textbox>
            </v:roundrect>
            <v:roundrect id="l4" style="position:absolute;left:1290;top:330;width:300;height:60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Evaluation Cases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golden cases、回归基线</w:t>
                    </w:r>
                  </w:p>
                </w:txbxContent>
              </v:textbox>
            </v:roundrect>
            <v:line id="ll1" style="position:absolute" from="1240,220" to="1290,220" strokecolor="#64748B" strokeweight="1.45pt">
              <v:stroke endarrow="block"/>
            </v:line>
            <v:line id="ll2" style="position:absolute" from="1240,360" to="1290,360" strokecolor="#64748B" strokeweight="1.45pt">
              <v:stroke endarrow="block"/>
            </v:line>
            <v:roundrect id="rule" style="position:absolute;left:330;top:605;width:1080;height:58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记忆写入策略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短期记忆随run结束归档；长期记忆只写入人工确认过的字段映射、指标口径、错误样本和评测样本。</w:t>
                    </w:r>
                  </w:p>
                </w:txbxContent>
              </v:textbox>
            </v:roundrect>
          </v:group>
        </w:pict>
      </w:r>
    </w:p>
    <w:p>
      <w:pPr>
        <w:jc w:val="center"/>
      </w:pPr>
      <w:r>
        <w:rPr>
          <w:color w:val="64748B"/>
          <w:sz w:val="18"/>
        </w:rPr>
        <w:t>图 6：短期记忆与长期记忆设计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记忆类型</w:t>
            </w:r>
          </w:p>
        </w:tc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存储位置</w:t>
            </w:r>
          </w:p>
        </w:tc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写入内容</w:t>
            </w:r>
          </w:p>
        </w:tc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读取场景</w:t>
            </w:r>
          </w:p>
        </w:tc>
        <w:tc>
          <w:tcPr>
            <w:tcW w:w="2840" w:type="dxa"/>
            <w:shd w:fill="E2E8F0"/>
          </w:tcPr>
          <w:p>
            <w:r>
              <w:rPr>
                <w:b/>
              </w:rPr>
              <w:t xml:space="preserve">治理规则</w:t>
            </w:r>
          </w:p>
        </w:tc>
      </w:tr>
      <w:tr>
        <w:tc>
          <w:tcPr>
            <w:tcW w:w="2840" w:type="dxa"/>
          </w:tcPr>
          <w:p>
            <w:r>
              <w:t xml:space="preserve">短期记忆</w:t>
            </w:r>
          </w:p>
        </w:tc>
        <w:tc>
          <w:tcPr>
            <w:tcW w:w="2840" w:type="dxa"/>
          </w:tcPr>
          <w:p>
            <w:r>
              <w:t xml:space="preserve">LangGraph checkpoint / Redis / agent_runs.task_context</w:t>
            </w:r>
          </w:p>
        </w:tc>
        <w:tc>
          <w:tcPr>
            <w:tcW w:w="2840" w:type="dxa"/>
          </w:tcPr>
          <w:p>
            <w:r>
              <w:t xml:space="preserve">本次任务输入、中间计划、工具结果、召回上下文、待确认项</w:t>
            </w:r>
          </w:p>
        </w:tc>
        <w:tc>
          <w:tcPr>
            <w:tcW w:w="2840" w:type="dxa"/>
          </w:tcPr>
          <w:p>
            <w:r>
              <w:t xml:space="preserve">节点重试、人工确认后继续执行、SSE 状态展示</w:t>
            </w:r>
          </w:p>
        </w:tc>
        <w:tc>
          <w:tcPr>
            <w:tcW w:w="2840" w:type="dxa"/>
          </w:tcPr>
          <w:p>
            <w:r>
              <w:t xml:space="preserve">run 结束后归档，敏感字段脱敏。</w:t>
            </w:r>
          </w:p>
        </w:tc>
      </w:tr>
      <w:tr>
        <w:tc>
          <w:tcPr>
            <w:tcW w:w="2840" w:type="dxa"/>
          </w:tcPr>
          <w:p>
            <w:r>
              <w:t xml:space="preserve">长期记忆</w:t>
            </w:r>
          </w:p>
        </w:tc>
        <w:tc>
          <w:tcPr>
            <w:tcW w:w="2840" w:type="dxa"/>
          </w:tcPr>
          <w:p>
            <w:r>
              <w:t xml:space="preserve">PostgreSQL: field_dictionary, metric_artifacts, evaluation_cases, historical_feedback</w:t>
            </w:r>
          </w:p>
        </w:tc>
        <w:tc>
          <w:tcPr>
            <w:tcW w:w="2840" w:type="dxa"/>
          </w:tcPr>
          <w:p>
            <w:r>
              <w:t xml:space="preserve">人工确认过的字段别名、指标口径、物料分类映射、错误样本、评测样本</w:t>
            </w:r>
          </w:p>
        </w:tc>
        <w:tc>
          <w:tcPr>
            <w:tcW w:w="2840" w:type="dxa"/>
          </w:tcPr>
          <w:p>
            <w:r>
              <w:t xml:space="preserve">后续任务字段映射、指标推导、分类补全、回归评测</w:t>
            </w:r>
          </w:p>
        </w:tc>
        <w:tc>
          <w:tcPr>
            <w:tcW w:w="2840" w:type="dxa"/>
          </w:tcPr>
          <w:p>
            <w:r>
              <w:t xml:space="preserve">只写人工确认/高置信结果，版本化管理。</w:t>
            </w:r>
          </w:p>
        </w:tc>
      </w:tr>
    </w:tbl>
    <w:p>
      <w:pPr>
        <w:pStyle w:val="Heading1"/>
        <w:spacing w:after="120"/>
      </w:pPr>
      <w:r>
        <w:t xml:space="preserve">8. Tool / MCP / Skill 使用设计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能力类型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定位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在指标 Agent 中的用法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在物料补全 Agent 中的用法</w:t>
            </w:r>
          </w:p>
        </w:tc>
      </w:tr>
      <w:tr>
        <w:tc>
          <w:tcPr>
            <w:tcW w:w="3550" w:type="dxa"/>
          </w:tcPr>
          <w:p>
            <w:r>
              <w:t xml:space="preserve">Tool</w:t>
            </w:r>
          </w:p>
        </w:tc>
        <w:tc>
          <w:tcPr>
            <w:tcW w:w="3550" w:type="dxa"/>
          </w:tcPr>
          <w:p>
            <w:r>
              <w:t xml:space="preserve">单个确定性能力，强输入输出 Schema</w:t>
            </w:r>
          </w:p>
        </w:tc>
        <w:tc>
          <w:tcPr>
            <w:tcW w:w="3550" w:type="dxa"/>
          </w:tcPr>
          <w:p>
            <w:r>
              <w:t xml:space="preserve">schema_lookup、metric_rag_search、sql_advisor、feasibility_check</w:t>
            </w:r>
          </w:p>
        </w:tc>
        <w:tc>
          <w:tcPr>
            <w:tcW w:w="3550" w:type="dxa"/>
          </w:tcPr>
          <w:p>
            <w:r>
              <w:t xml:space="preserve">excel_parse、detect_key_column、exact_material_lookup、fill_excel_export</w:t>
            </w:r>
          </w:p>
        </w:tc>
      </w:tr>
      <w:tr>
        <w:tc>
          <w:tcPr>
            <w:tcW w:w="3550" w:type="dxa"/>
          </w:tcPr>
          <w:p>
            <w:r>
              <w:t xml:space="preserve">MCP</w:t>
            </w:r>
          </w:p>
        </w:tc>
        <w:tc>
          <w:tcPr>
            <w:tcW w:w="3550" w:type="dxa"/>
          </w:tcPr>
          <w:p>
            <w:r>
              <w:t xml:space="preserve">把外部系统能力标准化暴露给 Agent</w:t>
            </w:r>
          </w:p>
        </w:tc>
        <w:tc>
          <w:tcPr>
            <w:tcW w:w="3550" w:type="dxa"/>
          </w:tcPr>
          <w:p>
            <w:r>
              <w:t xml:space="preserve">database-mcp 查询表结构、metadata-mcp 查询数据资产</w:t>
            </w:r>
          </w:p>
        </w:tc>
        <w:tc>
          <w:tcPr>
            <w:tcW w:w="3550" w:type="dxa"/>
          </w:tcPr>
          <w:p>
            <w:r>
              <w:t xml:space="preserve">file-mcp 读写 Excel、database-mcp 批量查询物料知识库</w:t>
            </w:r>
          </w:p>
        </w:tc>
      </w:tr>
      <w:tr>
        <w:tc>
          <w:tcPr>
            <w:tcW w:w="3550" w:type="dxa"/>
          </w:tcPr>
          <w:p>
            <w:r>
              <w:t xml:space="preserve">Skill</w:t>
            </w:r>
          </w:p>
        </w:tc>
        <w:tc>
          <w:tcPr>
            <w:tcW w:w="3550" w:type="dxa"/>
          </w:tcPr>
          <w:p>
            <w:r>
              <w:t xml:space="preserve">可复用专家流程/规则包</w:t>
            </w:r>
          </w:p>
        </w:tc>
        <w:tc>
          <w:tcPr>
            <w:tcW w:w="3550" w:type="dxa"/>
          </w:tcPr>
          <w:p>
            <w:r>
              <w:t xml:space="preserve">schema_slimming、metric_feasibility_check、metric_json_validate</w:t>
            </w:r>
          </w:p>
        </w:tc>
        <w:tc>
          <w:tcPr>
            <w:tcW w:w="3550" w:type="dxa"/>
          </w:tcPr>
          <w:p>
            <w:r>
              <w:t xml:space="preserve">excel_key_enrichment、field_alias_learning、diff_report_generate</w:t>
            </w:r>
          </w:p>
        </w:tc>
      </w:tr>
      <w:tr>
        <w:tc>
          <w:tcPr>
            <w:tcW w:w="3550" w:type="dxa"/>
          </w:tcPr>
          <w:p>
            <w:r>
              <w:t xml:space="preserve">Prompt/Schema</w:t>
            </w:r>
          </w:p>
        </w:tc>
        <w:tc>
          <w:tcPr>
            <w:tcW w:w="3550" w:type="dxa"/>
          </w:tcPr>
          <w:p>
            <w:r>
              <w:t xml:space="preserve">约束模型输出和工具参数</w:t>
            </w:r>
          </w:p>
        </w:tc>
        <w:tc>
          <w:tcPr>
            <w:tcW w:w="3550" w:type="dxa"/>
          </w:tcPr>
          <w:p>
            <w:r>
              <w:t xml:space="preserve">指标体系 JSON Schema、口径解释 Prompt</w:t>
            </w:r>
          </w:p>
        </w:tc>
        <w:tc>
          <w:tcPr>
            <w:tcW w:w="3550" w:type="dxa"/>
          </w:tcPr>
          <w:p>
            <w:r>
              <w:t xml:space="preserve">补全报告 Schema、异常说明 Prompt</w:t>
            </w:r>
          </w:p>
        </w:tc>
      </w:tr>
    </w:tbl>
    <w:p>
      <w:pPr>
        <w:pStyle w:val="Heading1"/>
        <w:spacing w:after="120"/>
      </w:pPr>
      <w:r>
        <w:t xml:space="preserve">9. 核心数据表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表名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关键字段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4733" w:type="dxa"/>
          </w:tcPr>
          <w:p>
            <w:r>
              <w:t xml:space="preserve">agent_templates</w:t>
            </w:r>
          </w:p>
        </w:tc>
        <w:tc>
          <w:tcPr>
            <w:tcW w:w="4733" w:type="dxa"/>
          </w:tcPr>
          <w:p>
            <w:r>
              <w:t xml:space="preserve">agent_type, version, graph_config, input_schema, output_schema</w:t>
            </w:r>
          </w:p>
        </w:tc>
        <w:tc>
          <w:tcPr>
            <w:tcW w:w="4733" w:type="dxa"/>
          </w:tcPr>
          <w:p>
            <w:r>
              <w:t xml:space="preserve">两个 Agent 的模板配置。</w:t>
            </w:r>
          </w:p>
        </w:tc>
      </w:tr>
      <w:tr>
        <w:tc>
          <w:tcPr>
            <w:tcW w:w="4733" w:type="dxa"/>
          </w:tcPr>
          <w:p>
            <w:r>
              <w:t xml:space="preserve">agent_runs</w:t>
            </w:r>
          </w:p>
        </w:tc>
        <w:tc>
          <w:tcPr>
            <w:tcW w:w="4733" w:type="dxa"/>
          </w:tcPr>
          <w:p>
            <w:r>
              <w:t xml:space="preserve">run_id, agent_type, status, task_context, final_result</w:t>
            </w:r>
          </w:p>
        </w:tc>
        <w:tc>
          <w:tcPr>
            <w:tcW w:w="4733" w:type="dxa"/>
          </w:tcPr>
          <w:p>
            <w:r>
              <w:t xml:space="preserve">执行主记录与短期记忆归档。</w:t>
            </w:r>
          </w:p>
        </w:tc>
      </w:tr>
      <w:tr>
        <w:tc>
          <w:tcPr>
            <w:tcW w:w="4733" w:type="dxa"/>
          </w:tcPr>
          <w:p>
            <w:r>
              <w:t xml:space="preserve">tool_calls</w:t>
            </w:r>
          </w:p>
        </w:tc>
        <w:tc>
          <w:tcPr>
            <w:tcW w:w="4733" w:type="dxa"/>
          </w:tcPr>
          <w:p>
            <w:r>
              <w:t xml:space="preserve">run_id, node_id, tool_name, args_hash, result_ref, latency_ms, status</w:t>
            </w:r>
          </w:p>
        </w:tc>
        <w:tc>
          <w:tcPr>
            <w:tcW w:w="4733" w:type="dxa"/>
          </w:tcPr>
          <w:p>
            <w:r>
              <w:t xml:space="preserve">工具调用审计与回放。</w:t>
            </w:r>
          </w:p>
        </w:tc>
      </w:tr>
      <w:tr>
        <w:tc>
          <w:tcPr>
            <w:tcW w:w="4733" w:type="dxa"/>
          </w:tcPr>
          <w:p>
            <w:r>
              <w:t xml:space="preserve">model_calls</w:t>
            </w:r>
          </w:p>
        </w:tc>
        <w:tc>
          <w:tcPr>
            <w:tcW w:w="4733" w:type="dxa"/>
          </w:tcPr>
          <w:p>
            <w:r>
              <w:t xml:space="preserve">run_id, model_name, task_type, token_in, token_out, latency_ms, cost</w:t>
            </w:r>
          </w:p>
        </w:tc>
        <w:tc>
          <w:tcPr>
            <w:tcW w:w="4733" w:type="dxa"/>
          </w:tcPr>
          <w:p>
            <w:r>
              <w:t xml:space="preserve">模型调用记录与成本分析。</w:t>
            </w:r>
          </w:p>
        </w:tc>
      </w:tr>
      <w:tr>
        <w:tc>
          <w:tcPr>
            <w:tcW w:w="4733" w:type="dxa"/>
          </w:tcPr>
          <w:p>
            <w:r>
              <w:t xml:space="preserve">rag_chunks</w:t>
            </w:r>
          </w:p>
        </w:tc>
        <w:tc>
          <w:tcPr>
            <w:tcW w:w="4733" w:type="dxa"/>
          </w:tcPr>
          <w:p>
            <w:r>
              <w:t xml:space="preserve">chunk_id, collection_id, chunk_text, embedding, metadata, source_ref</w:t>
            </w:r>
          </w:p>
        </w:tc>
        <w:tc>
          <w:tcPr>
            <w:tcW w:w="4733" w:type="dxa"/>
          </w:tcPr>
          <w:p>
            <w:r>
              <w:t xml:space="preserve">RAG 检索主表。</w:t>
            </w:r>
          </w:p>
        </w:tc>
      </w:tr>
      <w:tr>
        <w:tc>
          <w:tcPr>
            <w:tcW w:w="4733" w:type="dxa"/>
          </w:tcPr>
          <w:p>
            <w:r>
              <w:t xml:space="preserve">material_master_rows</w:t>
            </w:r>
          </w:p>
        </w:tc>
        <w:tc>
          <w:tcPr>
            <w:tcW w:w="4733" w:type="dxa"/>
          </w:tcPr>
          <w:p>
            <w:r>
              <w:t xml:space="preserve">row_id, material_id, category_id, row_json, indexed_fields</w:t>
            </w:r>
          </w:p>
        </w:tc>
        <w:tc>
          <w:tcPr>
            <w:tcW w:w="4733" w:type="dxa"/>
          </w:tcPr>
          <w:p>
            <w:r>
              <w:t xml:space="preserve">物料知识库快照和精确补全数据。</w:t>
            </w:r>
          </w:p>
        </w:tc>
      </w:tr>
      <w:tr>
        <w:tc>
          <w:tcPr>
            <w:tcW w:w="4733" w:type="dxa"/>
          </w:tcPr>
          <w:p>
            <w:r>
              <w:t xml:space="preserve">material_enrichment_results</w:t>
            </w:r>
          </w:p>
        </w:tc>
        <w:tc>
          <w:tcPr>
            <w:tcW w:w="4733" w:type="dxa"/>
          </w:tcPr>
          <w:p>
            <w:r>
              <w:t xml:space="preserve">run_id, row_no, material_id, match_status, filled_json, diff_json</w:t>
            </w:r>
          </w:p>
        </w:tc>
        <w:tc>
          <w:tcPr>
            <w:tcW w:w="4733" w:type="dxa"/>
          </w:tcPr>
          <w:p>
            <w:r>
              <w:t xml:space="preserve">物料补全结果。</w:t>
            </w:r>
          </w:p>
        </w:tc>
      </w:tr>
      <w:tr>
        <w:tc>
          <w:tcPr>
            <w:tcW w:w="4733" w:type="dxa"/>
          </w:tcPr>
          <w:p>
            <w:r>
              <w:t xml:space="preserve">metric_artifacts</w:t>
            </w:r>
          </w:p>
        </w:tc>
        <w:tc>
          <w:tcPr>
            <w:tcW w:w="4733" w:type="dxa"/>
          </w:tcPr>
          <w:p>
            <w:r>
              <w:t xml:space="preserve">artifact_id, run_id, domain, metric_json, review_status, version</w:t>
            </w:r>
          </w:p>
        </w:tc>
        <w:tc>
          <w:tcPr>
            <w:tcW w:w="4733" w:type="dxa"/>
          </w:tcPr>
          <w:p>
            <w:r>
              <w:t xml:space="preserve">指标体系构建产物。</w:t>
            </w:r>
          </w:p>
        </w:tc>
      </w:tr>
      <w:tr>
        <w:tc>
          <w:tcPr>
            <w:tcW w:w="4733" w:type="dxa"/>
          </w:tcPr>
          <w:p>
            <w:r>
              <w:t xml:space="preserve">field_dictionary</w:t>
            </w:r>
          </w:p>
        </w:tc>
        <w:tc>
          <w:tcPr>
            <w:tcW w:w="4733" w:type="dxa"/>
          </w:tcPr>
          <w:p>
            <w:r>
              <w:t xml:space="preserve">field_name, aliases, business_domain, confirmed_by, version</w:t>
            </w:r>
          </w:p>
        </w:tc>
        <w:tc>
          <w:tcPr>
            <w:tcW w:w="4733" w:type="dxa"/>
          </w:tcPr>
          <w:p>
            <w:r>
              <w:t xml:space="preserve">长期记忆：字段别名和映射。</w:t>
            </w:r>
          </w:p>
        </w:tc>
      </w:tr>
      <w:tr>
        <w:tc>
          <w:tcPr>
            <w:tcW w:w="4733" w:type="dxa"/>
          </w:tcPr>
          <w:p>
            <w:r>
              <w:t xml:space="preserve">evaluation_cases</w:t>
            </w:r>
          </w:p>
        </w:tc>
        <w:tc>
          <w:tcPr>
            <w:tcW w:w="4733" w:type="dxa"/>
          </w:tcPr>
          <w:p>
            <w:r>
              <w:t xml:space="preserve">case_id, agent_type, input, expected, scoring_rule, tags</w:t>
            </w:r>
          </w:p>
        </w:tc>
        <w:tc>
          <w:tcPr>
            <w:tcW w:w="4733" w:type="dxa"/>
          </w:tcPr>
          <w:p>
            <w:r>
              <w:t xml:space="preserve">回归评测样本。</w:t>
            </w:r>
          </w:p>
        </w:tc>
      </w:tr>
    </w:tbl>
    <w:p>
      <w:pPr>
        <w:pStyle w:val="Heading1"/>
        <w:spacing w:after="120"/>
      </w:pPr>
      <w:r>
        <w:t xml:space="preserve">10. 部署架构</w:t>
      </w:r>
    </w:p>
    <w:p>
      <w:r>
        <w:pict>
          <v:group style="width:760pt;height:390pt" coordsize="1750,820">
            <v:shape id="t7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1"/>
                        <w:color w:val="0F172A"/>
                      </w:rPr>
                      <w:t>部署架构与离线交付</w:t>
                    </w:r>
                  </w:p>
                  <w:p>
                    <w:r>
                      <w:rPr>
                        <w:sz w:val="17"/>
                        <w:color w:val="64748B"/>
                      </w:rPr>
                      <w:t>单机虚机起步，模型确认后切换GPU推理；所有依赖以离线包交付。</w:t>
                    </w:r>
                  </w:p>
                </w:txbxContent>
              </v:textbox>
            </v:shape>
            <v:roundrect id="vm" style="position:absolute;left:60;top:115;width:1630;height:535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内网虚拟机 / Docker Compose 部署</w:t>
                    </w:r>
                  </w:p>
                </w:txbxContent>
              </v:textbox>
            </v:roundrect>
            <v:roundrect id="c0" style="position:absolute;left:105;top:180;width:215;height:88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Nginx/APISIX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TLS/Auth/Limit</w:t>
                    </w:r>
                  </w:p>
                </w:txbxContent>
              </v:textbox>
            </v:roundrect>
            <v:roundrect id="c1" style="position:absolute;left:380;top:180;width:215;height:88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agent-api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FastAPI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REST/SSE</w:t>
                    </w:r>
                  </w:p>
                </w:txbxContent>
              </v:textbox>
            </v:roundrect>
            <v:roundrect id="c2" style="position:absolute;left:655;top:180;width:215;height:88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agent-worker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LangGraph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Celery/RQ</w:t>
                    </w:r>
                  </w:p>
                </w:txbxContent>
              </v:textbox>
            </v:roundrect>
            <v:roundrect id="c3" style="position:absolute;left:930;top:180;width:215;height:88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knowledge-worker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Parser/Chunk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Embedding</w:t>
                    </w:r>
                  </w:p>
                </w:txbxContent>
              </v:textbox>
            </v:roundrect>
            <v:roundrect id="c4" style="position:absolute;left:1205;top:180;width:215;height:88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model-gateway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llama.cpp/API/vLLM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OpenAI接口</w:t>
                    </w:r>
                  </w:p>
                </w:txbxContent>
              </v:textbox>
            </v:roundrect>
            <v:roundrect id="c5" style="position:absolute;left:105;top:400;width:215;height:88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PostgreSQL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pgvector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业务/审计表</w:t>
                    </w:r>
                  </w:p>
                </w:txbxContent>
              </v:textbox>
            </v:roundrect>
            <v:roundrect id="c6" style="position:absolute;left:380;top:400;width:215;height:88" arcsize="10%" fillcolor="#FFFFFF" strokecolor="#EA580C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Redis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cache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queue</w:t>
                    </w:r>
                  </w:p>
                </w:txbxContent>
              </v:textbox>
            </v:roundrect>
            <v:roundrect id="c7" style="position:absolute;left:655;top:400;width:215;height:88" arcsize="10%" fillcolor="#FFFFFF" strokecolor="#0284C7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File/Model Repo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原始文件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离线包/模型</w:t>
                    </w:r>
                  </w:p>
                </w:txbxContent>
              </v:textbox>
            </v:roundrect>
            <v:roundrect id="c8" style="position:absolute;left:930;top:400;width:215;height:88" arcsize="10%" fillcolor="#FFFFFF" strokecolor="#059669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Observability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Prom/Grafana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Phoenix</w:t>
                    </w:r>
                  </w:p>
                </w:txbxContent>
              </v:textbox>
            </v:roundrect>
            <v:roundrect id="c9" style="position:absolute;left:1205;top:400;width:215;height:88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Evaluation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golden cases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gray/rollback</w:t>
                    </w:r>
                  </w:p>
                </w:txbxContent>
              </v:textbox>
            </v:roundrect>
            <v:line id="d1" style="position:absolute" from="320,224" to="380,224" strokecolor="#64748B" strokeweight="1.45pt">
              <v:stroke endarrow="block"/>
            </v:line>
            <v:line id="d2" style="position:absolute" from="595,224" to="655,224" strokecolor="#64748B" strokeweight="1.45pt">
              <v:stroke endarrow="block"/>
            </v:line>
            <v:line id="d3" style="position:absolute" from="870,224" to="930,224" strokecolor="#64748B" strokeweight="1.45pt">
              <v:stroke endarrow="block"/>
            </v:line>
            <v:line id="d4" style="position:absolute" from="1145,224" to="1205,224" strokecolor="#64748B" strokeweight="1.45pt">
              <v:stroke endarrow="block"/>
            </v:line>
            <v:line id="d5" style="position:absolute" from="760,268" to="760,400" strokecolor="#64748B" strokeweight="1.45pt">
              <v:stroke endarrow="block"/>
            </v:line>
            <v:line id="d6" style="position:absolute" from="1035,268" to="1035,400" strokecolor="#64748B" strokeweight="1.45pt">
              <v:stroke endarrow="block"/>
            </v:line>
            <v:line id="d7" style="position:absolute" from="485,268" to="485,400" strokecolor="#64748B" strokeweight="1.45pt">
              <v:stroke endarrow="block"/>
            </v:line>
            <v:roundrect id="conf1" style="position:absolute;left:105;top:700;width:660;height:6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CPU验证配置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16C/64GB/500GB SSD：验证功能链路，不承诺模型推理延迟</w:t>
                    </w:r>
                  </w:p>
                </w:txbxContent>
              </v:textbox>
            </v:roundrect>
            <v:roundrect id="conf2" style="position:absolute;left:910;top:700;width:660;height:6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GPU生产建议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32C/128GB/2TB SSD + L20 48GB 或 A100 40GB，按模型压测确认</w:t>
                    </w:r>
                  </w:p>
                </w:txbxContent>
              </v:textbox>
            </v:roundrect>
          </v:group>
        </w:pict>
      </w:r>
    </w:p>
    <w:p>
      <w:pPr>
        <w:jc w:val="center"/>
      </w:pPr>
      <w:r>
        <w:rPr>
          <w:color w:val="64748B"/>
          <w:sz w:val="18"/>
        </w:rPr>
        <w:t>图 7：部署架构与离线交付</w:t>
      </w:r>
    </w:p>
    <w:sectPr>
      <w:pgSz w:w="16838" w:h="11906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 Unicode MS" w:eastAsia="Arial Unicode MS"/>
      <w:sz w:val="21"/>
    </w:rPr>
  </w:style>
  <w:style w:type="paragraph" w:styleId="Heading1">
    <w:name w:val="heading 1"/>
    <w:basedOn w:val="Normal"/>
    <w:rPr>
      <w:b/>
      <w:sz w:val="36"/>
      <w:color w:val="0F172A"/>
    </w:rPr>
  </w:style>
  <w:style w:type="paragraph" w:styleId="Heading2">
    <w:name w:val="heading 2"/>
    <w:basedOn w:val="Normal"/>
    <w:rPr>
      <w:b/>
      <w:sz w:val="28"/>
      <w:color w:val="1F2937"/>
    </w:rPr>
  </w:style>
  <w:style w:type="paragraph" w:styleId="Heading3">
    <w:name w:val="heading 3"/>
    <w:basedOn w:val="Normal"/>
    <w:rPr>
      <w:b/>
      <w:sz w:val="24"/>
      <w:color w:val="334155"/>
    </w:rPr>
  </w:style>
  <w:style w:type="paragraph" w:styleId="Title">
    <w:name w:val="Title"/>
    <w:rPr>
      <w:b/>
      <w:sz w:val="4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/Relationships>
</file>