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pPr>
        <w:pStyle w:val="Title"/>
        <w:jc w:val="center"/>
      </w:pPr>
      <w:r>
        <w:t>公共底层智能体平台架构设计文档（更新版）</w:t>
      </w:r>
    </w:p>
    <w:p>
      <w:pPr>
        <w:spacing w:after="120"/>
      </w:pPr>
      <w:r>
        <w:t xml:space="preserve">本版对架构图进行补全：从接入、Runtime、业务 Agent、Tool/MCP/Skill、Knowledge Service、Model Gateway、存储、可观测、离线交付完整展开。</w:t>
      </w:r>
    </w:p>
    <w:p>
      <w:pPr>
        <w:pStyle w:val="Heading1"/>
        <w:spacing w:after="120"/>
      </w:pPr>
      <w:r>
        <w:t xml:space="preserve">1. 架构目标</w:t>
      </w:r>
    </w:p>
    <w:p>
      <w:pPr>
        <w:pStyle w:val="ListParagraph"/>
        <w:ind w:left="420"/>
        <w:spacing w:after="80"/>
      </w:pPr>
      <w:r>
        <w:t xml:space="preserve">• 建设一个公共底层智能体平台，而不是针对单一业务的孤立 Agent。</w:t>
      </w:r>
    </w:p>
    <w:p>
      <w:pPr>
        <w:pStyle w:val="ListParagraph"/>
        <w:ind w:left="420"/>
        <w:spacing w:after="80"/>
      </w:pPr>
      <w:r>
        <w:t xml:space="preserve">• 首批支持指标体系构建、Excel 知识库补全、RAG 问答三类业务 Agent。</w:t>
      </w:r>
    </w:p>
    <w:p>
      <w:pPr>
        <w:pStyle w:val="ListParagraph"/>
        <w:ind w:left="420"/>
        <w:spacing w:after="80"/>
      </w:pPr>
      <w:r>
        <w:t xml:space="preserve">• 通过 Agent Template、Tool/MCP/Skill、Knowledge Service、Model Gateway 实现可扩展。</w:t>
      </w:r>
    </w:p>
    <w:p>
      <w:pPr>
        <w:pStyle w:val="ListParagraph"/>
        <w:ind w:left="420"/>
        <w:spacing w:after="80"/>
      </w:pPr>
      <w:r>
        <w:t xml:space="preserve">• 满足内网单机虚机离线部署，前期 CPU 验证功能，模型确认后再选择 GPU。</w:t>
      </w:r>
    </w:p>
    <w:p>
      <w:pPr>
        <w:pStyle w:val="Heading1"/>
        <w:spacing w:after="120"/>
      </w:pPr>
      <w:r>
        <w:t xml:space="preserve">2. 组件级总体架构</w:t>
      </w:r>
    </w:p>
    <w:p>
      <w:r>
        <w:pict>
          <v:group style="width:760pt;height:430pt" coordsize="1750,900">
            <v:shape id="t1" type="#_x0000_t202" style="position:absolute;left:35;top:20;width:1650;height:72" stroked="f" filled="f">
              <v:textbox inset="0,0,0,0">
                <w:txbxContent>
                  <w:p>
                    <w:r>
                      <w:rPr>
                        <w:b/>
                        <w:sz w:val="31"/>
                        <w:color w:val="0F172A"/>
                      </w:rPr>
                      <w:t>公共底层智能体平台：组件级总体技术架构</w:t>
                    </w:r>
                  </w:p>
                  <w:p>
                    <w:r>
                      <w:rPr>
                        <w:sz w:val="17"/>
                        <w:color w:val="64748B"/>
                      </w:rPr>
                      <w:t>完整展示接入、运行时、业务Agent、能力插件、知识服务、模型网关、数据存储、治理观测与离线交付。</w:t>
                    </w:r>
                  </w:p>
                </w:txbxContent>
              </v:textbox>
            </v:shape>
            <v:roundrect id="l1" style="position:absolute;left:40;top:110;width:1670;height:86" arcsize="5%" fillcolor="#F8FAFC" strokecolor="#CBD5E1" strokeweight="1pt">
              <v:textbox inset="8pt,5pt,6pt,3pt">
                <w:txbxContent>
                  <w:p>
                    <w:r>
                      <w:rPr>
                        <w:b/>
                        <w:sz w:val="21"/>
                        <w:color w:val="0F172A"/>
                      </w:rPr>
                      <w:t>接入与体验层</w:t>
                    </w:r>
                  </w:p>
                </w:txbxContent>
              </v:textbox>
            </v:roundrect>
            <v:roundrect id="a1" style="position:absolute;left:80;top:148;width:220;height:38" arcsize="10%" fillcolor="#DBEAFE" strokecolor="#2563EB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Web UI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任务与结果</w:t>
                    </w:r>
                  </w:p>
                </w:txbxContent>
              </v:textbox>
            </v:roundrect>
            <v:roundrect id="a2" style="position:absolute;left:325;top:148;width:250;height:38" arcsize="10%" fillcolor="#DBEAFE" strokecolor="#2563EB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Java 管理后台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用户/权限/配置</w:t>
                    </w:r>
                  </w:p>
                </w:txbxContent>
              </v:textbox>
            </v:roundrect>
            <v:roundrect id="a3" style="position:absolute;left:600;top:148;width:240;height:38" arcsize="10%" fillcolor="#DBEAFE" strokecolor="#2563EB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OpenAPI Client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批处理/系统集成</w:t>
                    </w:r>
                  </w:p>
                </w:txbxContent>
              </v:textbox>
            </v:roundrect>
            <v:roundrect id="a4" style="position:absolute;left:865;top:148;width:250;height:38" arcsize="10%" fillcolor="#FEF3C7" strokecolor="#D97706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HITL 工作台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确认/修正/发布</w:t>
                    </w:r>
                  </w:p>
                </w:txbxContent>
              </v:textbox>
            </v:roundrect>
            <v:roundrect id="a5" style="position:absolute;left:1140;top:148;width:240;height:38" arcsize="10%" fillcolor="#DBEAFE" strokecolor="#2563EB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文件上传入口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Excel/Word/PDF</w:t>
                    </w:r>
                  </w:p>
                </w:txbxContent>
              </v:textbox>
            </v:roundrect>
            <v:roundrect id="a6" style="position:absolute;left:1405;top:148;width:255;height:38" arcsize="10%" fillcolor="#E0F2FE" strokecolor="#0284C7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Nginx / APISIX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TLS/鉴权/限流/灰度</w:t>
                    </w:r>
                  </w:p>
                </w:txbxContent>
              </v:textbox>
            </v:roundrect>
            <v:roundrect id="l2" style="position:absolute;left:40;top:230;width:1670;height:128" arcsize="5%" fillcolor="#F8FAFC" strokecolor="#CBD5E1" strokeweight="1pt">
              <v:textbox inset="8pt,5pt,6pt,3pt">
                <w:txbxContent>
                  <w:p>
                    <w:r>
                      <w:rPr>
                        <w:b/>
                        <w:sz w:val="21"/>
                        <w:color w:val="0F172A"/>
                      </w:rPr>
                      <w:t>公共智能体运行层</w:t>
                    </w:r>
                  </w:p>
                </w:txbxContent>
              </v:textbox>
            </v:roundrect>
            <v:roundrect id="b1" style="position:absolute;left:80;top:280;width:210;height:48" arcsize="10%" fillcolor="#DCFCE7" strokecolor="#16A34A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Agent API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FastAPI/Uvicorn</w:t>
                    </w:r>
                  </w:p>
                </w:txbxContent>
              </v:textbox>
            </v:roundrect>
            <v:roundrect id="b2" style="position:absolute;left:320;top:280;width:250;height:48" arcsize="10%" fillcolor="#DCFCE7" strokecolor="#16A34A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Template Router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按agent_type加载</w:t>
                    </w:r>
                  </w:p>
                </w:txbxContent>
              </v:textbox>
            </v:roundrect>
            <v:roundrect id="b3" style="position:absolute;left:600;top:280;width:270;height:48" arcsize="10%" fillcolor="#DCFCE7" strokecolor="#16A34A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LangGraph Runtime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StateGraph/Checkpoint</w:t>
                    </w:r>
                  </w:p>
                </w:txbxContent>
              </v:textbox>
            </v:roundrect>
            <v:roundrect id="b4" style="position:absolute;left:900;top:280;width:230;height:48" arcsize="10%" fillcolor="#DCFCE7" strokecolor="#16A34A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Task Queue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Redis/Celery/RQ</w:t>
                    </w:r>
                  </w:p>
                </w:txbxContent>
              </v:textbox>
            </v:roundrect>
            <v:roundrect id="b5" style="position:absolute;left:1160;top:280;width:230;height:48" arcsize="10%" fillcolor="#FFE4E6" strokecolor="#E11D48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Policy Guard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ACL/脱敏/注入防护</w:t>
                    </w:r>
                  </w:p>
                </w:txbxContent>
              </v:textbox>
            </v:roundrect>
            <v:roundrect id="b6" style="position:absolute;left:1420;top:280;width:240;height:48" arcsize="10%" fillcolor="#ECFDF5" strokecolor="#059669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Audit Replay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Trace/回放/样本</w:t>
                    </w:r>
                  </w:p>
                </w:txbxContent>
              </v:textbox>
            </v:roundrect>
            <v:roundrect id="l3" style="position:absolute;left:40;top:390;width:760;height:145" arcsize="5%" fillcolor="#F8FAFC" strokecolor="#CBD5E1" strokeweight="1pt">
              <v:textbox inset="8pt,5pt,6pt,3pt">
                <w:txbxContent>
                  <w:p>
                    <w:r>
                      <w:rPr>
                        <w:b/>
                        <w:sz w:val="21"/>
                        <w:color w:val="0F172A"/>
                      </w:rPr>
                      <w:t>业务 Agent 应用层</w:t>
                    </w:r>
                  </w:p>
                </w:txbxContent>
              </v:textbox>
            </v:roundrect>
            <v:roundrect id="c1" style="position:absolute;left:85;top:450;width:200;height:48" arcsize="10%" fillcolor="#EFF6FF" strokecolor="#2563EB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指标构建Agent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指标JSON/口径</w:t>
                    </w:r>
                  </w:p>
                </w:txbxContent>
              </v:textbox>
            </v:roundrect>
            <v:roundrect id="c2" style="position:absolute;left:315;top:450;width:210;height:48" arcsize="10%" fillcolor="#F0FDF4" strokecolor="#16A34A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Excel补全Agent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主键匹配/属性回填</w:t>
                    </w:r>
                  </w:p>
                </w:txbxContent>
              </v:textbox>
            </v:roundrect>
            <v:roundrect id="c3" style="position:absolute;left:555;top:450;width:200;height:48" arcsize="10%" fillcolor="#F3E8FF" strokecolor="#7C3AED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RAG问答Agent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检索/引用/回答</w:t>
                    </w:r>
                  </w:p>
                </w:txbxContent>
              </v:textbox>
            </v:roundrect>
            <v:roundrect id="l4" style="position:absolute;left:840;top:390;width:870;height:145" arcsize="5%" fillcolor="#F8FAFC" strokecolor="#CBD5E1" strokeweight="1pt">
              <v:textbox inset="8pt,5pt,6pt,3pt">
                <w:txbxContent>
                  <w:p>
                    <w:r>
                      <w:rPr>
                        <w:b/>
                        <w:sz w:val="21"/>
                        <w:color w:val="0F172A"/>
                      </w:rPr>
                      <w:t>能力插件层</w:t>
                    </w:r>
                  </w:p>
                </w:txbxContent>
              </v:textbox>
            </v:roundrect>
            <v:roundrect id="d1" style="position:absolute;left:880;top:450;width:180;height:48" arcsize="10%" fillcolor="#FEF3C7" strokecolor="#D97706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Tool Registry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强Schema工具</w:t>
                    </w:r>
                  </w:p>
                </w:txbxContent>
              </v:textbox>
            </v:roundrect>
            <v:roundrect id="d2" style="position:absolute;left:1085;top:450;width:180;height:48" arcsize="10%" fillcolor="#FEF3C7" strokecolor="#D97706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MCP Servers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DB/File/Knowledge</w:t>
                    </w:r>
                  </w:p>
                </w:txbxContent>
              </v:textbox>
            </v:roundrect>
            <v:roundrect id="d3" style="position:absolute;left:1290;top:450;width:180;height:48" arcsize="10%" fillcolor="#FEF3C7" strokecolor="#D97706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Skill Library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专家流程</w:t>
                    </w:r>
                  </w:p>
                </w:txbxContent>
              </v:textbox>
            </v:roundrect>
            <v:roundrect id="d4" style="position:absolute;left:1495;top:450;width:170;height:48" arcsize="10%" fillcolor="#FEF3C7" strokecolor="#D97706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Schema Registry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Prompt/JSONSchema</w:t>
                    </w:r>
                  </w:p>
                </w:txbxContent>
              </v:textbox>
            </v:roundrect>
            <v:roundrect id="l5" style="position:absolute;left:40;top:570;width:820;height:145" arcsize="5%" fillcolor="#F8FAFC" strokecolor="#CBD5E1" strokeweight="1pt">
              <v:textbox inset="8pt,5pt,6pt,3pt">
                <w:txbxContent>
                  <w:p>
                    <w:r>
                      <w:rPr>
                        <w:b/>
                        <w:sz w:val="21"/>
                        <w:color w:val="0F172A"/>
                      </w:rPr>
                      <w:t>知识服务层</w:t>
                    </w:r>
                  </w:p>
                </w:txbxContent>
              </v:textbox>
            </v:roundrect>
            <v:roundrect id="e1" style="position:absolute;left:85;top:630;width:180;height:48" arcsize="10%" fillcolor="#F3E8FF" strokecolor="#7C3AED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Parser Router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Excel/Doc/PDF</w:t>
                    </w:r>
                  </w:p>
                </w:txbxContent>
              </v:textbox>
            </v:roundrect>
            <v:roundrect id="e2" style="position:absolute;left:290;top:630;width:180;height:48" arcsize="10%" fillcolor="#F3E8FF" strokecolor="#7C3AED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Chunk Policy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行级/段落/表格</w:t>
                    </w:r>
                  </w:p>
                </w:txbxContent>
              </v:textbox>
            </v:roundrect>
            <v:roundrect id="e3" style="position:absolute;left:495;top:630;width:180;height:48" arcsize="10%" fillcolor="#F3E8FF" strokecolor="#7C3AED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Retriever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精确/向量/重排</w:t>
                    </w:r>
                  </w:p>
                </w:txbxContent>
              </v:textbox>
            </v:roundrect>
            <v:roundrect id="e4" style="position:absolute;left:700;top:630;width:125;height:48" arcsize="10%" fillcolor="#F3E8FF" strokecolor="#7C3AED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Field Dict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字段别名</w:t>
                    </w:r>
                  </w:p>
                </w:txbxContent>
              </v:textbox>
            </v:roundrect>
            <v:roundrect id="l6" style="position:absolute;left:900;top:570;width:810;height:145" arcsize="5%" fillcolor="#F8FAFC" strokecolor="#CBD5E1" strokeweight="1pt">
              <v:textbox inset="8pt,5pt,6pt,3pt">
                <w:txbxContent>
                  <w:p>
                    <w:r>
                      <w:rPr>
                        <w:b/>
                        <w:sz w:val="21"/>
                        <w:color w:val="0F172A"/>
                      </w:rPr>
                      <w:t>模型服务层</w:t>
                    </w:r>
                  </w:p>
                </w:txbxContent>
              </v:textbox>
            </v:roundrect>
            <v:roundrect id="f1" style="position:absolute;left:940;top:630;width:190;height:48" arcsize="10%" fillcolor="#FFE4E6" strokecolor="#E11D48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Model Gateway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CPU/API/GPU路由</w:t>
                    </w:r>
                  </w:p>
                </w:txbxContent>
              </v:textbox>
            </v:roundrect>
            <v:roundrect id="f2" style="position:absolute;left:1155;top:630;width:170;height:48" arcsize="10%" fillcolor="#FFE4E6" strokecolor="#E11D48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Small LLM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分类/路由</w:t>
                    </w:r>
                  </w:p>
                </w:txbxContent>
              </v:textbox>
            </v:roundrect>
            <v:roundrect id="f3" style="position:absolute;left:1350;top:630;width:160;height:48" arcsize="10%" fillcolor="#FFE4E6" strokecolor="#E11D48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Main LLM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推理/生成</w:t>
                    </w:r>
                  </w:p>
                </w:txbxContent>
              </v:textbox>
            </v:roundrect>
            <v:roundrect id="f4" style="position:absolute;left:1535;top:630;width:140;height:48" arcsize="10%" fillcolor="#FFE4E6" strokecolor="#E11D48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Emb/Rerank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bge模型</w:t>
                    </w:r>
                  </w:p>
                </w:txbxContent>
              </v:textbox>
            </v:roundrect>
            <v:roundrect id="l7" style="position:absolute;left:40;top:750;width:1670;height:110" arcsize="5%" fillcolor="#F8FAFC" strokecolor="#CBD5E1" strokeweight="1pt">
              <v:textbox inset="8pt,5pt,6pt,3pt">
                <w:txbxContent>
                  <w:p>
                    <w:r>
                      <w:rPr>
                        <w:b/>
                        <w:sz w:val="21"/>
                        <w:color w:val="0F172A"/>
                      </w:rPr>
                      <w:t>数据存储、观测与离线交付层</w:t>
                    </w:r>
                  </w:p>
                </w:txbxContent>
              </v:textbox>
            </v:roundrect>
            <v:roundrect id="g1" style="position:absolute;left:85;top:800;width:245;height:42" arcsize="10%" fillcolor="#FFFFFF" strokecolor="#334155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PostgreSQL + pgvector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agent/rag/excel/metric/audit</w:t>
                    </w:r>
                  </w:p>
                </w:txbxContent>
              </v:textbox>
            </v:roundrect>
            <v:roundrect id="g2" style="position:absolute;left:360;top:800;width:170;height:42" arcsize="10%" fillcolor="#FFFFFF" strokecolor="#EA580C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Redis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cache/queue</w:t>
                    </w:r>
                  </w:p>
                </w:txbxContent>
              </v:textbox>
            </v:roundrect>
            <v:roundrect id="g3" style="position:absolute;left:560;top:800;width:250;height:42" arcsize="10%" fillcolor="#FFFFFF" strokecolor="#0284C7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File/Model Repo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文件/模型/离线包</w:t>
                    </w:r>
                  </w:p>
                </w:txbxContent>
              </v:textbox>
            </v:roundrect>
            <v:roundrect id="g4" style="position:absolute;left:840;top:800;width:250;height:42" arcsize="10%" fillcolor="#FFFFFF" strokecolor="#059669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Observability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OTel/Prom/Grafana/Phoenix</w:t>
                    </w:r>
                  </w:p>
                </w:txbxContent>
              </v:textbox>
            </v:roundrect>
            <v:roundrect id="g5" style="position:absolute;left:1120;top:800;width:230;height:42" arcsize="10%" fillcolor="#FFFFFF" strokecolor="#7C3AED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Evaluation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golden cases/回归</w:t>
                    </w:r>
                  </w:p>
                </w:txbxContent>
              </v:textbox>
            </v:roundrect>
            <v:roundrect id="g6" style="position:absolute;left:1380;top:800;width:275;height:42" arcsize="10%" fillcolor="#FFFFFF" strokecolor="#334155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Offline Package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docker/wheel/model/sql/template</w:t>
                    </w:r>
                  </w:p>
                </w:txbxContent>
              </v:textbox>
            </v:roundrect>
            <v:line id="x0" style="position:absolute" from="1530,186" to="1530,280" strokecolor="#64748B" strokeweight="1.45pt">
              <v:stroke endarrow="block"/>
            </v:line>
            <v:line id="x1" style="position:absolute" from="290,304" to="320,304" strokecolor="#64748B" strokeweight="1.45pt">
              <v:stroke endarrow="block"/>
            </v:line>
            <v:line id="x2" style="position:absolute" from="570,304" to="600,304" strokecolor="#64748B" strokeweight="1.45pt">
              <v:stroke endarrow="block"/>
            </v:line>
            <v:line id="x3" style="position:absolute" from="870,304" to="900,304" strokecolor="#64748B" strokeweight="1.45pt">
              <v:stroke endarrow="block"/>
            </v:line>
            <v:line id="x4" style="position:absolute" from="1130,304" to="1160,304" strokecolor="#64748B" strokeweight="1.45pt">
              <v:stroke endarrow="block"/>
            </v:line>
            <v:line id="x5" style="position:absolute" from="1390,304" to="1420,304" strokecolor="#64748B" strokeweight="1.45pt">
              <v:stroke endarrow="block"/>
            </v:line>
            <v:line id="x6" style="position:absolute" from="735,328" to="735,450" strokecolor="#64748B" strokeweight="1.45pt">
              <v:stroke endarrow="block"/>
            </v:line>
            <v:line id="x7" style="position:absolute" from="755,474" to="880,474" strokecolor="#64748B" strokeweight="1.45pt">
              <v:stroke endarrow="block"/>
            </v:line>
            <v:line id="x8" style="position:absolute" from="1470,474" to="1495,474" strokecolor="#64748B" strokeweight="1.45pt">
              <v:stroke endarrow="block"/>
            </v:line>
            <v:line id="x9" style="position:absolute" from="455,498" to="455,630" strokecolor="#64748B" strokeweight="1.45pt">
              <v:stroke endarrow="block"/>
            </v:line>
            <v:line id="x10" style="position:absolute" from="1280,498" to="1280,630" strokecolor="#64748B" strokeweight="1.45pt">
              <v:stroke endarrow="block"/>
            </v:line>
            <v:line id="x11" style="position:absolute" from="765,678" to="765,800" strokecolor="#64748B" strokeweight="1.45pt">
              <v:stroke endarrow="block"/>
            </v:line>
            <v:line id="x12" style="position:absolute" from="1225,678" to="1225,800" strokecolor="#64748B" strokeweight="1.45pt">
              <v:stroke endarrow="block"/>
            </v:line>
          </v:group>
        </w:pict>
      </w:r>
    </w:p>
    <w:p>
      <w:pPr>
        <w:jc w:val="center"/>
      </w:pPr>
      <w:r>
        <w:rPr>
          <w:color w:val="64748B"/>
          <w:sz w:val="18"/>
        </w:rPr>
        <w:t>图 1：公共底层智能体平台组件级总体架构</w:t>
      </w:r>
    </w:p>
    <w:p>
      <w:pPr>
        <w:pStyle w:val="Heading1"/>
        <w:spacing w:after="120"/>
      </w:pPr>
      <w:r>
        <w:t xml:space="preserve">2.1 分层说明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r>
        <w:tc>
          <w:tcPr>
            <w:tcW w:w="4733" w:type="dxa"/>
            <w:shd w:fill="E2E8F0"/>
          </w:tcPr>
          <w:p>
            <w:r>
              <w:rPr>
                <w:b/>
              </w:rPr>
              <w:t xml:space="preserve">层级</w:t>
            </w:r>
          </w:p>
        </w:tc>
        <w:tc>
          <w:tcPr>
            <w:tcW w:w="4733" w:type="dxa"/>
            <w:shd w:fill="E2E8F0"/>
          </w:tcPr>
          <w:p>
            <w:r>
              <w:rPr>
                <w:b/>
              </w:rPr>
              <w:t xml:space="preserve">组件</w:t>
            </w:r>
          </w:p>
        </w:tc>
        <w:tc>
          <w:tcPr>
            <w:tcW w:w="4733" w:type="dxa"/>
            <w:shd w:fill="E2E8F0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4733" w:type="dxa"/>
          </w:tcPr>
          <w:p>
            <w:r>
              <w:t xml:space="preserve">接入与体验层</w:t>
            </w:r>
          </w:p>
        </w:tc>
        <w:tc>
          <w:tcPr>
            <w:tcW w:w="4733" w:type="dxa"/>
          </w:tcPr>
          <w:p>
            <w:r>
              <w:t xml:space="preserve">Web UI、Java管理后台、OpenAPI、HITL工作台、Nginx/APISIX</w:t>
            </w:r>
          </w:p>
        </w:tc>
        <w:tc>
          <w:tcPr>
            <w:tcW w:w="4733" w:type="dxa"/>
          </w:tcPr>
          <w:p>
            <w:r>
              <w:t xml:space="preserve">提供任务提交、文件上传、人工确认、API接入、安全入口。</w:t>
            </w:r>
          </w:p>
        </w:tc>
      </w:tr>
      <w:tr>
        <w:tc>
          <w:tcPr>
            <w:tcW w:w="4733" w:type="dxa"/>
          </w:tcPr>
          <w:p>
            <w:r>
              <w:t xml:space="preserve">公共智能体运行层</w:t>
            </w:r>
          </w:p>
        </w:tc>
        <w:tc>
          <w:tcPr>
            <w:tcW w:w="4733" w:type="dxa"/>
          </w:tcPr>
          <w:p>
            <w:r>
              <w:t xml:space="preserve">Agent API、Template Router、LangGraph Runtime、Task Queue、Policy Guard、Audit Replay</w:t>
            </w:r>
          </w:p>
        </w:tc>
        <w:tc>
          <w:tcPr>
            <w:tcW w:w="4733" w:type="dxa"/>
          </w:tcPr>
          <w:p>
            <w:r>
              <w:t xml:space="preserve">平台核心，负责状态机、任务、权限、审计、回放。</w:t>
            </w:r>
          </w:p>
        </w:tc>
      </w:tr>
      <w:tr>
        <w:tc>
          <w:tcPr>
            <w:tcW w:w="4733" w:type="dxa"/>
          </w:tcPr>
          <w:p>
            <w:r>
              <w:t xml:space="preserve">业务 Agent 应用层</w:t>
            </w:r>
          </w:p>
        </w:tc>
        <w:tc>
          <w:tcPr>
            <w:tcW w:w="4733" w:type="dxa"/>
          </w:tcPr>
          <w:p>
            <w:r>
              <w:t xml:space="preserve">指标构建、Excel补全、RAG问答</w:t>
            </w:r>
          </w:p>
        </w:tc>
        <w:tc>
          <w:tcPr>
            <w:tcW w:w="4733" w:type="dxa"/>
          </w:tcPr>
          <w:p>
            <w:r>
              <w:t xml:space="preserve">以模板方式注册，复用底座能力。</w:t>
            </w:r>
          </w:p>
        </w:tc>
      </w:tr>
      <w:tr>
        <w:tc>
          <w:tcPr>
            <w:tcW w:w="4733" w:type="dxa"/>
          </w:tcPr>
          <w:p>
            <w:r>
              <w:t xml:space="preserve">能力插件层</w:t>
            </w:r>
          </w:p>
        </w:tc>
        <w:tc>
          <w:tcPr>
            <w:tcW w:w="4733" w:type="dxa"/>
          </w:tcPr>
          <w:p>
            <w:r>
              <w:t xml:space="preserve">Tool Registry、MCP Servers、Skill Library、Schema Registry</w:t>
            </w:r>
          </w:p>
        </w:tc>
        <w:tc>
          <w:tcPr>
            <w:tcW w:w="4733" w:type="dxa"/>
          </w:tcPr>
          <w:p>
            <w:r>
              <w:t xml:space="preserve">确定性能力、外部系统连接、专家流程和输出约束。</w:t>
            </w:r>
          </w:p>
        </w:tc>
      </w:tr>
      <w:tr>
        <w:tc>
          <w:tcPr>
            <w:tcW w:w="4733" w:type="dxa"/>
          </w:tcPr>
          <w:p>
            <w:r>
              <w:t xml:space="preserve">知识服务层</w:t>
            </w:r>
          </w:p>
        </w:tc>
        <w:tc>
          <w:tcPr>
            <w:tcW w:w="4733" w:type="dxa"/>
          </w:tcPr>
          <w:p>
            <w:r>
              <w:t xml:space="preserve">Parser Router、Chunk Policy、Retriever、Field Dictionary</w:t>
            </w:r>
          </w:p>
        </w:tc>
        <w:tc>
          <w:tcPr>
            <w:tcW w:w="4733" w:type="dxa"/>
          </w:tcPr>
          <w:p>
            <w:r>
              <w:t xml:space="preserve">文档解析、结构化查询、向量检索、字段别名。</w:t>
            </w:r>
          </w:p>
        </w:tc>
      </w:tr>
      <w:tr>
        <w:tc>
          <w:tcPr>
            <w:tcW w:w="4733" w:type="dxa"/>
          </w:tcPr>
          <w:p>
            <w:r>
              <w:t xml:space="preserve">模型服务层</w:t>
            </w:r>
          </w:p>
        </w:tc>
        <w:tc>
          <w:tcPr>
            <w:tcW w:w="4733" w:type="dxa"/>
          </w:tcPr>
          <w:p>
            <w:r>
              <w:t xml:space="preserve">Model Gateway、Small LLM、Main LLM、Embedding/Rerank</w:t>
            </w:r>
          </w:p>
        </w:tc>
        <w:tc>
          <w:tcPr>
            <w:tcW w:w="4733" w:type="dxa"/>
          </w:tcPr>
          <w:p>
            <w:r>
              <w:t xml:space="preserve">模型分流和部署方式屏蔽。</w:t>
            </w:r>
          </w:p>
        </w:tc>
      </w:tr>
      <w:tr>
        <w:tc>
          <w:tcPr>
            <w:tcW w:w="4733" w:type="dxa"/>
          </w:tcPr>
          <w:p>
            <w:r>
              <w:t xml:space="preserve">存储与治理层</w:t>
            </w:r>
          </w:p>
        </w:tc>
        <w:tc>
          <w:tcPr>
            <w:tcW w:w="4733" w:type="dxa"/>
          </w:tcPr>
          <w:p>
            <w:r>
              <w:t xml:space="preserve">PostgreSQL+pgvector、Redis、File Repo、Observability、Evaluation、Offline Package</w:t>
            </w:r>
          </w:p>
        </w:tc>
        <w:tc>
          <w:tcPr>
            <w:tcW w:w="4733" w:type="dxa"/>
          </w:tcPr>
          <w:p>
            <w:r>
              <w:t xml:space="preserve">数据、缓存、文件、模型、监控、评测和离线交付。</w:t>
            </w:r>
          </w:p>
        </w:tc>
      </w:tr>
    </w:tbl>
    <w:p>
      <w:pPr>
        <w:pStyle w:val="Heading1"/>
        <w:spacing w:after="120"/>
      </w:pPr>
      <w:r>
        <w:t xml:space="preserve">3. 业务 Agent 与公共底座关系</w:t>
      </w:r>
    </w:p>
    <w:p>
      <w:r>
        <w:pict>
          <v:group style="width:760pt;height:410pt" coordsize="1750,850">
            <v:shape id="t2" type="#_x0000_t202" style="position:absolute;left:40;top:20;width:1650;height:72" stroked="f" filled="f">
              <v:textbox inset="0,0,0,0">
                <w:txbxContent>
                  <w:p>
                    <w:r>
                      <w:rPr>
                        <w:b/>
                        <w:sz w:val="31"/>
                        <w:color w:val="0F172A"/>
                      </w:rPr>
                      <w:t>三类核心业务流程与公共底座关系</w:t>
                    </w:r>
                  </w:p>
                  <w:p>
                    <w:r>
                      <w:rPr>
                        <w:sz w:val="17"/>
                        <w:color w:val="64748B"/>
                      </w:rPr>
                      <w:t>指标构建、Excel知识库补全、RAG问答共用Runtime/Tool/Knowledge/Model/Data治理能力。</w:t>
                    </w:r>
                  </w:p>
                </w:txbxContent>
              </v:textbox>
            </v:shape>
            <v:roundrect id="lane0" style="position:absolute;left:70;top:120;width:500;height:550" arcsize="5%" fillcolor="#EFF6FF" strokecolor="#2563EB" strokeweight="1pt">
              <v:textbox inset="8pt,5pt,6pt,3pt">
                <w:txbxContent>
                  <w:p>
                    <w:r>
                      <w:rPr>
                        <w:b/>
                        <w:sz w:val="21"/>
                        <w:color w:val="0F172A"/>
                      </w:rPr>
                      <w:t>指标体系构建</w:t>
                    </w:r>
                  </w:p>
                </w:txbxContent>
              </v:textbox>
            </v:roundrect>
            <v:roundrect id="flow00" style="position:absolute;left:125;top:195;width:390;height:58" arcsize="10%" fillcolor="#FFFFFF" strokecolor="#2563EB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输入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table_json/文件/prompt</w:t>
                    </w:r>
                  </w:p>
                </w:txbxContent>
              </v:textbox>
            </v:roundrect>
            <v:line id="fl00" style="position:absolute" from="320,253" to="320,273" strokecolor="#2563EB" strokeweight="1.45pt">
              <v:stroke endarrow="block"/>
            </v:line>
            <v:roundrect id="flow01" style="position:absolute;left:125;top:300;width:390;height:58" arcsize="10%" fillcolor="#FFFFFF" strokecolor="#2563EB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处理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Schema瘦身/业务域分类/指标推导</w:t>
                    </w:r>
                  </w:p>
                </w:txbxContent>
              </v:textbox>
            </v:roundrect>
            <v:line id="fl01" style="position:absolute" from="320,358" to="320,378" strokecolor="#2563EB" strokeweight="1.45pt">
              <v:stroke endarrow="block"/>
            </v:line>
            <v:roundrect id="flow02" style="position:absolute;left:125;top:405;width:390;height:58" arcsize="10%" fillcolor="#FFFFFF" strokecolor="#2563EB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输出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指标JSON/口径/SQL建议</w:t>
                    </w:r>
                  </w:p>
                </w:txbxContent>
              </v:textbox>
            </v:roundrect>
            <v:line id="fl02" style="position:absolute" from="320,463" to="320,483" strokecolor="#2563EB" strokeweight="1.45pt">
              <v:stroke endarrow="block"/>
            </v:line>
            <v:roundrect id="flow03" style="position:absolute;left:125;top:510;width:390;height:58" arcsize="10%" fillcolor="#FFFFFF" strokecolor="#2563EB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治理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人工确认/版本/评测</w:t>
                    </w:r>
                  </w:p>
                </w:txbxContent>
              </v:textbox>
            </v:roundrect>
            <v:roundrect id="lane1" style="position:absolute;left:630;top:120;width:500;height:550" arcsize="5%" fillcolor="#F0FDF4" strokecolor="#16A34A" strokeweight="1pt">
              <v:textbox inset="8pt,5pt,6pt,3pt">
                <w:txbxContent>
                  <w:p>
                    <w:r>
                      <w:rPr>
                        <w:b/>
                        <w:sz w:val="21"/>
                        <w:color w:val="0F172A"/>
                      </w:rPr>
                      <w:t>Excel知识库补全</w:t>
                    </w:r>
                  </w:p>
                </w:txbxContent>
              </v:textbox>
            </v:roundrect>
            <v:roundrect id="flow10" style="position:absolute;left:685;top:195;width:390;height:58" arcsize="10%" fillcolor="#FFFFFF" strokecolor="#16A34A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输入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知识库Excel/待补全Excel</w:t>
                    </w:r>
                  </w:p>
                </w:txbxContent>
              </v:textbox>
            </v:roundrect>
            <v:line id="fl10" style="position:absolute" from="880,253" to="880,273" strokecolor="#16A34A" strokeweight="1.45pt">
              <v:stroke endarrow="block"/>
            </v:line>
            <v:roundrect id="flow11" style="position:absolute;left:685;top:300;width:390;height:58" arcsize="10%" fillcolor="#FFFFFF" strokecolor="#16A34A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处理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主键识别/精确匹配/字段回填</w:t>
                    </w:r>
                  </w:p>
                </w:txbxContent>
              </v:textbox>
            </v:roundrect>
            <v:line id="fl11" style="position:absolute" from="880,358" to="880,378" strokecolor="#16A34A" strokeweight="1.45pt">
              <v:stroke endarrow="block"/>
            </v:line>
            <v:roundrect id="flow12" style="position:absolute;left:685;top:405;width:390;height:58" arcsize="10%" fillcolor="#FFFFFF" strokecolor="#16A34A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输出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补全Excel/异常报告/差异明细</w:t>
                    </w:r>
                  </w:p>
                </w:txbxContent>
              </v:textbox>
            </v:roundrect>
            <v:line id="fl12" style="position:absolute" from="880,463" to="880,483" strokecolor="#16A34A" strokeweight="1.45pt">
              <v:stroke endarrow="block"/>
            </v:line>
            <v:roundrect id="flow13" style="position:absolute;left:685;top:510;width:390;height:58" arcsize="10%" fillcolor="#FFFFFF" strokecolor="#16A34A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治理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命中率/冲突确认/数据版本</w:t>
                    </w:r>
                  </w:p>
                </w:txbxContent>
              </v:textbox>
            </v:roundrect>
            <v:roundrect id="lane2" style="position:absolute;left:1190;top:120;width:500;height:550" arcsize="5%" fillcolor="#F3E8FF" strokecolor="#7C3AED" strokeweight="1pt">
              <v:textbox inset="8pt,5pt,6pt,3pt">
                <w:txbxContent>
                  <w:p>
                    <w:r>
                      <w:rPr>
                        <w:b/>
                        <w:sz w:val="21"/>
                        <w:color w:val="0F172A"/>
                      </w:rPr>
                      <w:t>RAG问答与扩展</w:t>
                    </w:r>
                  </w:p>
                </w:txbxContent>
              </v:textbox>
            </v:roundrect>
            <v:roundrect id="flow20" style="position:absolute;left:1245;top:195;width:390;height:58" arcsize="10%" fillcolor="#FFFFFF" strokecolor="#7C3AED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输入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用户问题/文档集合</w:t>
                    </w:r>
                  </w:p>
                </w:txbxContent>
              </v:textbox>
            </v:roundrect>
            <v:line id="fl20" style="position:absolute" from="1440,253" to="1440,273" strokecolor="#7C3AED" strokeweight="1.45pt">
              <v:stroke endarrow="block"/>
            </v:line>
            <v:roundrect id="flow21" style="position:absolute;left:1245;top:300;width:390;height:58" arcsize="10%" fillcolor="#FFFFFF" strokecolor="#7C3AED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处理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混合检索/rerank/引用生成</w:t>
                    </w:r>
                  </w:p>
                </w:txbxContent>
              </v:textbox>
            </v:roundrect>
            <v:line id="fl21" style="position:absolute" from="1440,358" to="1440,378" strokecolor="#7C3AED" strokeweight="1.45pt">
              <v:stroke endarrow="block"/>
            </v:line>
            <v:roundrect id="flow22" style="position:absolute;left:1245;top:405;width:390;height:58" arcsize="10%" fillcolor="#FFFFFF" strokecolor="#7C3AED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输出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答案/引用/置信度</w:t>
                    </w:r>
                  </w:p>
                </w:txbxContent>
              </v:textbox>
            </v:roundrect>
            <v:line id="fl22" style="position:absolute" from="1440,463" to="1440,483" strokecolor="#7C3AED" strokeweight="1.45pt">
              <v:stroke endarrow="block"/>
            </v:line>
            <v:roundrect id="flow23" style="position:absolute;left:1245;top:510;width:390;height:58" arcsize="10%" fillcolor="#FFFFFF" strokecolor="#7C3AED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治理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反馈样本/召回评测/Prompt版本</w:t>
                    </w:r>
                  </w:p>
                </w:txbxContent>
              </v:textbox>
            </v:roundrect>
            <v:roundrect id="base" style="position:absolute;left:320;top:730;width:1100;height:70" arcsize="10%" fillcolor="#FEF3C7" strokecolor="#D97706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公共底座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Agent Runtime · Tool/MCP/Skill · Knowledge Service · Model Gateway · PostgreSQL/pgvector · Audit · Evaluation</w:t>
                    </w:r>
                  </w:p>
                </w:txbxContent>
              </v:textbox>
            </v:roundrect>
            <v:line id="b1" style="position:absolute" from="320,670" to="610,730" strokecolor="#D97706" strokeweight="1.45pt">
              <v:stroke endarrow="block"/>
            </v:line>
            <v:line id="b2" style="position:absolute" from="875,670" to="875,730" strokecolor="#D97706" strokeweight="1.45pt">
              <v:stroke endarrow="block"/>
            </v:line>
            <v:line id="b3" style="position:absolute" from="1430,670" to="1140,730" strokecolor="#D97706" strokeweight="1.45pt">
              <v:stroke endarrow="block"/>
            </v:line>
          </v:group>
        </w:pict>
      </w:r>
    </w:p>
    <w:p>
      <w:pPr>
        <w:jc w:val="center"/>
      </w:pPr>
      <w:r>
        <w:rPr>
          <w:color w:val="64748B"/>
          <w:sz w:val="18"/>
        </w:rPr>
        <w:t>图 2：三类核心业务流程与公共底座关系</w:t>
      </w:r>
    </w:p>
    <w:p>
      <w:pPr>
        <w:pStyle w:val="Heading1"/>
        <w:spacing w:after="120"/>
      </w:pPr>
      <w:r>
        <w:t xml:space="preserve">3.1 指标体系构建 Agent</w:t>
      </w:r>
    </w:p>
    <w:p>
      <w:pPr>
        <w:spacing w:after="120"/>
      </w:pPr>
      <w:r>
        <w:t xml:space="preserve">用于表结构理解和指标体系生成。它通过 Schema Slimming 避免大 JSON 直塞模型，通过业务域 Map-Reduce 做指标推导，通过可行性检查和人工确认保证结果可落地。</w:t>
      </w:r>
    </w:p>
    <w:p>
      <w:pPr>
        <w:pStyle w:val="Heading1"/>
        <w:spacing w:after="120"/>
      </w:pPr>
      <w:r>
        <w:t xml:space="preserve">3.2 Excel 知识库补全 Agent</w:t>
      </w:r>
    </w:p>
    <w:p>
      <w:pPr>
        <w:spacing w:after="120"/>
      </w:pPr>
      <w:r>
        <w:t xml:space="preserve">用于基于结构化 Excel 知识库的批量属性回填。主路径是主键精确匹配和批量回填，RAG/LLM 只用于字段别名、模糊兜底、异常说明和人工确认辅助。</w:t>
      </w:r>
    </w:p>
    <w:p>
      <w:pPr>
        <w:pStyle w:val="Heading1"/>
        <w:spacing w:after="120"/>
      </w:pPr>
      <w:r>
        <w:t xml:space="preserve">3.3 RAG 问答 Agent</w:t>
      </w:r>
    </w:p>
    <w:p>
      <w:pPr>
        <w:spacing w:after="120"/>
      </w:pPr>
      <w:r>
        <w:t xml:space="preserve">用于非结构化知识问答和引用回答。通过 Parser、Chunk、pgvector、rerank 和 AnswerBuilder 提供可追溯答案。</w:t>
      </w:r>
    </w:p>
    <w:p>
      <w:pPr>
        <w:pStyle w:val="Heading1"/>
        <w:spacing w:after="120"/>
      </w:pPr>
      <w:r>
        <w:t xml:space="preserve">4. 统一数据流与存储</w:t>
      </w:r>
    </w:p>
    <w:p>
      <w:r>
        <w:pict>
          <v:group style="width:760pt;height:315pt" coordsize="1750,650">
            <v:shape id="t3" type="#_x0000_t202" style="position:absolute;left:40;top:20;width:1650;height:72" stroked="f" filled="f">
              <v:textbox inset="0,0,0,0">
                <w:txbxContent>
                  <w:p>
                    <w:r>
                      <w:rPr>
                        <w:b/>
                        <w:sz w:val="31"/>
                        <w:color w:val="0F172A"/>
                      </w:rPr>
                      <w:t>统一数据流与存储模型</w:t>
                    </w:r>
                  </w:p>
                  <w:p>
                    <w:r>
                      <w:rPr>
                        <w:sz w:val="17"/>
                        <w:color w:val="64748B"/>
                      </w:rPr>
                      <w:t>把结构化补全、指标产物、RAG知识和审计评测统一纳入平台数据层。</w:t>
                    </w:r>
                  </w:p>
                </w:txbxContent>
              </v:textbox>
            </v:shape>
            <v:roundrect id="in" style="position:absolute;left:60;top:115;width:1630;height:95" arcsize="5%" fillcolor="#F8FAFC" strokecolor="#CBD5E1" strokeweight="1pt">
              <v:textbox inset="8pt,5pt,6pt,3pt">
                <w:txbxContent>
                  <w:p>
                    <w:r>
                      <w:rPr>
                        <w:b/>
                        <w:sz w:val="21"/>
                        <w:color w:val="0F172A"/>
                      </w:rPr>
                      <w:t>输入数据</w:t>
                    </w:r>
                  </w:p>
                </w:txbxContent>
              </v:textbox>
            </v:roundrect>
            <v:roundrect id="i1" style="position:absolute;left:105;top:152;width:270;height:42" arcsize="10%" fillcolor="#EFF6FF" strokecolor="#2563EB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结构化Schema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table_json/字段注释</w:t>
                    </w:r>
                  </w:p>
                </w:txbxContent>
              </v:textbox>
            </v:roundrect>
            <v:roundrect id="i2" style="position:absolute;left:420;top:152;width:310;height:42" arcsize="10%" fillcolor="#F0FDF4" strokecolor="#16A34A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Excel知识库与待补全文件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主键/属性/row_json</w:t>
                    </w:r>
                  </w:p>
                </w:txbxContent>
              </v:textbox>
            </v:roundrect>
            <v:roundrect id="i3" style="position:absolute;left:775;top:152;width:270;height:42" arcsize="10%" fillcolor="#F3E8FF" strokecolor="#7C3AED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非结构化文档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Word/PDF/PPT/TXT</w:t>
                    </w:r>
                  </w:p>
                </w:txbxContent>
              </v:textbox>
            </v:roundrect>
            <v:roundrect id="i4" style="position:absolute;left:1090;top:152;width:270;height:42" arcsize="10%" fillcolor="#FEF3C7" strokecolor="#D97706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用户查询/Prompt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任务上下文</w:t>
                    </w:r>
                  </w:p>
                </w:txbxContent>
              </v:textbox>
            </v:roundrect>
            <v:roundrect id="i5" style="position:absolute;left:1405;top:152;width:220;height:42" arcsize="10%" fillcolor="#ECFDF5" strokecolor="#059669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人工反馈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确认/修正</w:t>
                    </w:r>
                  </w:p>
                </w:txbxContent>
              </v:textbox>
            </v:roundrect>
            <v:roundrect id="proc" style="position:absolute;left:60;top:255;width:1630;height:130" arcsize="5%" fillcolor="#F8FAFC" strokecolor="#CBD5E1" strokeweight="1pt">
              <v:textbox inset="8pt,5pt,6pt,3pt">
                <w:txbxContent>
                  <w:p>
                    <w:r>
                      <w:rPr>
                        <w:b/>
                        <w:sz w:val="21"/>
                        <w:color w:val="0F172A"/>
                      </w:rPr>
                      <w:t>处理服务</w:t>
                    </w:r>
                  </w:p>
                </w:txbxContent>
              </v:textbox>
            </v:roundrect>
            <v:roundrect id="p1" style="position:absolute;left:105;top:305;width:240;height:46" arcsize="10%" fillcolor="#FFFFFF" strokecolor="#0284C7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Parser/Normalizer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解析/归一/瘦身</w:t>
                    </w:r>
                  </w:p>
                </w:txbxContent>
              </v:textbox>
            </v:roundrect>
            <v:roundrect id="p2" style="position:absolute;left:390;top:305;width:240;height:46" arcsize="10%" fillcolor="#FFFFFF" strokecolor="#16A34A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Exact Lookup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主键精确匹配</w:t>
                    </w:r>
                  </w:p>
                </w:txbxContent>
              </v:textbox>
            </v:roundrect>
            <v:roundrect id="p3" style="position:absolute;left:675;top:305;width:240;height:46" arcsize="10%" fillcolor="#FFFFFF" strokecolor="#7C3AED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RAG Retriever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pgvector/rerank</w:t>
                    </w:r>
                  </w:p>
                </w:txbxContent>
              </v:textbox>
            </v:roundrect>
            <v:roundrect id="p4" style="position:absolute;left:960;top:305;width:240;height:46" arcsize="10%" fillcolor="#FFFFFF" strokecolor="#D97706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Agent Runtime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计划/工具/模型</w:t>
                    </w:r>
                  </w:p>
                </w:txbxContent>
              </v:textbox>
            </v:roundrect>
            <v:roundrect id="p5" style="position:absolute;left:1245;top:305;width:240;height:46" arcsize="10%" fillcolor="#FFFFFF" strokecolor="#059669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Validator/Audit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校验/审计/评测</w:t>
                    </w:r>
                  </w:p>
                </w:txbxContent>
              </v:textbox>
            </v:roundrect>
            <v:roundrect id="store" style="position:absolute;left:60;top:435;width:1630;height:175" arcsize="5%" fillcolor="#F8FAFC" strokecolor="#CBD5E1" strokeweight="1pt">
              <v:textbox inset="8pt,5pt,6pt,3pt">
                <w:txbxContent>
                  <w:p>
                    <w:r>
                      <w:rPr>
                        <w:b/>
                        <w:sz w:val="21"/>
                        <w:color w:val="0F172A"/>
                      </w:rPr>
                      <w:t>核心存储</w:t>
                    </w:r>
                  </w:p>
                </w:txbxContent>
              </v:textbox>
            </v:roundrect>
            <v:roundrect id="d1" style="position:absolute;left:95;top:500;width:225;height:52" arcsize="10%" fillcolor="#FFFFFF" strokecolor="#2563EB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metric_artifacts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指标体系产物</w:t>
                    </w:r>
                  </w:p>
                </w:txbxContent>
              </v:textbox>
            </v:roundrect>
            <v:roundrect id="d2" style="position:absolute;left:360;top:500;width:225;height:52" arcsize="10%" fillcolor="#FFFFFF" strokecolor="#16A34A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excel_master_rows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知识库快照/row_json</w:t>
                    </w:r>
                  </w:p>
                </w:txbxContent>
              </v:textbox>
            </v:roundrect>
            <v:roundrect id="d3" style="position:absolute;left:625;top:500;width:225;height:52" arcsize="10%" fillcolor="#FFFFFF" strokecolor="#16A34A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enrichment_results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补全结果/异常</w:t>
                    </w:r>
                  </w:p>
                </w:txbxContent>
              </v:textbox>
            </v:roundrect>
            <v:roundrect id="d4" style="position:absolute;left:890;top:500;width:225;height:52" arcsize="10%" fillcolor="#FFFFFF" strokecolor="#7C3AED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rag_chunks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chunk/vector/metadata</w:t>
                    </w:r>
                  </w:p>
                </w:txbxContent>
              </v:textbox>
            </v:roundrect>
            <v:roundrect id="d5" style="position:absolute;left:1155;top:500;width:225;height:52" arcsize="10%" fillcolor="#FFFFFF" strokecolor="#D97706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agent_runs/tool_calls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状态/工具/模型调用</w:t>
                    </w:r>
                  </w:p>
                </w:txbxContent>
              </v:textbox>
            </v:roundrect>
            <v:roundrect id="d6" style="position:absolute;left:1420;top:500;width:225;height:52" arcsize="10%" fillcolor="#FFFFFF" strokecolor="#059669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audit/evaluation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审计/评测样本</w:t>
                    </w:r>
                  </w:p>
                </w:txbxContent>
              </v:textbox>
            </v:roundrect>
            <v:line id="l1" style="position:absolute" from="510,194" to="510,305" strokecolor="#64748B" strokeweight="1.45pt">
              <v:stroke endarrow="block"/>
            </v:line>
            <v:line id="l2" style="position:absolute" from="910,194" to="795,305" strokecolor="#64748B" strokeweight="1.45pt">
              <v:stroke endarrow="block"/>
            </v:line>
            <v:line id="l3" style="position:absolute" from="1225,194" to="1080,305" strokecolor="#64748B" strokeweight="1.45pt">
              <v:stroke endarrow="block"/>
            </v:line>
            <v:line id="l4" style="position:absolute" from="1350,351" to="1530,500" strokecolor="#64748B" strokeweight="1.45pt">
              <v:stroke endarrow="block"/>
            </v:line>
            <v:line id="l5" style="position:absolute" from="510,351" to="472,500" strokecolor="#64748B" strokeweight="1.45pt">
              <v:stroke endarrow="block"/>
            </v:line>
            <v:line id="l6" style="position:absolute" from="795,351" to="1002,500" strokecolor="#64748B" strokeweight="1.45pt">
              <v:stroke endarrow="block"/>
            </v:line>
          </v:group>
        </w:pict>
      </w:r>
    </w:p>
    <w:p>
      <w:pPr>
        <w:jc w:val="center"/>
      </w:pPr>
      <w:r>
        <w:rPr>
          <w:color w:val="64748B"/>
          <w:sz w:val="18"/>
        </w:rPr>
        <w:t>图 3：统一数据流与存储模型</w:t>
      </w:r>
    </w:p>
    <w:p>
      <w:pPr>
        <w:pStyle w:val="Heading1"/>
        <w:spacing w:after="120"/>
      </w:pPr>
      <w:r>
        <w:t xml:space="preserve">4.1 核心数据表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r>
        <w:tc>
          <w:tcPr>
            <w:tcW w:w="4733" w:type="dxa"/>
            <w:shd w:fill="E2E8F0"/>
          </w:tcPr>
          <w:p>
            <w:r>
              <w:rPr>
                <w:b/>
              </w:rPr>
              <w:t xml:space="preserve">表名</w:t>
            </w:r>
          </w:p>
        </w:tc>
        <w:tc>
          <w:tcPr>
            <w:tcW w:w="4733" w:type="dxa"/>
            <w:shd w:fill="E2E8F0"/>
          </w:tcPr>
          <w:p>
            <w:r>
              <w:rPr>
                <w:b/>
              </w:rPr>
              <w:t xml:space="preserve">关键字段</w:t>
            </w:r>
          </w:p>
        </w:tc>
        <w:tc>
          <w:tcPr>
            <w:tcW w:w="4733" w:type="dxa"/>
            <w:shd w:fill="E2E8F0"/>
          </w:tcPr>
          <w:p>
            <w:r>
              <w:rPr>
                <w:b/>
              </w:rPr>
              <w:t xml:space="preserve">作用</w:t>
            </w:r>
          </w:p>
        </w:tc>
      </w:tr>
      <w:tr>
        <w:tc>
          <w:tcPr>
            <w:tcW w:w="4733" w:type="dxa"/>
          </w:tcPr>
          <w:p>
            <w:r>
              <w:t xml:space="preserve">agent_templates</w:t>
            </w:r>
          </w:p>
        </w:tc>
        <w:tc>
          <w:tcPr>
            <w:tcW w:w="4733" w:type="dxa"/>
          </w:tcPr>
          <w:p>
            <w:r>
              <w:t xml:space="preserve">agent_type, version, graph_config, input_schema, output_schema</w:t>
            </w:r>
          </w:p>
        </w:tc>
        <w:tc>
          <w:tcPr>
            <w:tcW w:w="4733" w:type="dxa"/>
          </w:tcPr>
          <w:p>
            <w:r>
              <w:t xml:space="preserve">业务 Agent 模板注册。</w:t>
            </w:r>
          </w:p>
        </w:tc>
      </w:tr>
      <w:tr>
        <w:tc>
          <w:tcPr>
            <w:tcW w:w="4733" w:type="dxa"/>
          </w:tcPr>
          <w:p>
            <w:r>
              <w:t xml:space="preserve">agent_runs</w:t>
            </w:r>
          </w:p>
        </w:tc>
        <w:tc>
          <w:tcPr>
            <w:tcW w:w="4733" w:type="dxa"/>
          </w:tcPr>
          <w:p>
            <w:r>
              <w:t xml:space="preserve">run_id, agent_type, user_id, status, task_context, final_result</w:t>
            </w:r>
          </w:p>
        </w:tc>
        <w:tc>
          <w:tcPr>
            <w:tcW w:w="4733" w:type="dxa"/>
          </w:tcPr>
          <w:p>
            <w:r>
              <w:t xml:space="preserve">一次 Agent 执行主记录。</w:t>
            </w:r>
          </w:p>
        </w:tc>
      </w:tr>
      <w:tr>
        <w:tc>
          <w:tcPr>
            <w:tcW w:w="4733" w:type="dxa"/>
          </w:tcPr>
          <w:p>
            <w:r>
              <w:t xml:space="preserve">tool_calls</w:t>
            </w:r>
          </w:p>
        </w:tc>
        <w:tc>
          <w:tcPr>
            <w:tcW w:w="4733" w:type="dxa"/>
          </w:tcPr>
          <w:p>
            <w:r>
              <w:t xml:space="preserve">run_id, node_id, tool_name, args_hash, result_ref, latency_ms, status</w:t>
            </w:r>
          </w:p>
        </w:tc>
        <w:tc>
          <w:tcPr>
            <w:tcW w:w="4733" w:type="dxa"/>
          </w:tcPr>
          <w:p>
            <w:r>
              <w:t xml:space="preserve">工具调用审计与回放。</w:t>
            </w:r>
          </w:p>
        </w:tc>
      </w:tr>
      <w:tr>
        <w:tc>
          <w:tcPr>
            <w:tcW w:w="4733" w:type="dxa"/>
          </w:tcPr>
          <w:p>
            <w:r>
              <w:t xml:space="preserve">model_calls</w:t>
            </w:r>
          </w:p>
        </w:tc>
        <w:tc>
          <w:tcPr>
            <w:tcW w:w="4733" w:type="dxa"/>
          </w:tcPr>
          <w:p>
            <w:r>
              <w:t xml:space="preserve">run_id, model_name, prompt_hash, token_in, token_out, latency_ms, cost</w:t>
            </w:r>
          </w:p>
        </w:tc>
        <w:tc>
          <w:tcPr>
            <w:tcW w:w="4733" w:type="dxa"/>
          </w:tcPr>
          <w:p>
            <w:r>
              <w:t xml:space="preserve">模型调用成本与性能分析。</w:t>
            </w:r>
          </w:p>
        </w:tc>
      </w:tr>
      <w:tr>
        <w:tc>
          <w:tcPr>
            <w:tcW w:w="4733" w:type="dxa"/>
          </w:tcPr>
          <w:p>
            <w:r>
              <w:t xml:space="preserve">rag_chunks</w:t>
            </w:r>
          </w:p>
        </w:tc>
        <w:tc>
          <w:tcPr>
            <w:tcW w:w="4733" w:type="dxa"/>
          </w:tcPr>
          <w:p>
            <w:r>
              <w:t xml:space="preserve">chunk_id, collection_id, chunk_text, embedding, metadata, source_ref</w:t>
            </w:r>
          </w:p>
        </w:tc>
        <w:tc>
          <w:tcPr>
            <w:tcW w:w="4733" w:type="dxa"/>
          </w:tcPr>
          <w:p>
            <w:r>
              <w:t xml:space="preserve">RAG 向量检索主表。</w:t>
            </w:r>
          </w:p>
        </w:tc>
      </w:tr>
      <w:tr>
        <w:tc>
          <w:tcPr>
            <w:tcW w:w="4733" w:type="dxa"/>
          </w:tcPr>
          <w:p>
            <w:r>
              <w:t xml:space="preserve">excel_master_rows</w:t>
            </w:r>
          </w:p>
        </w:tc>
        <w:tc>
          <w:tcPr>
            <w:tcW w:w="4733" w:type="dxa"/>
          </w:tcPr>
          <w:p>
            <w:r>
              <w:t xml:space="preserve">row_id, collection_id, business_key, row_json, indexed_fields</w:t>
            </w:r>
          </w:p>
        </w:tc>
        <w:tc>
          <w:tcPr>
            <w:tcW w:w="4733" w:type="dxa"/>
          </w:tcPr>
          <w:p>
            <w:r>
              <w:t xml:space="preserve">Excel 知识库补全主数据快照。</w:t>
            </w:r>
          </w:p>
        </w:tc>
      </w:tr>
      <w:tr>
        <w:tc>
          <w:tcPr>
            <w:tcW w:w="4733" w:type="dxa"/>
          </w:tcPr>
          <w:p>
            <w:r>
              <w:t xml:space="preserve">enrichment_results</w:t>
            </w:r>
          </w:p>
        </w:tc>
        <w:tc>
          <w:tcPr>
            <w:tcW w:w="4733" w:type="dxa"/>
          </w:tcPr>
          <w:p>
            <w:r>
              <w:t xml:space="preserve">run_id, row_no, business_key, match_status, filled_json, diff_json</w:t>
            </w:r>
          </w:p>
        </w:tc>
        <w:tc>
          <w:tcPr>
            <w:tcW w:w="4733" w:type="dxa"/>
          </w:tcPr>
          <w:p>
            <w:r>
              <w:t xml:space="preserve">Excel 补全结果和异常明细。</w:t>
            </w:r>
          </w:p>
        </w:tc>
      </w:tr>
      <w:tr>
        <w:tc>
          <w:tcPr>
            <w:tcW w:w="4733" w:type="dxa"/>
          </w:tcPr>
          <w:p>
            <w:r>
              <w:t xml:space="preserve">metric_artifacts</w:t>
            </w:r>
          </w:p>
        </w:tc>
        <w:tc>
          <w:tcPr>
            <w:tcW w:w="4733" w:type="dxa"/>
          </w:tcPr>
          <w:p>
            <w:r>
              <w:t xml:space="preserve">artifact_id, run_id, domain, metric_json, review_status, version</w:t>
            </w:r>
          </w:p>
        </w:tc>
        <w:tc>
          <w:tcPr>
            <w:tcW w:w="4733" w:type="dxa"/>
          </w:tcPr>
          <w:p>
            <w:r>
              <w:t xml:space="preserve">指标体系构建结果。</w:t>
            </w:r>
          </w:p>
        </w:tc>
      </w:tr>
      <w:tr>
        <w:tc>
          <w:tcPr>
            <w:tcW w:w="4733" w:type="dxa"/>
          </w:tcPr>
          <w:p>
            <w:r>
              <w:t xml:space="preserve">audit_logs</w:t>
            </w:r>
          </w:p>
        </w:tc>
        <w:tc>
          <w:tcPr>
            <w:tcW w:w="4733" w:type="dxa"/>
          </w:tcPr>
          <w:p>
            <w:r>
              <w:t xml:space="preserve">request_id, user_id, action, masked_payload, hit_refs, result_summary</w:t>
            </w:r>
          </w:p>
        </w:tc>
        <w:tc>
          <w:tcPr>
            <w:tcW w:w="4733" w:type="dxa"/>
          </w:tcPr>
          <w:p>
            <w:r>
              <w:t xml:space="preserve">审计日志。</w:t>
            </w:r>
          </w:p>
        </w:tc>
      </w:tr>
      <w:tr>
        <w:tc>
          <w:tcPr>
            <w:tcW w:w="4733" w:type="dxa"/>
          </w:tcPr>
          <w:p>
            <w:r>
              <w:t xml:space="preserve">evaluation_cases</w:t>
            </w:r>
          </w:p>
        </w:tc>
        <w:tc>
          <w:tcPr>
            <w:tcW w:w="4733" w:type="dxa"/>
          </w:tcPr>
          <w:p>
            <w:r>
              <w:t xml:space="preserve">case_id, agent_type, input, expected, scoring_rule, tags</w:t>
            </w:r>
          </w:p>
        </w:tc>
        <w:tc>
          <w:tcPr>
            <w:tcW w:w="4733" w:type="dxa"/>
          </w:tcPr>
          <w:p>
            <w:r>
              <w:t xml:space="preserve">回归评测样本。</w:t>
            </w:r>
          </w:p>
        </w:tc>
      </w:tr>
    </w:tbl>
    <w:p>
      <w:pPr>
        <w:pStyle w:val="Heading1"/>
        <w:spacing w:after="120"/>
      </w:pPr>
      <w:r>
        <w:t xml:space="preserve">5. 部署架构</w:t>
      </w:r>
    </w:p>
    <w:p>
      <w:r>
        <w:pict>
          <v:group style="width:760pt;height:390pt" coordsize="1750,820">
            <v:shape id="t4" type="#_x0000_t202" style="position:absolute;left:40;top:20;width:1650;height:72" stroked="f" filled="f">
              <v:textbox inset="0,0,0,0">
                <w:txbxContent>
                  <w:p>
                    <w:r>
                      <w:rPr>
                        <w:b/>
                        <w:sz w:val="31"/>
                        <w:color w:val="0F172A"/>
                      </w:rPr>
                      <w:t>部署架构与离线交付</w:t>
                    </w:r>
                  </w:p>
                  <w:p>
                    <w:r>
                      <w:rPr>
                        <w:sz w:val="17"/>
                        <w:color w:val="64748B"/>
                      </w:rPr>
                      <w:t>单机虚机起步，后续按服务拆分；模型确认后只替换Model Gateway后端。</w:t>
                    </w:r>
                  </w:p>
                </w:txbxContent>
              </v:textbox>
            </v:shape>
            <v:roundrect id="vm" style="position:absolute;left:60;top:115;width:1630;height:535" arcsize="5%" fillcolor="#F8FAFC" strokecolor="#CBD5E1" strokeweight="1pt">
              <v:textbox inset="8pt,5pt,6pt,3pt">
                <w:txbxContent>
                  <w:p>
                    <w:r>
                      <w:rPr>
                        <w:b/>
                        <w:sz w:val="21"/>
                        <w:color w:val="0F172A"/>
                      </w:rPr>
                      <w:t>内网虚拟机 / Docker Compose 部署</w:t>
                    </w:r>
                  </w:p>
                </w:txbxContent>
              </v:textbox>
            </v:roundrect>
            <v:roundrect id="c0" style="position:absolute;left:105;top:180;width:215;height:88" arcsize="10%" fillcolor="#DBEAFE" strokecolor="#2563EB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gateway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Nginx/APISIX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TLS/Auth/Limit</w:t>
                    </w:r>
                  </w:p>
                </w:txbxContent>
              </v:textbox>
            </v:roundrect>
            <v:roundrect id="c1" style="position:absolute;left:380;top:180;width:215;height:88" arcsize="10%" fillcolor="#DCFCE7" strokecolor="#16A34A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agent-api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FastAPI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REST/SSE</w:t>
                    </w:r>
                  </w:p>
                </w:txbxContent>
              </v:textbox>
            </v:roundrect>
            <v:roundrect id="c2" style="position:absolute;left:655;top:180;width:215;height:88" arcsize="10%" fillcolor="#DCFCE7" strokecolor="#16A34A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agent-worker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LangGraph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Celery/RQ</w:t>
                    </w:r>
                  </w:p>
                </w:txbxContent>
              </v:textbox>
            </v:roundrect>
            <v:roundrect id="c3" style="position:absolute;left:930;top:180;width:215;height:88" arcsize="10%" fillcolor="#FEF3C7" strokecolor="#D97706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knowledge-worker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Parser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Embedding</w:t>
                    </w:r>
                  </w:p>
                </w:txbxContent>
              </v:textbox>
            </v:roundrect>
            <v:roundrect id="c4" style="position:absolute;left:1205;top:180;width:215;height:88" arcsize="10%" fillcolor="#FFE4E6" strokecolor="#E11D48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model-gateway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llama.cpp/API/vLLM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OpenAI接口</w:t>
                    </w:r>
                  </w:p>
                </w:txbxContent>
              </v:textbox>
            </v:roundrect>
            <v:roundrect id="c5" style="position:absolute;left:105;top:400;width:215;height:88" arcsize="10%" fillcolor="#FFFFFF" strokecolor="#334155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PostgreSQL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pgvector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业务/审计表</w:t>
                    </w:r>
                  </w:p>
                </w:txbxContent>
              </v:textbox>
            </v:roundrect>
            <v:roundrect id="c6" style="position:absolute;left:380;top:400;width:215;height:88" arcsize="10%" fillcolor="#FFFFFF" strokecolor="#EA580C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Redis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cache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queue</w:t>
                    </w:r>
                  </w:p>
                </w:txbxContent>
              </v:textbox>
            </v:roundrect>
            <v:roundrect id="c7" style="position:absolute;left:655;top:400;width:215;height:88" arcsize="10%" fillcolor="#FFFFFF" strokecolor="#0284C7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File/Model Repo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原始文件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离线包/模型</w:t>
                    </w:r>
                  </w:p>
                </w:txbxContent>
              </v:textbox>
            </v:roundrect>
            <v:roundrect id="c8" style="position:absolute;left:930;top:400;width:215;height:88" arcsize="10%" fillcolor="#FFFFFF" strokecolor="#059669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Observability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Prom/Grafana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Phoenix</w:t>
                    </w:r>
                  </w:p>
                </w:txbxContent>
              </v:textbox>
            </v:roundrect>
            <v:roundrect id="c9" style="position:absolute;left:1205;top:400;width:215;height:88" arcsize="10%" fillcolor="#FFFFFF" strokecolor="#7C3AED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Evaluation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golden cases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gray/rollback</w:t>
                    </w:r>
                  </w:p>
                </w:txbxContent>
              </v:textbox>
            </v:roundrect>
            <v:line id="d1" style="position:absolute" from="320,224" to="380,224" strokecolor="#64748B" strokeweight="1.45pt">
              <v:stroke endarrow="block"/>
            </v:line>
            <v:line id="d2" style="position:absolute" from="595,224" to="655,224" strokecolor="#64748B" strokeweight="1.45pt">
              <v:stroke endarrow="block"/>
            </v:line>
            <v:line id="d3" style="position:absolute" from="870,224" to="930,224" strokecolor="#64748B" strokeweight="1.45pt">
              <v:stroke endarrow="block"/>
            </v:line>
            <v:line id="d4" style="position:absolute" from="1145,224" to="1205,224" strokecolor="#64748B" strokeweight="1.45pt">
              <v:stroke endarrow="block"/>
            </v:line>
            <v:line id="d5" style="position:absolute" from="760,268" to="760,400" strokecolor="#64748B" strokeweight="1.45pt">
              <v:stroke endarrow="block"/>
            </v:line>
            <v:line id="d6" style="position:absolute" from="1035,268" to="1035,400" strokecolor="#64748B" strokeweight="1.45pt">
              <v:stroke endarrow="block"/>
            </v:line>
            <v:line id="d7" style="position:absolute" from="485,268" to="485,400" strokecolor="#64748B" strokeweight="1.45pt">
              <v:stroke endarrow="block"/>
            </v:line>
            <v:roundrect id="conf1" style="position:absolute;left:105;top:700;width:660;height:62" arcsize="10%" fillcolor="#FFFFFF" strokecolor="#334155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CPU验证配置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16C/64GB/500GB SSD：验证功能链路，不承诺模型推理延迟</w:t>
                    </w:r>
                  </w:p>
                </w:txbxContent>
              </v:textbox>
            </v:roundrect>
            <v:roundrect id="conf2" style="position:absolute;left:910;top:700;width:660;height:62" arcsize="10%" fillcolor="#FFFFFF" strokecolor="#334155" strokeweight="1.25pt">
              <v:textbox inset="5pt,4pt,5pt,3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19"/>
                        <w:color w:val="111827"/>
                      </w:rPr>
                      <w:t>GPU生产建议</w:t>
                    </w:r>
                  </w:p>
                  <w:p>
                    <w:pPr>
                      <w:jc w:val="center"/>
                    </w:pPr>
                    <w:r>
                      <w:rPr>
                        <w:sz w:val="15"/>
                        <w:color w:val="475569"/>
                      </w:rPr>
                      <w:t>32C/128GB/2TB SSD + L20 48GB 或 A100 40GB，按模型压测确认</w:t>
                    </w:r>
                  </w:p>
                </w:txbxContent>
              </v:textbox>
            </v:roundrect>
          </v:group>
        </w:pict>
      </w:r>
    </w:p>
    <w:p>
      <w:pPr>
        <w:jc w:val="center"/>
      </w:pPr>
      <w:r>
        <w:rPr>
          <w:color w:val="64748B"/>
          <w:sz w:val="18"/>
        </w:rPr>
        <w:t>图 4：部署架构与离线交付</w:t>
      </w:r>
    </w:p>
    <w:p>
      <w:pPr>
        <w:pStyle w:val="Heading1"/>
        <w:spacing w:after="120"/>
      </w:pPr>
      <w:r>
        <w:t xml:space="preserve">6. 模块详细设计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r>
        <w:tc>
          <w:tcPr>
            <w:tcW w:w="4733" w:type="dxa"/>
            <w:shd w:fill="E2E8F0"/>
          </w:tcPr>
          <w:p>
            <w:r>
              <w:rPr>
                <w:b/>
              </w:rPr>
              <w:t xml:space="preserve">模块</w:t>
            </w:r>
          </w:p>
        </w:tc>
        <w:tc>
          <w:tcPr>
            <w:tcW w:w="4733" w:type="dxa"/>
            <w:shd w:fill="E2E8F0"/>
          </w:tcPr>
          <w:p>
            <w:r>
              <w:rPr>
                <w:b/>
              </w:rPr>
              <w:t xml:space="preserve">职责</w:t>
            </w:r>
          </w:p>
        </w:tc>
        <w:tc>
          <w:tcPr>
            <w:tcW w:w="4733" w:type="dxa"/>
            <w:shd w:fill="E2E8F0"/>
          </w:tcPr>
          <w:p>
            <w:r>
              <w:rPr>
                <w:b/>
              </w:rPr>
              <w:t xml:space="preserve">关键实现</w:t>
            </w:r>
          </w:p>
        </w:tc>
      </w:tr>
      <w:tr>
        <w:tc>
          <w:tcPr>
            <w:tcW w:w="4733" w:type="dxa"/>
          </w:tcPr>
          <w:p>
            <w:r>
              <w:t xml:space="preserve">Agent API</w:t>
            </w:r>
          </w:p>
        </w:tc>
        <w:tc>
          <w:tcPr>
            <w:tcW w:w="4733" w:type="dxa"/>
          </w:tcPr>
          <w:p>
            <w:r>
              <w:t xml:space="preserve">提供 REST/SSE/异步任务接口</w:t>
            </w:r>
          </w:p>
        </w:tc>
        <w:tc>
          <w:tcPr>
            <w:tcW w:w="4733" w:type="dxa"/>
          </w:tcPr>
          <w:p>
            <w:r>
              <w:t xml:space="preserve">FastAPI、Pydantic、上传文件、任务状态查询。</w:t>
            </w:r>
          </w:p>
        </w:tc>
      </w:tr>
      <w:tr>
        <w:tc>
          <w:tcPr>
            <w:tcW w:w="4733" w:type="dxa"/>
          </w:tcPr>
          <w:p>
            <w:r>
              <w:t xml:space="preserve">LangGraph Runtime</w:t>
            </w:r>
          </w:p>
        </w:tc>
        <w:tc>
          <w:tcPr>
            <w:tcW w:w="4733" w:type="dxa"/>
          </w:tcPr>
          <w:p>
            <w:r>
              <w:t xml:space="preserve">执行 Agent 状态机</w:t>
            </w:r>
          </w:p>
        </w:tc>
        <w:tc>
          <w:tcPr>
            <w:tcW w:w="4733" w:type="dxa"/>
          </w:tcPr>
          <w:p>
            <w:r>
              <w:t xml:space="preserve">Checkpoint、Replay、Map-Reduce、HITL。</w:t>
            </w:r>
          </w:p>
        </w:tc>
      </w:tr>
      <w:tr>
        <w:tc>
          <w:tcPr>
            <w:tcW w:w="4733" w:type="dxa"/>
          </w:tcPr>
          <w:p>
            <w:r>
              <w:t xml:space="preserve">Tool Registry</w:t>
            </w:r>
          </w:p>
        </w:tc>
        <w:tc>
          <w:tcPr>
            <w:tcW w:w="4733" w:type="dxa"/>
          </w:tcPr>
          <w:p>
            <w:r>
              <w:t xml:space="preserve">管理工具清单和权限</w:t>
            </w:r>
          </w:p>
        </w:tc>
        <w:tc>
          <w:tcPr>
            <w:tcW w:w="4733" w:type="dxa"/>
          </w:tcPr>
          <w:p>
            <w:r>
              <w:t xml:space="preserve">Manifest、Pydantic Schema、超时、重试、审计。</w:t>
            </w:r>
          </w:p>
        </w:tc>
      </w:tr>
      <w:tr>
        <w:tc>
          <w:tcPr>
            <w:tcW w:w="4733" w:type="dxa"/>
          </w:tcPr>
          <w:p>
            <w:r>
              <w:t xml:space="preserve">MCP Servers</w:t>
            </w:r>
          </w:p>
        </w:tc>
        <w:tc>
          <w:tcPr>
            <w:tcW w:w="4733" w:type="dxa"/>
          </w:tcPr>
          <w:p>
            <w:r>
              <w:t xml:space="preserve">标准化外部系统连接</w:t>
            </w:r>
          </w:p>
        </w:tc>
        <w:tc>
          <w:tcPr>
            <w:tcW w:w="4733" w:type="dxa"/>
          </w:tcPr>
          <w:p>
            <w:r>
              <w:t xml:space="preserve">database-mcp、file-mcp、knowledge-mcp、metrics-mcp。</w:t>
            </w:r>
          </w:p>
        </w:tc>
      </w:tr>
      <w:tr>
        <w:tc>
          <w:tcPr>
            <w:tcW w:w="4733" w:type="dxa"/>
          </w:tcPr>
          <w:p>
            <w:r>
              <w:t xml:space="preserve">Knowledge Service</w:t>
            </w:r>
          </w:p>
        </w:tc>
        <w:tc>
          <w:tcPr>
            <w:tcW w:w="4733" w:type="dxa"/>
          </w:tcPr>
          <w:p>
            <w:r>
              <w:t xml:space="preserve">知识解析和检索</w:t>
            </w:r>
          </w:p>
        </w:tc>
        <w:tc>
          <w:tcPr>
            <w:tcW w:w="4733" w:type="dxa"/>
          </w:tcPr>
          <w:p>
            <w:r>
              <w:t xml:space="preserve">Parser、Chunk、Exact Lookup、pgvector、rerank、Field Dict。</w:t>
            </w:r>
          </w:p>
        </w:tc>
      </w:tr>
      <w:tr>
        <w:tc>
          <w:tcPr>
            <w:tcW w:w="4733" w:type="dxa"/>
          </w:tcPr>
          <w:p>
            <w:r>
              <w:t xml:space="preserve">Model Gateway</w:t>
            </w:r>
          </w:p>
        </w:tc>
        <w:tc>
          <w:tcPr>
            <w:tcW w:w="4733" w:type="dxa"/>
          </w:tcPr>
          <w:p>
            <w:r>
              <w:t xml:space="preserve">模型路由和统一接口</w:t>
            </w:r>
          </w:p>
        </w:tc>
        <w:tc>
          <w:tcPr>
            <w:tcW w:w="4733" w:type="dxa"/>
          </w:tcPr>
          <w:p>
            <w:r>
              <w:t xml:space="preserve">CPU/API/GPU 三模式，OpenAI Compatible API。</w:t>
            </w:r>
          </w:p>
        </w:tc>
      </w:tr>
      <w:tr>
        <w:tc>
          <w:tcPr>
            <w:tcW w:w="4733" w:type="dxa"/>
          </w:tcPr>
          <w:p>
            <w:r>
              <w:t xml:space="preserve">Observability</w:t>
            </w:r>
          </w:p>
        </w:tc>
        <w:tc>
          <w:tcPr>
            <w:tcW w:w="4733" w:type="dxa"/>
          </w:tcPr>
          <w:p>
            <w:r>
              <w:t xml:space="preserve">监控、日志、Trace、评测</w:t>
            </w:r>
          </w:p>
        </w:tc>
        <w:tc>
          <w:tcPr>
            <w:tcW w:w="4733" w:type="dxa"/>
          </w:tcPr>
          <w:p>
            <w:r>
              <w:t xml:space="preserve">OpenTelemetry、Prometheus、Grafana、Phoenix。</w:t>
            </w:r>
          </w:p>
        </w:tc>
      </w:tr>
    </w:tbl>
    <w:p>
      <w:pPr>
        <w:pStyle w:val="Heading1"/>
        <w:spacing w:after="120"/>
      </w:pPr>
      <w:r>
        <w:t xml:space="preserve">7. 安全与性能</w:t>
      </w:r>
    </w:p>
    <w:p>
      <w:pPr>
        <w:pStyle w:val="ListParagraph"/>
        <w:ind w:left="420"/>
        <w:spacing w:after="80"/>
      </w:pPr>
      <w:r>
        <w:t xml:space="preserve">• 所有工具入参必须 Schema 校验，禁止用户输入直接拼接 SQL 或 metadata filter。</w:t>
      </w:r>
    </w:p>
    <w:p>
      <w:pPr>
        <w:pStyle w:val="ListParagraph"/>
        <w:ind w:left="420"/>
        <w:spacing w:after="80"/>
      </w:pPr>
      <w:r>
        <w:t xml:space="preserve">• Excel 补全主路径走结构化精确查询，避免不必要的模型调用。</w:t>
      </w:r>
    </w:p>
    <w:p>
      <w:pPr>
        <w:pStyle w:val="ListParagraph"/>
        <w:ind w:left="420"/>
        <w:spacing w:after="80"/>
      </w:pPr>
      <w:r>
        <w:t xml:space="preserve">• 指标构建通过 Schema Slimming + Map-Reduce 解决大 JSON 瓶颈。</w:t>
      </w:r>
    </w:p>
    <w:p>
      <w:pPr>
        <w:pStyle w:val="ListParagraph"/>
        <w:ind w:left="420"/>
        <w:spacing w:after="80"/>
      </w:pPr>
      <w:r>
        <w:t xml:space="preserve">• RAG 问答通过 pgvector + rerank + 引用校验降低幻觉。</w:t>
      </w:r>
    </w:p>
    <w:p>
      <w:pPr>
        <w:pStyle w:val="ListParagraph"/>
        <w:ind w:left="420"/>
        <w:spacing w:after="80"/>
      </w:pPr>
      <w:r>
        <w:t xml:space="preserve">• 全链路记录 request_id、run_id、tool_call_id、model_call_id，支持审计与回放。</w:t>
      </w:r>
    </w:p>
    <w:sectPr>
      <w:pgSz w:w="16838" w:h="11906" w:orient="landscape"/>
      <w:pgMar w:top="720" w:right="720" w:bottom="720" w:left="72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 Unicode MS" w:eastAsia="Arial Unicode MS"/>
      <w:sz w:val="21"/>
    </w:rPr>
  </w:style>
  <w:style w:type="paragraph" w:styleId="Heading1">
    <w:name w:val="heading 1"/>
    <w:basedOn w:val="Normal"/>
    <w:rPr>
      <w:b/>
      <w:sz w:val="36"/>
      <w:color w:val="0F172A"/>
    </w:rPr>
  </w:style>
  <w:style w:type="paragraph" w:styleId="Heading2">
    <w:name w:val="heading 2"/>
    <w:basedOn w:val="Normal"/>
    <w:rPr>
      <w:b/>
      <w:sz w:val="28"/>
      <w:color w:val="1F2937"/>
    </w:rPr>
  </w:style>
  <w:style w:type="paragraph" w:styleId="Heading3">
    <w:name w:val="heading 3"/>
    <w:basedOn w:val="Normal"/>
    <w:rPr>
      <w:b/>
      <w:sz w:val="24"/>
      <w:color w:val="334155"/>
    </w:rPr>
  </w:style>
  <w:style w:type="paragraph" w:styleId="Title">
    <w:name w:val="Title"/>
    <w:rPr>
      <w:b/>
      <w:sz w:val="44"/>
    </w:rPr>
  </w:style>
  <w:style w:type="paragraph" w:styleId="ListParagraph">
    <w:name w:val="List Paragraph"/>
    <w:basedOn w:val="Normal"/>
  </w:style>
</w:styles>
</file>

<file path=word/_rels/document.xml.rels><?xml version="1.0" encoding="UTF-8" standalone="yes"?><Relationships xmlns="http://schemas.openxmlformats.org/package/2006/relationships"></Relationships>
</file>