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pStyle w:val="Title"/>
        <w:jc w:val="center"/>
      </w:pPr>
      <w:r>
        <w:t>公共底层智能体平台详细设计方案（合并增强版）</w:t>
      </w:r>
    </w:p>
    <w:p>
      <w:pPr>
        <w:spacing w:after="120"/>
      </w:pPr>
      <w:r>
        <w:t xml:space="preserve">本版合并前面所有需求：以整体智能体平台为主线，物料/Excel补全仅作为业务 Agent 示例之一；图形采用 Word 原生流程图风格。</w:t>
      </w:r>
    </w:p>
    <w:p>
      <w:pPr>
        <w:pStyle w:val="Heading1"/>
        <w:spacing w:after="120"/>
      </w:pPr>
      <w:r>
        <w:t xml:space="preserve">1. 项目背景</w:t>
      </w:r>
    </w:p>
    <w:p>
      <w:pPr>
        <w:pStyle w:val="Heading2"/>
        <w:spacing w:after="120"/>
      </w:pPr>
      <w:r>
        <w:t xml:space="preserve">1.1 项目简介</w:t>
      </w:r>
    </w:p>
    <w:p>
      <w:pPr>
        <w:spacing w:after="120"/>
      </w:pPr>
      <w:r>
        <w:t xml:space="preserve">本项目建设一个公共底层智能体平台，用统一的 Agent Runtime、工具体系、知识服务、模型网关和治理能力，支撑企业内部多类智能体应用。首批业务包括指标体系构建 Agent、Excel 知识库数据补全 Agent，以及可扩展的 RAG 问答 Agent。</w:t>
      </w:r>
    </w:p>
    <w:p>
      <w:pPr>
        <w:pStyle w:val="Heading2"/>
        <w:spacing w:after="120"/>
      </w:pPr>
      <w:r>
        <w:t xml:space="preserve">1.2 项目定位与功能</w:t>
      </w:r>
    </w:p>
    <w:p>
      <w:pPr>
        <w:pStyle w:val="ListParagraph"/>
        <w:ind w:left="420"/>
        <w:spacing w:after="80"/>
      </w:pPr>
      <w:r>
        <w:t xml:space="preserve">• 公共智能体平台：提供 Agent 模板、状态机编排、工具注册、模型路由、知识检索、安全审计和评测发布能力。</w:t>
      </w:r>
    </w:p>
    <w:p>
      <w:pPr>
        <w:pStyle w:val="ListParagraph"/>
        <w:ind w:left="420"/>
        <w:spacing w:after="80"/>
      </w:pPr>
      <w:r>
        <w:t xml:space="preserve">• 指标体系构建：面向表结构 JSON、Excel/Word 说明和业务 Prompt，自动完成业务域分类、指标推导、可行性复评和人工确认。</w:t>
      </w:r>
    </w:p>
    <w:p>
      <w:pPr>
        <w:pStyle w:val="ListParagraph"/>
        <w:ind w:left="420"/>
        <w:spacing w:after="80"/>
      </w:pPr>
      <w:r>
        <w:t xml:space="preserve">• Excel 知识库补全：面向结构化知识库 Excel 和待补全 Excel，通过主键/字段精确匹配批量补全属性字段，并生成异常报告。</w:t>
      </w:r>
    </w:p>
    <w:p>
      <w:pPr>
        <w:pStyle w:val="ListParagraph"/>
        <w:ind w:left="420"/>
        <w:spacing w:after="80"/>
      </w:pPr>
      <w:r>
        <w:t xml:space="preserve">• RAG 问答扩展：面向非结构化文档知识库，支持语义检索、引用回答和反馈评测。</w:t>
      </w:r>
    </w:p>
    <w:p>
      <w:pPr>
        <w:pStyle w:val="Heading2"/>
        <w:spacing w:after="120"/>
      </w:pPr>
      <w:r>
        <w:t xml:space="preserve">1.3 技术特色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7100" w:type="dxa"/>
            <w:shd w:fill="E2E8F0"/>
          </w:tcPr>
          <w:p>
            <w:r>
              <w:rPr>
                <w:b/>
              </w:rPr>
              <w:t xml:space="preserve">技术特色</w:t>
            </w:r>
          </w:p>
        </w:tc>
        <w:tc>
          <w:tcPr>
            <w:tcW w:w="7100" w:type="dxa"/>
            <w:shd w:fill="E2E8F0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7100" w:type="dxa"/>
          </w:tcPr>
          <w:p>
            <w:r>
              <w:t xml:space="preserve">公共 Runtime</w:t>
            </w:r>
          </w:p>
        </w:tc>
        <w:tc>
          <w:tcPr>
            <w:tcW w:w="7100" w:type="dxa"/>
          </w:tcPr>
          <w:p>
            <w:r>
              <w:t xml:space="preserve">所有业务 Agent 运行在同一 LangGraph Runtime 上，通过模板定义差异。</w:t>
            </w:r>
          </w:p>
        </w:tc>
      </w:tr>
      <w:tr>
        <w:tc>
          <w:tcPr>
            <w:tcW w:w="7100" w:type="dxa"/>
          </w:tcPr>
          <w:p>
            <w:r>
              <w:t xml:space="preserve">工具化架构</w:t>
            </w:r>
          </w:p>
        </w:tc>
        <w:tc>
          <w:tcPr>
            <w:tcW w:w="7100" w:type="dxa"/>
          </w:tcPr>
          <w:p>
            <w:r>
              <w:t xml:space="preserve">确定性能力通过 Tool/MCP/Skill 注册，模型只负责推理和生成。</w:t>
            </w:r>
          </w:p>
        </w:tc>
      </w:tr>
      <w:tr>
        <w:tc>
          <w:tcPr>
            <w:tcW w:w="7100" w:type="dxa"/>
          </w:tcPr>
          <w:p>
            <w:r>
              <w:t xml:space="preserve">混合知识服务</w:t>
            </w:r>
          </w:p>
        </w:tc>
        <w:tc>
          <w:tcPr>
            <w:tcW w:w="7100" w:type="dxa"/>
          </w:tcPr>
          <w:p>
            <w:r>
              <w:t xml:space="preserve">同时支持结构化查询、Excel 行级回填、字段字典、pgvector 语义检索。</w:t>
            </w:r>
          </w:p>
        </w:tc>
      </w:tr>
      <w:tr>
        <w:tc>
          <w:tcPr>
            <w:tcW w:w="7100" w:type="dxa"/>
          </w:tcPr>
          <w:p>
            <w:r>
              <w:t xml:space="preserve">模型分流</w:t>
            </w:r>
          </w:p>
        </w:tc>
        <w:tc>
          <w:tcPr>
            <w:tcW w:w="7100" w:type="dxa"/>
          </w:tcPr>
          <w:p>
            <w:r>
              <w:t xml:space="preserve">小模型分类/路由，主模型复杂推理，Embedding/Rerank 支撑检索，字段补全优先不用 LLM。</w:t>
            </w:r>
          </w:p>
        </w:tc>
      </w:tr>
      <w:tr>
        <w:tc>
          <w:tcPr>
            <w:tcW w:w="7100" w:type="dxa"/>
          </w:tcPr>
          <w:p>
            <w:r>
              <w:t xml:space="preserve">离线部署</w:t>
            </w:r>
          </w:p>
        </w:tc>
        <w:tc>
          <w:tcPr>
            <w:tcW w:w="7100" w:type="dxa"/>
          </w:tcPr>
          <w:p>
            <w:r>
              <w:t xml:space="preserve">支持内网无外网环境，Docker、wheelhouse、模型权重、SQL 和模板包离线交付。</w:t>
            </w:r>
          </w:p>
        </w:tc>
      </w:tr>
    </w:tbl>
    <w:p>
      <w:pPr>
        <w:pStyle w:val="Heading1"/>
        <w:spacing w:after="120"/>
      </w:pPr>
      <w:r>
        <w:t xml:space="preserve">2. 系统概要设计</w:t>
      </w:r>
    </w:p>
    <w:p>
      <w:r>
        <w:pict>
          <v:group style="width:760pt;height:392pt" coordsize="1750,850">
            <v:shape id="t1" type="#_x0000_t202" style="position:absolute;left:40;top:20;width:1650;height:72" stroked="f" filled="f">
              <v:textbox inset="0,0,0,0">
                <w:txbxContent>
                  <w:p>
                    <w:r>
                      <w:rPr>
                        <w:b/>
                        <w:sz w:val="32"/>
                        <w:color w:val="0F172A"/>
                      </w:rPr>
                      <w:t>公共底层智能体平台总体架构</w:t>
                    </w:r>
                  </w:p>
                  <w:p>
                    <w:r>
                      <w:rPr>
                        <w:sz w:val="18"/>
                        <w:color w:val="64748B"/>
                      </w:rPr>
                      <w:t>以公共 Agent Runtime 为核心，支撑指标体系构建、Excel 知识库补全、RAG 问答等多个业务 Agent。</w:t>
                    </w:r>
                  </w:p>
                </w:txbxContent>
              </v:textbox>
            </v:shape>
            <v:roundrect id="la" style="position:absolute;left:40;top:115;width:1670;height:95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接入与体验层</w:t>
                    </w:r>
                  </w:p>
                </w:txbxContent>
              </v:textbox>
            </v:roundrect>
            <v:roundrect id="a1" style="position:absolute;left:85;top:155;width:260;height:42" arcsize="10%" fillcolor="#DBEAFE" strokecolor="#2563EB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Web UI / Java 管理台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任务提交 · 配置管理</w:t>
                    </w:r>
                  </w:p>
                </w:txbxContent>
              </v:textbox>
            </v:roundrect>
            <v:roundrect id="a2" style="position:absolute;left:385;top:155;width:260;height:42" arcsize="10%" fillcolor="#DBEAFE" strokecolor="#2563EB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OpenAPI / 批处理入口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文件上传 · JSON任务</w:t>
                    </w:r>
                  </w:p>
                </w:txbxContent>
              </v:textbox>
            </v:roundrect>
            <v:roundrect id="a3" style="position:absolute;left:685;top:155;width:260;height:42" arcsize="10%" fillcolor="#DBEAFE" strokecolor="#2563EB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业务系统集成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数据治理 · 指标平台</w:t>
                    </w:r>
                  </w:p>
                </w:txbxContent>
              </v:textbox>
            </v:roundrect>
            <v:roundrect id="a4" style="position:absolute;left:985;top:155;width:260;height:42" arcsize="10%" fillcolor="#FEF3C7" strokecolor="#D97706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HITL 人工工作台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确认 · 修正 · 发布</w:t>
                    </w:r>
                  </w:p>
                </w:txbxContent>
              </v:textbox>
            </v:roundrect>
            <v:roundrect id="a5" style="position:absolute;left:1285;top:155;width:330;height:42" arcsize="10%" fillcolor="#E0F2FE" strokecolor="#0284C7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API Gateway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Nginx/APISIX · TLS · 鉴权 · 限流</w:t>
                    </w:r>
                  </w:p>
                </w:txbxContent>
              </v:textbox>
            </v:roundrect>
            <v:roundrect id="lb" style="position:absolute;left:40;top:245;width:1670;height:150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公共智能体运行层</w:t>
                    </w:r>
                  </w:p>
                </w:txbxContent>
              </v:textbox>
            </v:roundrect>
            <v:roundrect id="b1" style="position:absolute;left:85;top:305;width:250;height:60" arcsize="10%" fillcolor="#DCFCE7" strokecolor="#16A34A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Agent API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FastAPI · REST/SSE</w:t>
                    </w:r>
                  </w:p>
                </w:txbxContent>
              </v:textbox>
            </v:roundrect>
            <v:roundrect id="b2" style="position:absolute;left:375;top:305;width:310;height:60" arcsize="10%" fillcolor="#DCFCE7" strokecolor="#16A34A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Agent Template Router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按 agent_type 加载模板</w:t>
                    </w:r>
                  </w:p>
                </w:txbxContent>
              </v:textbox>
            </v:roundrect>
            <v:roundrect id="b3" style="position:absolute;left:725;top:305;width:310;height:60" arcsize="10%" fillcolor="#DCFCE7" strokecolor="#16A34A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LangGraph Runtime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状态机 · Checkpoint · Replay</w:t>
                    </w:r>
                  </w:p>
                </w:txbxContent>
              </v:textbox>
            </v:roundrect>
            <v:roundrect id="b4" style="position:absolute;left:1075;top:305;width:250;height:60" arcsize="10%" fillcolor="#DCFCE7" strokecolor="#16A34A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Task Queue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Redis · Celery/RQ</w:t>
                    </w:r>
                  </w:p>
                </w:txbxContent>
              </v:textbox>
            </v:roundrect>
            <v:roundrect id="b5" style="position:absolute;left:1365;top:305;width:250;height:60" arcsize="10%" fillcolor="#FFE4E6" strokecolor="#E11D48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Policy / Audit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权限 · 脱敏 · 审计</w:t>
                    </w:r>
                  </w:p>
                </w:txbxContent>
              </v:textbox>
            </v:roundrect>
            <v:roundrect id="lc" style="position:absolute;left:40;top:430;width:820;height:180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业务 Agent 应用层</w:t>
                    </w:r>
                  </w:p>
                </w:txbxContent>
              </v:textbox>
            </v:roundrect>
            <v:roundrect id="c1" style="position:absolute;left:85;top:500;width:230;height:62" arcsize="10%" fillcolor="#EFF6FF" strokecolor="#2563EB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指标体系构建 Agent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Schema理解 · 指标推导</w:t>
                    </w:r>
                  </w:p>
                </w:txbxContent>
              </v:textbox>
            </v:roundrect>
            <v:roundrect id="c2" style="position:absolute;left:345;top:500;width:230;height:62" arcsize="10%" fillcolor="#F0FDF4" strokecolor="#16A34A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Excel知识库补全 Agent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ID匹配 · 属性回填</w:t>
                    </w:r>
                  </w:p>
                </w:txbxContent>
              </v:textbox>
            </v:roundrect>
            <v:roundrect id="c3" style="position:absolute;left:605;top:500;width:210;height:62" arcsize="10%" fillcolor="#F3E8FF" strokecolor="#7C3AED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RAG问答 Agent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检索增强 · 引用回答</w:t>
                    </w:r>
                  </w:p>
                </w:txbxContent>
              </v:textbox>
            </v:roundrect>
            <v:roundrect id="ld" style="position:absolute;left:900;top:430;width:810;height:180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能力插件与知识服务层</w:t>
                    </w:r>
                  </w:p>
                </w:txbxContent>
              </v:textbox>
            </v:roundrect>
            <v:roundrect id="d1" style="position:absolute;left:945;top:500;width:190;height:62" arcsize="10%" fillcolor="#FEF3C7" strokecolor="#D97706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Tool Registry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强Schema工具</w:t>
                    </w:r>
                  </w:p>
                </w:txbxContent>
              </v:textbox>
            </v:roundrect>
            <v:roundrect id="d2" style="position:absolute;left:1160;top:500;width:190;height:62" arcsize="10%" fillcolor="#FEF3C7" strokecolor="#D97706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MCP Servers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DB/File/Knowledge</w:t>
                    </w:r>
                  </w:p>
                </w:txbxContent>
              </v:textbox>
            </v:roundrect>
            <v:roundrect id="d3" style="position:absolute;left:1375;top:500;width:280;height:62" arcsize="10%" fillcolor="#F3E8FF" strokecolor="#7C3AED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Knowledge Service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Parser · Chunk · Retriever · FieldDict</w:t>
                    </w:r>
                  </w:p>
                </w:txbxContent>
              </v:textbox>
            </v:roundrect>
            <v:roundrect id="le" style="position:absolute;left:40;top:645;width:1670;height:165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模型、数据与治理基础设施</w:t>
                    </w:r>
                  </w:p>
                </w:txbxContent>
              </v:textbox>
            </v:roundrect>
            <v:roundrect id="e1" style="position:absolute;left:85;top:710;width:250;height:60" arcsize="10%" fillcolor="#FFE4E6" strokecolor="#E11D48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Model Gateway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CPU/API/GPU · OpenAI兼容</w:t>
                    </w:r>
                  </w:p>
                </w:txbxContent>
              </v:textbox>
            </v:roundrect>
            <v:roundrect id="e2" style="position:absolute;left:375;top:710;width:260;height:60" arcsize="10%" fillcolor="#FFE4E6" strokecolor="#E11D48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Model Endpoints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Qwen · bge-m3 · reranker</w:t>
                    </w:r>
                  </w:p>
                </w:txbxContent>
              </v:textbox>
            </v:roundrect>
            <v:roundrect id="e3" style="position:absolute;left:675;top:710;width:300;height:60" arcsize="10%" fillcolor="#FFFFFF" strokecolor="#334155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PostgreSQL + pgvector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agent/rag/excel/metric/audit</w:t>
                    </w:r>
                  </w:p>
                </w:txbxContent>
              </v:textbox>
            </v:roundrect>
            <v:roundrect id="e4" style="position:absolute;left:1015;top:710;width:250;height:60" arcsize="10%" fillcolor="#FFFFFF" strokecolor="#0284C7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File &amp; Model Repo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原始文件 · 模型 · 离线包</w:t>
                    </w:r>
                  </w:p>
                </w:txbxContent>
              </v:textbox>
            </v:roundrect>
            <v:roundrect id="e5" style="position:absolute;left:1305;top:710;width:300;height:60" arcsize="10%" fillcolor="#ECFDF5" strokecolor="#059669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Observability &amp; Evaluation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OTel · Prometheus · Phoenix · 回归评测</w:t>
                    </w:r>
                  </w:p>
                </w:txbxContent>
              </v:textbox>
            </v:roundrect>
            <v:line id="x1" style="position:absolute" from="1485,197" to="1485,305" strokecolor="#64748B" strokeweight="1.6pt">
              <v:stroke endarrow="block"/>
            </v:line>
            <v:line id="x2" style="position:absolute" from="335,335" to="375,335" strokecolor="#64748B" strokeweight="1.6pt">
              <v:stroke endarrow="block"/>
            </v:line>
            <v:line id="x3" style="position:absolute" from="685,335" to="725,335" strokecolor="#64748B" strokeweight="1.6pt">
              <v:stroke endarrow="block"/>
            </v:line>
            <v:line id="x4" style="position:absolute" from="1035,335" to="1075,335" strokecolor="#64748B" strokeweight="1.6pt">
              <v:stroke endarrow="block"/>
            </v:line>
            <v:line id="x5" style="position:absolute" from="1325,335" to="1365,335" strokecolor="#64748B" strokeweight="1.6pt">
              <v:stroke endarrow="block"/>
            </v:line>
            <v:line id="x6" style="position:absolute" from="880,365" to="880,500" strokecolor="#64748B" strokeweight="1.6pt">
              <v:stroke endarrow="block"/>
            </v:line>
            <v:line id="x7" style="position:absolute" from="815,531" to="945,531" strokecolor="#64748B" strokeweight="1.6pt">
              <v:stroke endarrow="block"/>
            </v:line>
            <v:line id="x8" style="position:absolute" from="1350,531" to="1375,531" strokecolor="#64748B" strokeweight="1.6pt">
              <v:stroke endarrow="block"/>
            </v:line>
            <v:line id="x9" style="position:absolute" from="1515,562" to="1515,710" strokecolor="#64748B" strokeweight="1.6pt">
              <v:stroke endarrow="block"/>
            </v:line>
            <v:line id="x10" style="position:absolute" from="880,610" to="880,710" strokecolor="#64748B" strokeweight="1.6pt">
              <v:stroke endarrow="block"/>
            </v:line>
          </v:group>
        </w:pict>
      </w:r>
    </w:p>
    <w:p>
      <w:pPr>
        <w:jc w:val="center"/>
      </w:pPr>
      <w:r>
        <w:rPr>
          <w:color w:val="64748B"/>
          <w:sz w:val="18"/>
        </w:rPr>
        <w:t>图 1：公共底层智能体平台总体架构</w:t>
      </w:r>
    </w:p>
    <w:p>
      <w:pPr>
        <w:pStyle w:val="Heading2"/>
        <w:spacing w:after="120"/>
      </w:pPr>
      <w:r>
        <w:t xml:space="preserve">2.1 架构说明</w:t>
      </w:r>
    </w:p>
    <w:p>
      <w:pPr>
        <w:spacing w:after="120"/>
      </w:pPr>
      <w:r>
        <w:t xml:space="preserve">平台按接入与体验层、公共智能体运行层、业务 Agent 应用层、能力插件与知识服务层、模型数据与治理基础设施五层建设。业务 Agent 只表达领域差异；底层运行、工具、模型、知识、审计和部署能力统一复用。</w:t>
      </w:r>
    </w:p>
    <w:p>
      <w:pPr>
        <w:pStyle w:val="Heading2"/>
        <w:spacing w:after="120"/>
      </w:pPr>
      <w:r>
        <w:t xml:space="preserve">2.2 分层组件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层级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核心组件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职责</w:t>
            </w:r>
          </w:p>
        </w:tc>
      </w:tr>
      <w:tr>
        <w:tc>
          <w:tcPr>
            <w:tcW w:w="4733" w:type="dxa"/>
          </w:tcPr>
          <w:p>
            <w:r>
              <w:t xml:space="preserve">接入与体验层</w:t>
            </w:r>
          </w:p>
        </w:tc>
        <w:tc>
          <w:tcPr>
            <w:tcW w:w="4733" w:type="dxa"/>
          </w:tcPr>
          <w:p>
            <w:r>
              <w:t xml:space="preserve">Web UI、Java 管理后台、OpenAPI、HITL 工作台、API Gateway</w:t>
            </w:r>
          </w:p>
        </w:tc>
        <w:tc>
          <w:tcPr>
            <w:tcW w:w="4733" w:type="dxa"/>
          </w:tcPr>
          <w:p>
            <w:r>
              <w:t xml:space="preserve">任务提交、文件上传、人工确认、业务系统集成和统一入口治理。</w:t>
            </w:r>
          </w:p>
        </w:tc>
      </w:tr>
      <w:tr>
        <w:tc>
          <w:tcPr>
            <w:tcW w:w="4733" w:type="dxa"/>
          </w:tcPr>
          <w:p>
            <w:r>
              <w:t xml:space="preserve">公共智能体运行层</w:t>
            </w:r>
          </w:p>
        </w:tc>
        <w:tc>
          <w:tcPr>
            <w:tcW w:w="4733" w:type="dxa"/>
          </w:tcPr>
          <w:p>
            <w:r>
              <w:t xml:space="preserve">Agent API、AgentTemplateRouter、LangGraph Runtime、Task Queue、Policy/Audit</w:t>
            </w:r>
          </w:p>
        </w:tc>
        <w:tc>
          <w:tcPr>
            <w:tcW w:w="4733" w:type="dxa"/>
          </w:tcPr>
          <w:p>
            <w:r>
              <w:t xml:space="preserve">统一任务生命周期、状态机编排、异步执行、安全策略和审计回放。</w:t>
            </w:r>
          </w:p>
        </w:tc>
      </w:tr>
      <w:tr>
        <w:tc>
          <w:tcPr>
            <w:tcW w:w="4733" w:type="dxa"/>
          </w:tcPr>
          <w:p>
            <w:r>
              <w:t xml:space="preserve">业务 Agent 应用层</w:t>
            </w:r>
          </w:p>
        </w:tc>
        <w:tc>
          <w:tcPr>
            <w:tcW w:w="4733" w:type="dxa"/>
          </w:tcPr>
          <w:p>
            <w:r>
              <w:t xml:space="preserve">指标体系构建 Agent、Excel 知识库补全 Agent、RAG 问答 Agent</w:t>
            </w:r>
          </w:p>
        </w:tc>
        <w:tc>
          <w:tcPr>
            <w:tcW w:w="4733" w:type="dxa"/>
          </w:tcPr>
          <w:p>
            <w:r>
              <w:t xml:space="preserve">通过模板定义不同业务流程、工具集合和输出 Schema。</w:t>
            </w:r>
          </w:p>
        </w:tc>
      </w:tr>
      <w:tr>
        <w:tc>
          <w:tcPr>
            <w:tcW w:w="4733" w:type="dxa"/>
          </w:tcPr>
          <w:p>
            <w:r>
              <w:t xml:space="preserve">能力插件与知识服务层</w:t>
            </w:r>
          </w:p>
        </w:tc>
        <w:tc>
          <w:tcPr>
            <w:tcW w:w="4733" w:type="dxa"/>
          </w:tcPr>
          <w:p>
            <w:r>
              <w:t xml:space="preserve">Tool Registry、MCP Servers、Knowledge Service、Skill Library</w:t>
            </w:r>
          </w:p>
        </w:tc>
        <w:tc>
          <w:tcPr>
            <w:tcW w:w="4733" w:type="dxa"/>
          </w:tcPr>
          <w:p>
            <w:r>
              <w:t xml:space="preserve">沉淀确定性工具、外部能力连接、文档解析、字段字典和检索能力。</w:t>
            </w:r>
          </w:p>
        </w:tc>
      </w:tr>
      <w:tr>
        <w:tc>
          <w:tcPr>
            <w:tcW w:w="4733" w:type="dxa"/>
          </w:tcPr>
          <w:p>
            <w:r>
              <w:t xml:space="preserve">模型数据与治理层</w:t>
            </w:r>
          </w:p>
        </w:tc>
        <w:tc>
          <w:tcPr>
            <w:tcW w:w="4733" w:type="dxa"/>
          </w:tcPr>
          <w:p>
            <w:r>
              <w:t xml:space="preserve">Model Gateway、PostgreSQL/pgvector、Redis、File Repo、Observability、Evaluation</w:t>
            </w:r>
          </w:p>
        </w:tc>
        <w:tc>
          <w:tcPr>
            <w:tcW w:w="4733" w:type="dxa"/>
          </w:tcPr>
          <w:p>
            <w:r>
              <w:t xml:space="preserve">模型路由、数据存储、缓存队列、文件模型管理、监控评测和发布回滚。</w:t>
            </w:r>
          </w:p>
        </w:tc>
      </w:tr>
    </w:tbl>
    <w:p>
      <w:pPr>
        <w:pStyle w:val="Heading1"/>
        <w:spacing w:after="120"/>
      </w:pPr>
      <w:r>
        <w:t xml:space="preserve">3. 业务 Agent 与公共能力映射</w:t>
      </w:r>
    </w:p>
    <w:p>
      <w:r>
        <w:pict>
          <v:group style="width:760pt;height:430pt" coordsize="1750,900">
            <v:shape id="t2" type="#_x0000_t202" style="position:absolute;left:40;top:20;width:1650;height:72" stroked="f" filled="f">
              <v:textbox inset="0,0,0,0">
                <w:txbxContent>
                  <w:p>
                    <w:r>
                      <w:rPr>
                        <w:b/>
                        <w:sz w:val="32"/>
                        <w:color w:val="0F172A"/>
                      </w:rPr>
                      <w:t>业务 Agent 与公共能力映射</w:t>
                    </w:r>
                  </w:p>
                  <w:p>
                    <w:r>
                      <w:rPr>
                        <w:sz w:val="18"/>
                        <w:color w:val="64748B"/>
                      </w:rPr>
                      <w:t>强调整体智能体平台：物料/Excel 补全只是其中一个业务 Agent，不是平台唯一主线。</w:t>
                    </w:r>
                  </w:p>
                </w:txbxContent>
              </v:textbox>
            </v:shape>
            <v:roundrect id="l1" style="position:absolute;left:60;top:120;width:500;height:620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指标体系构建 Agent</w:t>
                    </w:r>
                  </w:p>
                </w:txbxContent>
              </v:textbox>
            </v:roundrect>
            <v:roundrect id="m1" style="position:absolute;left:110;top:190;width:400;height:58" arcsize="10%" fillcolor="#FFFFFF" strokecolor="#2563EB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输入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table_json / Excel / Word / prompt</w:t>
                    </w:r>
                  </w:p>
                </w:txbxContent>
              </v:textbox>
            </v:roundrect>
            <v:roundrect id="m2" style="position:absolute;left:110;top:280;width:400;height:58" arcsize="10%" fillcolor="#FFFFFF" strokecolor="#2563EB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核心处理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Schema瘦身 · 业务域分类 · 指标推导</w:t>
                    </w:r>
                  </w:p>
                </w:txbxContent>
              </v:textbox>
            </v:roundrect>
            <v:roundrect id="m3" style="position:absolute;left:110;top:370;width:400;height:58" arcsize="10%" fillcolor="#FFFFFF" strokecolor="#2563EB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工具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schema_lookup · metric_rag · feasibility_check</w:t>
                    </w:r>
                  </w:p>
                </w:txbxContent>
              </v:textbox>
            </v:roundrect>
            <v:roundrect id="m4" style="position:absolute;left:110;top:460;width:400;height:58" arcsize="10%" fillcolor="#FFFFFF" strokecolor="#2563EB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输出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指标体系JSON · 指标口径 · SQL建议</w:t>
                    </w:r>
                  </w:p>
                </w:txbxContent>
              </v:textbox>
            </v:roundrect>
            <v:roundrect id="m5" style="position:absolute;left:110;top:550;width:400;height:58" arcsize="10%" fillcolor="#FFFFFF" strokecolor="#2563EB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治理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人工确认 · 版本发布 · 评测回归</w:t>
                    </w:r>
                  </w:p>
                </w:txbxContent>
              </v:textbox>
            </v:roundrect>
            <v:roundrect id="l2" style="position:absolute;left:625;top:120;width:500;height:620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Excel 知识库补全 Agent</w:t>
                    </w:r>
                  </w:p>
                </w:txbxContent>
              </v:textbox>
            </v:roundrect>
            <v:roundrect id="f1" style="position:absolute;left:675;top:190;width:400;height:58" arcsize="10%" fillcolor="#FFFFFF" strokecolor="#16A34A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输入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待补全Excel · 主键列 · 目标字段</w:t>
                    </w:r>
                  </w:p>
                </w:txbxContent>
              </v:textbox>
            </v:roundrect>
            <v:roundrect id="f2" style="position:absolute;left:675;top:280;width:400;height:58" arcsize="10%" fillcolor="#FFFFFF" strokecolor="#16A34A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核心处理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主键识别 · 精确匹配 · 批量回填</w:t>
                    </w:r>
                  </w:p>
                </w:txbxContent>
              </v:textbox>
            </v:roundrect>
            <v:roundrect id="f3" style="position:absolute;left:675;top:370;width:400;height:58" arcsize="10%" fillcolor="#FFFFFF" strokecolor="#16A34A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工具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excel_parse · exact_lookup · fill_export</w:t>
                    </w:r>
                  </w:p>
                </w:txbxContent>
              </v:textbox>
            </v:roundrect>
            <v:roundrect id="f4" style="position:absolute;left:675;top:460;width:400;height:58" arcsize="10%" fillcolor="#FFFFFF" strokecolor="#16A34A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输出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补全Excel · 异常Sheet · 差异报告</w:t>
                    </w:r>
                  </w:p>
                </w:txbxContent>
              </v:textbox>
            </v:roundrect>
            <v:roundrect id="f5" style="position:absolute;left:675;top:550;width:400;height:58" arcsize="10%" fillcolor="#FFFFFF" strokecolor="#16A34A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治理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命中率 · 冲突确认 · 数据版本追踪</w:t>
                    </w:r>
                  </w:p>
                </w:txbxContent>
              </v:textbox>
            </v:roundrect>
            <v:roundrect id="l3" style="position:absolute;left:1190;top:120;width:500;height:620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RAG 问答 / 后续扩展 Agent</w:t>
                    </w:r>
                  </w:p>
                </w:txbxContent>
              </v:textbox>
            </v:roundrect>
            <v:roundrect id="r1" style="position:absolute;left:1240;top:190;width:400;height:58" arcsize="10%" fillcolor="#FFFFFF" strokecolor="#7C3AED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输入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自然语言问题 · 文件集合 · 业务上下文</w:t>
                    </w:r>
                  </w:p>
                </w:txbxContent>
              </v:textbox>
            </v:roundrect>
            <v:roundrect id="r2" style="position:absolute;left:1240;top:280;width:400;height:58" arcsize="10%" fillcolor="#FFFFFF" strokecolor="#7C3AED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核心处理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意图识别 · 混合检索 · 引用生成</w:t>
                    </w:r>
                  </w:p>
                </w:txbxContent>
              </v:textbox>
            </v:roundrect>
            <v:roundrect id="r3" style="position:absolute;left:1240;top:370;width:400;height:58" arcsize="10%" fillcolor="#FFFFFF" strokecolor="#7C3AED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工具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vector_search · rerank · answer_builder</w:t>
                    </w:r>
                  </w:p>
                </w:txbxContent>
              </v:textbox>
            </v:roundrect>
            <v:roundrect id="r4" style="position:absolute;left:1240;top:460;width:400;height:58" arcsize="10%" fillcolor="#FFFFFF" strokecolor="#7C3AED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输出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答案 · 引用 · 置信度</w:t>
                    </w:r>
                  </w:p>
                </w:txbxContent>
              </v:textbox>
            </v:roundrect>
            <v:roundrect id="r5" style="position:absolute;left:1240;top:550;width:400;height:58" arcsize="10%" fillcolor="#FFFFFF" strokecolor="#7C3AED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治理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反馈样本 · 召回评测 · prompt版本</w:t>
                    </w:r>
                  </w:p>
                </w:txbxContent>
              </v:textbox>
            </v:roundrect>
            <v:roundrect id="base" style="position:absolute;left:340;top:785;width:1080;height:70" arcsize="10%" fillcolor="#FEF3C7" strokecolor="#D97706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公共底座复用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Agent Runtime · Tool/MCP/Skill · Knowledge Service · Model Gateway · PostgreSQL · Audit · Evaluation</w:t>
                    </w:r>
                  </w:p>
                </w:txbxContent>
              </v:textbox>
            </v:roundrect>
            <v:line id="b1" style="position:absolute" from="310,740" to="610,785" strokecolor="#D97706" strokeweight="1.6pt">
              <v:stroke endarrow="block"/>
            </v:line>
            <v:line id="b2" style="position:absolute" from="875,740" to="875,785" strokecolor="#D97706" strokeweight="1.6pt">
              <v:stroke endarrow="block"/>
            </v:line>
            <v:line id="b3" style="position:absolute" from="1430,740" to="1135,785" strokecolor="#D97706" strokeweight="1.6pt">
              <v:stroke endarrow="block"/>
            </v:line>
          </v:group>
        </w:pict>
      </w:r>
    </w:p>
    <w:p>
      <w:pPr>
        <w:jc w:val="center"/>
      </w:pPr>
      <w:r>
        <w:rPr>
          <w:color w:val="64748B"/>
          <w:sz w:val="18"/>
        </w:rPr>
        <w:t>图 2：业务 Agent 与公共能力映射</w:t>
      </w:r>
    </w:p>
    <w:p>
      <w:pPr>
        <w:pStyle w:val="Heading2"/>
        <w:spacing w:after="120"/>
      </w:pPr>
      <w:r>
        <w:t xml:space="preserve">3.1 指标体系构建 Agent</w:t>
      </w:r>
    </w:p>
    <w:p>
      <w:pPr>
        <w:spacing w:after="120"/>
      </w:pPr>
      <w:r>
        <w:t xml:space="preserve">指标体系构建 Agent 用于表结构理解和指标体系生成。它的核心不是简单问答，而是将大 JSON 或文件中的表字段信息转为可推导、可校验、可发布的指标体系 JSON。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处理内容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公共能力</w:t>
            </w:r>
          </w:p>
        </w:tc>
      </w:tr>
      <w:tr>
        <w:tc>
          <w:tcPr>
            <w:tcW w:w="4733" w:type="dxa"/>
          </w:tcPr>
          <w:p>
            <w:r>
              <w:t xml:space="preserve">输入接入</w:t>
            </w:r>
          </w:p>
        </w:tc>
        <w:tc>
          <w:tcPr>
            <w:tcW w:w="4733" w:type="dxa"/>
          </w:tcPr>
          <w:p>
            <w:r>
              <w:t xml:space="preserve">table_json、Excel、Word、业务 Prompt</w:t>
            </w:r>
          </w:p>
        </w:tc>
        <w:tc>
          <w:tcPr>
            <w:tcW w:w="4733" w:type="dxa"/>
          </w:tcPr>
          <w:p>
            <w:r>
              <w:t xml:space="preserve">Input Adapter、TaskContext</w:t>
            </w:r>
          </w:p>
        </w:tc>
      </w:tr>
      <w:tr>
        <w:tc>
          <w:tcPr>
            <w:tcW w:w="4733" w:type="dxa"/>
          </w:tcPr>
          <w:p>
            <w:r>
              <w:t xml:space="preserve">Schema 瘦身</w:t>
            </w:r>
          </w:p>
        </w:tc>
        <w:tc>
          <w:tcPr>
            <w:tcW w:w="4733" w:type="dxa"/>
          </w:tcPr>
          <w:p>
            <w:r>
              <w:t xml:space="preserve">避免全库大 JSON 直塞模型，按表/字段/业务域分批</w:t>
            </w:r>
          </w:p>
        </w:tc>
        <w:tc>
          <w:tcPr>
            <w:tcW w:w="4733" w:type="dxa"/>
          </w:tcPr>
          <w:p>
            <w:r>
              <w:t xml:space="preserve">Schema Slimmer Skill</w:t>
            </w:r>
          </w:p>
        </w:tc>
      </w:tr>
      <w:tr>
        <w:tc>
          <w:tcPr>
            <w:tcW w:w="4733" w:type="dxa"/>
          </w:tcPr>
          <w:p>
            <w:r>
              <w:t xml:space="preserve">业务域分类</w:t>
            </w:r>
          </w:p>
        </w:tc>
        <w:tc>
          <w:tcPr>
            <w:tcW w:w="4733" w:type="dxa"/>
          </w:tcPr>
          <w:p>
            <w:r>
              <w:t xml:space="preserve">对表和字段进行业务域划分</w:t>
            </w:r>
          </w:p>
        </w:tc>
        <w:tc>
          <w:tcPr>
            <w:tcW w:w="4733" w:type="dxa"/>
          </w:tcPr>
          <w:p>
            <w:r>
              <w:t xml:space="preserve">小模型、字段字典、RAG Tool</w:t>
            </w:r>
          </w:p>
        </w:tc>
      </w:tr>
      <w:tr>
        <w:tc>
          <w:tcPr>
            <w:tcW w:w="4733" w:type="dxa"/>
          </w:tcPr>
          <w:p>
            <w:r>
              <w:t xml:space="preserve">指标推导</w:t>
            </w:r>
          </w:p>
        </w:tc>
        <w:tc>
          <w:tcPr>
            <w:tcW w:w="4733" w:type="dxa"/>
          </w:tcPr>
          <w:p>
            <w:r>
              <w:t xml:space="preserve">生成指标、维度、口径、计算逻辑和 SQL 建议</w:t>
            </w:r>
          </w:p>
        </w:tc>
        <w:tc>
          <w:tcPr>
            <w:tcW w:w="4733" w:type="dxa"/>
          </w:tcPr>
          <w:p>
            <w:r>
              <w:t xml:space="preserve">MetricRAG、Model Gateway</w:t>
            </w:r>
          </w:p>
        </w:tc>
      </w:tr>
      <w:tr>
        <w:tc>
          <w:tcPr>
            <w:tcW w:w="4733" w:type="dxa"/>
          </w:tcPr>
          <w:p>
            <w:r>
              <w:t xml:space="preserve">可行性复评</w:t>
            </w:r>
          </w:p>
        </w:tc>
        <w:tc>
          <w:tcPr>
            <w:tcW w:w="4733" w:type="dxa"/>
          </w:tcPr>
          <w:p>
            <w:r>
              <w:t xml:space="preserve">字段可得性、口径冲突、SQL 可执行性检查</w:t>
            </w:r>
          </w:p>
        </w:tc>
        <w:tc>
          <w:tcPr>
            <w:tcW w:w="4733" w:type="dxa"/>
          </w:tcPr>
          <w:p>
            <w:r>
              <w:t xml:space="preserve">FeasibilityCheck Tool</w:t>
            </w:r>
          </w:p>
        </w:tc>
      </w:tr>
      <w:tr>
        <w:tc>
          <w:tcPr>
            <w:tcW w:w="4733" w:type="dxa"/>
          </w:tcPr>
          <w:p>
            <w:r>
              <w:t xml:space="preserve">人工确认</w:t>
            </w:r>
          </w:p>
        </w:tc>
        <w:tc>
          <w:tcPr>
            <w:tcW w:w="4733" w:type="dxa"/>
          </w:tcPr>
          <w:p>
            <w:r>
              <w:t xml:space="preserve">专家确认、修正、发布版本</w:t>
            </w:r>
          </w:p>
        </w:tc>
        <w:tc>
          <w:tcPr>
            <w:tcW w:w="4733" w:type="dxa"/>
          </w:tcPr>
          <w:p>
            <w:r>
              <w:t xml:space="preserve">HITL、Audit、Evaluation</w:t>
            </w:r>
          </w:p>
        </w:tc>
      </w:tr>
    </w:tbl>
    <w:p>
      <w:pPr>
        <w:pStyle w:val="Heading2"/>
        <w:spacing w:after="120"/>
      </w:pPr>
      <w:r>
        <w:t xml:space="preserve">3.2 Excel 知识库补全 Agent</w:t>
      </w:r>
    </w:p>
    <w:p>
      <w:pPr>
        <w:spacing w:after="120"/>
      </w:pPr>
      <w:r>
        <w:t xml:space="preserve">Excel 知识库补全 Agent 用于结构化数据回填。典型场景是：知识库 Excel 中有物料、客户、组织、产品等主数据及属性；待补全 Excel 只有主键或少量字段；系统按主键精确匹配知识库并补全目标字段。物料只是示例，平台应支持多类主数据补全。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处理内容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公共能力</w:t>
            </w:r>
          </w:p>
        </w:tc>
      </w:tr>
      <w:tr>
        <w:tc>
          <w:tcPr>
            <w:tcW w:w="4733" w:type="dxa"/>
          </w:tcPr>
          <w:p>
            <w:r>
              <w:t xml:space="preserve">知识库导入</w:t>
            </w:r>
          </w:p>
        </w:tc>
        <w:tc>
          <w:tcPr>
            <w:tcW w:w="4733" w:type="dxa"/>
          </w:tcPr>
          <w:p>
            <w:r>
              <w:t xml:space="preserve">解析知识库 Excel，生成主数据表、属性表、row_json 快照</w:t>
            </w:r>
          </w:p>
        </w:tc>
        <w:tc>
          <w:tcPr>
            <w:tcW w:w="4733" w:type="dxa"/>
          </w:tcPr>
          <w:p>
            <w:r>
              <w:t xml:space="preserve">Parser、Index Writer、PostgreSQL</w:t>
            </w:r>
          </w:p>
        </w:tc>
      </w:tr>
      <w:tr>
        <w:tc>
          <w:tcPr>
            <w:tcW w:w="4733" w:type="dxa"/>
          </w:tcPr>
          <w:p>
            <w:r>
              <w:t xml:space="preserve">待补全文件上传</w:t>
            </w:r>
          </w:p>
        </w:tc>
        <w:tc>
          <w:tcPr>
            <w:tcW w:w="4733" w:type="dxa"/>
          </w:tcPr>
          <w:p>
            <w:r>
              <w:t xml:space="preserve">识别主键列和目标字段</w:t>
            </w:r>
          </w:p>
        </w:tc>
        <w:tc>
          <w:tcPr>
            <w:tcW w:w="4733" w:type="dxa"/>
          </w:tcPr>
          <w:p>
            <w:r>
              <w:t xml:space="preserve">Field Dictionary、Excel Parser</w:t>
            </w:r>
          </w:p>
        </w:tc>
      </w:tr>
      <w:tr>
        <w:tc>
          <w:tcPr>
            <w:tcW w:w="4733" w:type="dxa"/>
          </w:tcPr>
          <w:p>
            <w:r>
              <w:t xml:space="preserve">精确匹配</w:t>
            </w:r>
          </w:p>
        </w:tc>
        <w:tc>
          <w:tcPr>
            <w:tcW w:w="4733" w:type="dxa"/>
          </w:tcPr>
          <w:p>
            <w:r>
              <w:t xml:space="preserve">基于主键批量查询，不以向量检索为主路径</w:t>
            </w:r>
          </w:p>
        </w:tc>
        <w:tc>
          <w:tcPr>
            <w:tcW w:w="4733" w:type="dxa"/>
          </w:tcPr>
          <w:p>
            <w:r>
              <w:t xml:space="preserve">ExactLookup Tool、B-tree Index</w:t>
            </w:r>
          </w:p>
        </w:tc>
      </w:tr>
      <w:tr>
        <w:tc>
          <w:tcPr>
            <w:tcW w:w="4733" w:type="dxa"/>
          </w:tcPr>
          <w:p>
            <w:r>
              <w:t xml:space="preserve">字段回填</w:t>
            </w:r>
          </w:p>
        </w:tc>
        <w:tc>
          <w:tcPr>
            <w:tcW w:w="4733" w:type="dxa"/>
          </w:tcPr>
          <w:p>
            <w:r>
              <w:t xml:space="preserve">按映射规则补全属性字段，保留来源和差异</w:t>
            </w:r>
          </w:p>
        </w:tc>
        <w:tc>
          <w:tcPr>
            <w:tcW w:w="4733" w:type="dxa"/>
          </w:tcPr>
          <w:p>
            <w:r>
              <w:t xml:space="preserve">FillExport Skill</w:t>
            </w:r>
          </w:p>
        </w:tc>
      </w:tr>
      <w:tr>
        <w:tc>
          <w:tcPr>
            <w:tcW w:w="4733" w:type="dxa"/>
          </w:tcPr>
          <w:p>
            <w:r>
              <w:t xml:space="preserve">异常处理</w:t>
            </w:r>
          </w:p>
        </w:tc>
        <w:tc>
          <w:tcPr>
            <w:tcW w:w="4733" w:type="dxa"/>
          </w:tcPr>
          <w:p>
            <w:r>
              <w:t xml:space="preserve">未命中、多命中、冲突、格式错误</w:t>
            </w:r>
          </w:p>
        </w:tc>
        <w:tc>
          <w:tcPr>
            <w:tcW w:w="4733" w:type="dxa"/>
          </w:tcPr>
          <w:p>
            <w:r>
              <w:t xml:space="preserve">HITL、Exception Report</w:t>
            </w:r>
          </w:p>
        </w:tc>
      </w:tr>
      <w:tr>
        <w:tc>
          <w:tcPr>
            <w:tcW w:w="4733" w:type="dxa"/>
          </w:tcPr>
          <w:p>
            <w:r>
              <w:t xml:space="preserve">导出结果</w:t>
            </w:r>
          </w:p>
        </w:tc>
        <w:tc>
          <w:tcPr>
            <w:tcW w:w="4733" w:type="dxa"/>
          </w:tcPr>
          <w:p>
            <w:r>
              <w:t xml:space="preserve">补全 Excel、异常 Sheet、差异报告、审计记录</w:t>
            </w:r>
          </w:p>
        </w:tc>
        <w:tc>
          <w:tcPr>
            <w:tcW w:w="4733" w:type="dxa"/>
          </w:tcPr>
          <w:p>
            <w:r>
              <w:t xml:space="preserve">File Service、Audit</w:t>
            </w:r>
          </w:p>
        </w:tc>
      </w:tr>
    </w:tbl>
    <w:p>
      <w:pPr>
        <w:pStyle w:val="Heading2"/>
        <w:spacing w:after="120"/>
      </w:pPr>
      <w:r>
        <w:t xml:space="preserve">3.3 RAG 问答 Agent</w:t>
      </w:r>
    </w:p>
    <w:p>
      <w:pPr>
        <w:spacing w:after="120"/>
      </w:pPr>
      <w:r>
        <w:t xml:space="preserve">RAG 问答 Agent 作为可扩展能力，主要用于非结构化文档问答、指标口径解释、异常说明生成等场景。它不是 Excel 补全的主路径，但可以作为字段别名、模糊匹配和解释型输出的辅助能力。</w:t>
      </w:r>
    </w:p>
    <w:p>
      <w:pPr>
        <w:pStyle w:val="Heading1"/>
        <w:spacing w:after="120"/>
      </w:pPr>
      <w:r>
        <w:t xml:space="preserve">4. 核心流程设计</w:t>
      </w:r>
    </w:p>
    <w:p>
      <w:r>
        <w:pict>
          <v:group style="width:760pt;height:355pt" coordsize="1750,760">
            <v:shape id="t3" type="#_x0000_t202" style="position:absolute;left:40;top:20;width:1650;height:72" stroked="f" filled="f">
              <v:textbox inset="0,0,0,0">
                <w:txbxContent>
                  <w:p>
                    <w:r>
                      <w:rPr>
                        <w:b/>
                        <w:sz w:val="32"/>
                        <w:color w:val="0F172A"/>
                      </w:rPr>
                      <w:t>统一 Agent 执行流程</w:t>
                    </w:r>
                  </w:p>
                  <w:p>
                    <w:r>
                      <w:rPr>
                        <w:sz w:val="18"/>
                        <w:color w:val="64748B"/>
                      </w:rPr>
                      <w:t>参考模板中的核心流程章节：初始化、请求处理、工具调用、知识检索、状态转换、输出审计。</w:t>
                    </w:r>
                  </w:p>
                </w:txbxContent>
              </v:textbox>
            </v:shape>
            <v:roundrect id="s0" style="position:absolute;left:85;top:170;width:330;height:120" arcsize="10%" fillcolor="#DBEAFE" strokecolor="#2563EB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1 Agent 初始化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加载模板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加载工具权限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创建TaskContext</w:t>
                    </w:r>
                  </w:p>
                </w:txbxContent>
              </v:textbox>
            </v:roundrect>
            <v:line id="l0" style="position:absolute" from="415,230" to="495,230" strokecolor="#64748B" strokeweight="1.6pt">
              <v:stroke endarrow="block"/>
            </v:line>
            <v:roundrect id="s1" style="position:absolute;left:495;top:170;width:330;height:120" arcsize="10%" fillcolor="#E0F2FE" strokecolor="#0284C7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2 请求解析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文件/JSON/Prompt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安全上下文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输入Schema校验</w:t>
                    </w:r>
                  </w:p>
                </w:txbxContent>
              </v:textbox>
            </v:roundrect>
            <v:line id="l1" style="position:absolute" from="825,230" to="905,230" strokecolor="#64748B" strokeweight="1.6pt">
              <v:stroke endarrow="block"/>
            </v:line>
            <v:roundrect id="s2" style="position:absolute;left:905;top:170;width:330;height:120" arcsize="10%" fillcolor="#DCFCE7" strokecolor="#16A34A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3 计划生成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Planner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节点编排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并行/串行策略</w:t>
                    </w:r>
                  </w:p>
                </w:txbxContent>
              </v:textbox>
            </v:roundrect>
            <v:line id="l2" style="position:absolute" from="1235,230" to="1315,230" strokecolor="#64748B" strokeweight="1.6pt">
              <v:stroke endarrow="block"/>
            </v:line>
            <v:roundrect id="s3" style="position:absolute;left:1315;top:170;width:330;height:120" arcsize="10%" fillcolor="#FEF3C7" strokecolor="#D97706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4 工具执行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Tool/MCP/Skill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超时/重试/熔断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结果落库</w:t>
                    </w:r>
                  </w:p>
                </w:txbxContent>
              </v:textbox>
            </v:roundrect>
            <v:line id="down" style="position:absolute" from="1480,290" to="1480,455" strokecolor="#64748B" strokeweight="1.6pt">
              <v:stroke endarrow="block"/>
            </v:line>
            <v:roundrect id="s4" style="position:absolute;left:85;top:455;width:330;height:120" arcsize="10%" fillcolor="#F3E8FF" strokecolor="#7C3AED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5 知识/数据检索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结构化查询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向量检索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字段字典</w:t>
                    </w:r>
                  </w:p>
                </w:txbxContent>
              </v:textbox>
            </v:roundrect>
            <v:roundrect id="s5" style="position:absolute;left:495;top:455;width:330;height:120" arcsize="10%" fillcolor="#FFE4E6" strokecolor="#E11D48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6 模型推理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小模型/主模型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结构化输出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成本记录</w:t>
                    </w:r>
                  </w:p>
                </w:txbxContent>
              </v:textbox>
            </v:roundrect>
            <v:line id="l5" style="position:absolute" from="495,515" to="415,515" strokecolor="#64748B" strokeweight="1.6pt">
              <v:stroke endarrow="block"/>
            </v:line>
            <v:roundrect id="s6" style="position:absolute;left:905;top:455;width:330;height:120" arcsize="10%" fillcolor="#ECFDF5" strokecolor="#059669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7 校验确认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Schema校验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权限/引用检查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HITL</w:t>
                    </w:r>
                  </w:p>
                </w:txbxContent>
              </v:textbox>
            </v:roundrect>
            <v:line id="l6" style="position:absolute" from="905,515" to="825,515" strokecolor="#64748B" strokeweight="1.6pt">
              <v:stroke endarrow="block"/>
            </v:line>
            <v:roundrect id="s7" style="position:absolute;left:1315;top:455;width:330;height:120" arcsize="10%" fillcolor="#F8FAFC" strokecolor="#334155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8 输出审计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结果生成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审计日志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评测样本</w:t>
                    </w:r>
                  </w:p>
                </w:txbxContent>
              </v:textbox>
            </v:roundrect>
            <v:line id="ret" style="position:absolute" from="85,515" to="85,230" strokecolor="#059669" strokeweight="1.6pt">
              <v:stroke endarrow="block"/>
            </v:line>
            <v:roundrect id="tag" style="position:absolute;left:35;top:365;width:84;height:28" arcsize="50%" fillcolor="#0F766E" stroked="f">
              <v:textbox inset="0,2pt,0,0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5"/>
                        <w:color w:val="FFFFFF"/>
                      </w:rPr>
                      <w:t>可回放</w:t>
                    </w:r>
                  </w:p>
                </w:txbxContent>
              </v:textbox>
            </v:roundrect>
          </v:group>
        </w:pict>
      </w:r>
    </w:p>
    <w:p>
      <w:pPr>
        <w:jc w:val="center"/>
      </w:pPr>
      <w:r>
        <w:rPr>
          <w:color w:val="64748B"/>
          <w:sz w:val="18"/>
        </w:rPr>
        <w:t>图 3：统一 Agent 执行流程</w:t>
      </w:r>
    </w:p>
    <w:p>
      <w:pPr>
        <w:pStyle w:val="Heading2"/>
        <w:spacing w:after="120"/>
      </w:pPr>
      <w:r>
        <w:t xml:space="preserve">4.1 Agent 初始化流程</w:t>
      </w:r>
    </w:p>
    <w:p>
      <w:pPr>
        <w:pStyle w:val="ListParagraph"/>
        <w:ind w:left="420"/>
        <w:spacing w:after="80"/>
      </w:pPr>
      <w:r>
        <w:t xml:space="preserve">• 加载 agent_template.yaml，读取 agent_type、version、graph_config、input_schema、output_schema。</w:t>
      </w:r>
    </w:p>
    <w:p>
      <w:pPr>
        <w:pStyle w:val="ListParagraph"/>
        <w:ind w:left="420"/>
        <w:spacing w:after="80"/>
      </w:pPr>
      <w:r>
        <w:t xml:space="preserve">• 加载工具权限和 Tool Manifest，生成当前 Agent 可见工具集。</w:t>
      </w:r>
    </w:p>
    <w:p>
      <w:pPr>
        <w:pStyle w:val="ListParagraph"/>
        <w:ind w:left="420"/>
        <w:spacing w:after="80"/>
      </w:pPr>
      <w:r>
        <w:t xml:space="preserve">• 初始化 TaskContext，绑定 user_id、security_context、request_id、run_id。</w:t>
      </w:r>
    </w:p>
    <w:p>
      <w:pPr>
        <w:pStyle w:val="Heading2"/>
        <w:spacing w:after="120"/>
      </w:pPr>
      <w:r>
        <w:t xml:space="preserve">4.2 请求处理流程</w:t>
      </w:r>
    </w:p>
    <w:p>
      <w:pPr>
        <w:pStyle w:val="ListParagraph"/>
        <w:ind w:left="420"/>
        <w:spacing w:after="80"/>
      </w:pPr>
      <w:r>
        <w:t xml:space="preserve">• 接入层完成鉴权、限流、request_id 注入和文件大小校验。</w:t>
      </w:r>
    </w:p>
    <w:p>
      <w:pPr>
        <w:pStyle w:val="ListParagraph"/>
        <w:ind w:left="420"/>
        <w:spacing w:after="80"/>
      </w:pPr>
      <w:r>
        <w:t xml:space="preserve">• Agent API 将文件/JSON/Prompt 转为统一输入对象，并按 agent_type 选择模板。</w:t>
      </w:r>
    </w:p>
    <w:p>
      <w:pPr>
        <w:pStyle w:val="ListParagraph"/>
        <w:ind w:left="420"/>
        <w:spacing w:after="80"/>
      </w:pPr>
      <w:r>
        <w:t xml:space="preserve">• Runtime 执行状态机节点，长任务进入队列，短任务可同步或 SSE 流式返回。</w:t>
      </w:r>
    </w:p>
    <w:p>
      <w:pPr>
        <w:pStyle w:val="Heading2"/>
        <w:spacing w:after="120"/>
      </w:pPr>
      <w:r>
        <w:t xml:space="preserve">4.3 工具调用流程</w:t>
      </w:r>
    </w:p>
    <w:p>
      <w:pPr>
        <w:pStyle w:val="ListParagraph"/>
        <w:ind w:left="420"/>
        <w:spacing w:after="80"/>
      </w:pPr>
      <w:r>
        <w:t xml:space="preserve">• Planner 生成工具调用计划，Tool Executor 校验入参 Schema。</w:t>
      </w:r>
    </w:p>
    <w:p>
      <w:pPr>
        <w:pStyle w:val="ListParagraph"/>
        <w:ind w:left="420"/>
        <w:spacing w:after="80"/>
      </w:pPr>
      <w:r>
        <w:t xml:space="preserve">• 工具执行过程中记录 tool_call_id、参数哈希、耗时、状态和结果引用。</w:t>
      </w:r>
    </w:p>
    <w:p>
      <w:pPr>
        <w:pStyle w:val="ListParagraph"/>
        <w:ind w:left="420"/>
        <w:spacing w:after="80"/>
      </w:pPr>
      <w:r>
        <w:t xml:space="preserve">• 失败工具根据策略重试、熔断或进入人工确认。</w:t>
      </w:r>
    </w:p>
    <w:p>
      <w:pPr>
        <w:pStyle w:val="Heading2"/>
        <w:spacing w:after="120"/>
      </w:pPr>
      <w:r>
        <w:t xml:space="preserve">4.4 知识检索流程</w:t>
      </w:r>
    </w:p>
    <w:p>
      <w:pPr>
        <w:pStyle w:val="ListParagraph"/>
        <w:ind w:left="420"/>
        <w:spacing w:after="80"/>
      </w:pPr>
      <w:r>
        <w:t xml:space="preserve">• 结构化补全场景优先使用 PostgreSQL 精确查询，向量检索只做兜底。</w:t>
      </w:r>
    </w:p>
    <w:p>
      <w:pPr>
        <w:pStyle w:val="ListParagraph"/>
        <w:ind w:left="420"/>
        <w:spacing w:after="80"/>
      </w:pPr>
      <w:r>
        <w:t xml:space="preserve">• RAG 问答场景使用 pgvector 召回 + rerank + 引用生成。</w:t>
      </w:r>
    </w:p>
    <w:p>
      <w:pPr>
        <w:pStyle w:val="ListParagraph"/>
        <w:ind w:left="420"/>
        <w:spacing w:after="80"/>
      </w:pPr>
      <w:r>
        <w:t xml:space="preserve">• 指标构建场景使用 Schema Registry + 指标知识库 RAG 共同辅助推导。</w:t>
      </w:r>
    </w:p>
    <w:p>
      <w:pPr>
        <w:pStyle w:val="Heading1"/>
        <w:spacing w:after="120"/>
      </w:pPr>
      <w:r>
        <w:t xml:space="preserve">5. 数据流与存储模型</w:t>
      </w:r>
    </w:p>
    <w:p>
      <w:r>
        <w:pict>
          <v:group style="width:760pt;height:340pt" coordsize="1750,700">
            <v:shape id="t4" type="#_x0000_t202" style="position:absolute;left:40;top:20;width:1650;height:72" stroked="f" filled="f">
              <v:textbox inset="0,0,0,0">
                <w:txbxContent>
                  <w:p>
                    <w:r>
                      <w:rPr>
                        <w:b/>
                        <w:sz w:val="32"/>
                        <w:color w:val="0F172A"/>
                      </w:rPr>
                      <w:t>数据流与存储模型</w:t>
                    </w:r>
                  </w:p>
                  <w:p>
                    <w:r>
                      <w:rPr>
                        <w:sz w:val="18"/>
                        <w:color w:val="64748B"/>
                      </w:rPr>
                      <w:t>把三类业务输入统一进入平台，并分别落到指标产物、Excel补全结果、RAG知识索引和审计评测体系。</w:t>
                    </w:r>
                  </w:p>
                </w:txbxContent>
              </v:textbox>
            </v:shape>
            <v:roundrect id="in" style="position:absolute;left:60;top:115;width:1630;height:105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输入数据</w:t>
                    </w:r>
                  </w:p>
                </w:txbxContent>
              </v:textbox>
            </v:roundrect>
            <v:roundrect id="i1" style="position:absolute;left:110;top:155;width:300;height:42" arcsize="10%" fillcolor="#EFF6FF" strokecolor="#2563EB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表结构 / table_json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指标体系构建</w:t>
                    </w:r>
                  </w:p>
                </w:txbxContent>
              </v:textbox>
            </v:roundrect>
            <v:roundrect id="i2" style="position:absolute;left:470;top:155;width:300;height:42" arcsize="10%" fillcolor="#F0FDF4" strokecolor="#16A34A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Excel知识库 / 待补全Excel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批量属性回填</w:t>
                    </w:r>
                  </w:p>
                </w:txbxContent>
              </v:textbox>
            </v:roundrect>
            <v:roundrect id="i3" style="position:absolute;left:830;top:155;width:300;height:42" arcsize="10%" fillcolor="#F3E8FF" strokecolor="#7C3AED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Word/PPT/PDF/TXT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RAG知识检索</w:t>
                    </w:r>
                  </w:p>
                </w:txbxContent>
              </v:textbox>
            </v:roundrect>
            <v:roundrect id="i4" style="position:absolute;left:1190;top:155;width:300;height:42" arcsize="10%" fillcolor="#FEF3C7" strokecolor="#D97706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用户Prompt / 查询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任务上下文</w:t>
                    </w:r>
                  </w:p>
                </w:txbxContent>
              </v:textbox>
            </v:roundrect>
            <v:roundrect id="proc" style="position:absolute;left:60;top:260;width:1630;height:160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处理层</w:t>
                    </w:r>
                  </w:p>
                </w:txbxContent>
              </v:textbox>
            </v:roundrect>
            <v:roundrect id="p1" style="position:absolute;left:110;top:320;width:280;height:56" arcsize="10%" fillcolor="#FFFFFF" strokecolor="#0284C7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Parser Router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文件解析 / 表结构解析</w:t>
                    </w:r>
                  </w:p>
                </w:txbxContent>
              </v:textbox>
            </v:roundrect>
            <v:roundrect id="p2" style="position:absolute;left:445;top:320;width:280;height:56" arcsize="10%" fillcolor="#FFFFFF" strokecolor="#16A34A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Normalizer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字段归一 / Schema瘦身</w:t>
                    </w:r>
                  </w:p>
                </w:txbxContent>
              </v:textbox>
            </v:roundrect>
            <v:roundrect id="p3" style="position:absolute;left:780;top:320;width:280;height:56" arcsize="10%" fillcolor="#FFFFFF" strokecolor="#7C3AED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Retriever / Lookup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精确查询 / 向量检索</w:t>
                    </w:r>
                  </w:p>
                </w:txbxContent>
              </v:textbox>
            </v:roundrect>
            <v:roundrect id="p4" style="position:absolute;left:1115;top:320;width:280;height:56" arcsize="10%" fillcolor="#FFFFFF" strokecolor="#D97706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Agent Runtime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计划 / 工具 / 模型 / 校验</w:t>
                    </w:r>
                  </w:p>
                </w:txbxContent>
              </v:textbox>
            </v:roundrect>
            <v:roundrect id="store" style="position:absolute;left:60;top:465;width:1630;height:180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存储层</w:t>
                    </w:r>
                  </w:p>
                </w:txbxContent>
              </v:textbox>
            </v:roundrect>
            <v:roundrect id="d1" style="position:absolute;left:110;top:535;width:260;height:60" arcsize="10%" fillcolor="#FFFFFF" strokecolor="#2563EB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metric_artifacts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指标体系JSON / 版本</w:t>
                    </w:r>
                  </w:p>
                </w:txbxContent>
              </v:textbox>
            </v:roundrect>
            <v:roundrect id="d2" style="position:absolute;left:415;top:535;width:260;height:60" arcsize="10%" fillcolor="#FFFFFF" strokecolor="#16A34A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excel_enrichment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补全结果 / 异常明细</w:t>
                    </w:r>
                  </w:p>
                </w:txbxContent>
              </v:textbox>
            </v:roundrect>
            <v:roundrect id="d3" style="position:absolute;left:720;top:535;width:260;height:60" arcsize="10%" fillcolor="#FFFFFF" strokecolor="#7C3AED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rag_chunks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chunk_text / vector / metadata</w:t>
                    </w:r>
                  </w:p>
                </w:txbxContent>
              </v:textbox>
            </v:roundrect>
            <v:roundrect id="d4" style="position:absolute;left:1025;top:535;width:260;height:60" arcsize="10%" fillcolor="#FFFFFF" strokecolor="#D97706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agent_runs / tool_calls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状态 / 工具 / 模型调用</w:t>
                    </w:r>
                  </w:p>
                </w:txbxContent>
              </v:textbox>
            </v:roundrect>
            <v:roundrect id="d5" style="position:absolute;left:1330;top:535;width:260;height:60" arcsize="10%" fillcolor="#FFFFFF" strokecolor="#059669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audit / evaluation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审计 / 回归样本</w:t>
                    </w:r>
                  </w:p>
                </w:txbxContent>
              </v:textbox>
            </v:roundrect>
            <v:line id="l1" style="position:absolute" from="260,197" to="250,320" strokecolor="#64748B" strokeweight="1.6pt">
              <v:stroke endarrow="block"/>
            </v:line>
            <v:line id="l2" style="position:absolute" from="620,197" to="585,320" strokecolor="#64748B" strokeweight="1.6pt">
              <v:stroke endarrow="block"/>
            </v:line>
            <v:line id="l3" style="position:absolute" from="980,197" to="920,320" strokecolor="#64748B" strokeweight="1.6pt">
              <v:stroke endarrow="block"/>
            </v:line>
            <v:line id="l4" style="position:absolute" from="1340,197" to="1255,320" strokecolor="#64748B" strokeweight="1.6pt">
              <v:stroke endarrow="block"/>
            </v:line>
            <v:line id="l5" style="position:absolute" from="390,348" to="445,348" strokecolor="#64748B" strokeweight="1.6pt">
              <v:stroke endarrow="block"/>
            </v:line>
            <v:line id="l6" style="position:absolute" from="725,348" to="780,348" strokecolor="#64748B" strokeweight="1.6pt">
              <v:stroke endarrow="block"/>
            </v:line>
            <v:line id="l7" style="position:absolute" from="1060,348" to="1115,348" strokecolor="#64748B" strokeweight="1.6pt">
              <v:stroke endarrow="block"/>
            </v:line>
            <v:line id="l8" style="position:absolute" from="1255,376" to="1255,535" strokecolor="#64748B" strokeweight="1.6pt">
              <v:stroke endarrow="block"/>
            </v:line>
            <v:line id="l9" style="position:absolute" from="920,376" to="850,535" strokecolor="#64748B" strokeweight="1.6pt">
              <v:stroke endarrow="block"/>
            </v:line>
            <v:line id="l10" style="position:absolute" from="585,376" to="545,535" strokecolor="#64748B" strokeweight="1.6pt">
              <v:stroke endarrow="block"/>
            </v:line>
            <v:line id="l11" style="position:absolute" from="250,376" to="240,535" strokecolor="#64748B" strokeweight="1.6pt">
              <v:stroke endarrow="block"/>
            </v:line>
          </v:group>
        </w:pict>
      </w:r>
    </w:p>
    <w:p>
      <w:pPr>
        <w:jc w:val="center"/>
      </w:pPr>
      <w:r>
        <w:rPr>
          <w:color w:val="64748B"/>
          <w:sz w:val="18"/>
        </w:rPr>
        <w:t>图 4：数据流与存储模型</w:t>
      </w:r>
    </w:p>
    <w:p>
      <w:pPr>
        <w:pStyle w:val="Heading2"/>
        <w:spacing w:after="120"/>
      </w:pPr>
      <w:r>
        <w:t xml:space="preserve">5.1 核心数据表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表名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关键字段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4733" w:type="dxa"/>
          </w:tcPr>
          <w:p>
            <w:r>
              <w:t xml:space="preserve">agent_templates</w:t>
            </w:r>
          </w:p>
        </w:tc>
        <w:tc>
          <w:tcPr>
            <w:tcW w:w="4733" w:type="dxa"/>
          </w:tcPr>
          <w:p>
            <w:r>
              <w:t xml:space="preserve">agent_type, version, graph_config, input_schema, output_schema</w:t>
            </w:r>
          </w:p>
        </w:tc>
        <w:tc>
          <w:tcPr>
            <w:tcW w:w="4733" w:type="dxa"/>
          </w:tcPr>
          <w:p>
            <w:r>
              <w:t xml:space="preserve">业务 Agent 模板注册。</w:t>
            </w:r>
          </w:p>
        </w:tc>
      </w:tr>
      <w:tr>
        <w:tc>
          <w:tcPr>
            <w:tcW w:w="4733" w:type="dxa"/>
          </w:tcPr>
          <w:p>
            <w:r>
              <w:t xml:space="preserve">agent_runs</w:t>
            </w:r>
          </w:p>
        </w:tc>
        <w:tc>
          <w:tcPr>
            <w:tcW w:w="4733" w:type="dxa"/>
          </w:tcPr>
          <w:p>
            <w:r>
              <w:t xml:space="preserve">run_id, agent_type, user_id, status, task_context, final_result</w:t>
            </w:r>
          </w:p>
        </w:tc>
        <w:tc>
          <w:tcPr>
            <w:tcW w:w="4733" w:type="dxa"/>
          </w:tcPr>
          <w:p>
            <w:r>
              <w:t xml:space="preserve">一次 Agent 执行主记录。</w:t>
            </w:r>
          </w:p>
        </w:tc>
      </w:tr>
      <w:tr>
        <w:tc>
          <w:tcPr>
            <w:tcW w:w="4733" w:type="dxa"/>
          </w:tcPr>
          <w:p>
            <w:r>
              <w:t xml:space="preserve">tool_calls</w:t>
            </w:r>
          </w:p>
        </w:tc>
        <w:tc>
          <w:tcPr>
            <w:tcW w:w="4733" w:type="dxa"/>
          </w:tcPr>
          <w:p>
            <w:r>
              <w:t xml:space="preserve">run_id, node_id, tool_name, args_hash, result_ref, latency_ms, status</w:t>
            </w:r>
          </w:p>
        </w:tc>
        <w:tc>
          <w:tcPr>
            <w:tcW w:w="4733" w:type="dxa"/>
          </w:tcPr>
          <w:p>
            <w:r>
              <w:t xml:space="preserve">工具调用审计与回放。</w:t>
            </w:r>
          </w:p>
        </w:tc>
      </w:tr>
      <w:tr>
        <w:tc>
          <w:tcPr>
            <w:tcW w:w="4733" w:type="dxa"/>
          </w:tcPr>
          <w:p>
            <w:r>
              <w:t xml:space="preserve">model_calls</w:t>
            </w:r>
          </w:p>
        </w:tc>
        <w:tc>
          <w:tcPr>
            <w:tcW w:w="4733" w:type="dxa"/>
          </w:tcPr>
          <w:p>
            <w:r>
              <w:t xml:space="preserve">run_id, model_name, prompt_hash, token_in, token_out, latency_ms, cost</w:t>
            </w:r>
          </w:p>
        </w:tc>
        <w:tc>
          <w:tcPr>
            <w:tcW w:w="4733" w:type="dxa"/>
          </w:tcPr>
          <w:p>
            <w:r>
              <w:t xml:space="preserve">模型调用成本与性能分析。</w:t>
            </w:r>
          </w:p>
        </w:tc>
      </w:tr>
      <w:tr>
        <w:tc>
          <w:tcPr>
            <w:tcW w:w="4733" w:type="dxa"/>
          </w:tcPr>
          <w:p>
            <w:r>
              <w:t xml:space="preserve">knowledge_collections</w:t>
            </w:r>
          </w:p>
        </w:tc>
        <w:tc>
          <w:tcPr>
            <w:tcW w:w="4733" w:type="dxa"/>
          </w:tcPr>
          <w:p>
            <w:r>
              <w:t xml:space="preserve">collection_id, domain, source_type, acl_policy, parser_policy</w:t>
            </w:r>
          </w:p>
        </w:tc>
        <w:tc>
          <w:tcPr>
            <w:tcW w:w="4733" w:type="dxa"/>
          </w:tcPr>
          <w:p>
            <w:r>
              <w:t xml:space="preserve">知识域管理。</w:t>
            </w:r>
          </w:p>
        </w:tc>
      </w:tr>
      <w:tr>
        <w:tc>
          <w:tcPr>
            <w:tcW w:w="4733" w:type="dxa"/>
          </w:tcPr>
          <w:p>
            <w:r>
              <w:t xml:space="preserve">rag_chunks</w:t>
            </w:r>
          </w:p>
        </w:tc>
        <w:tc>
          <w:tcPr>
            <w:tcW w:w="4733" w:type="dxa"/>
          </w:tcPr>
          <w:p>
            <w:r>
              <w:t xml:space="preserve">chunk_id, collection_id, chunk_text, embedding, metadata, source_ref</w:t>
            </w:r>
          </w:p>
        </w:tc>
        <w:tc>
          <w:tcPr>
            <w:tcW w:w="4733" w:type="dxa"/>
          </w:tcPr>
          <w:p>
            <w:r>
              <w:t xml:space="preserve">语义检索主表。</w:t>
            </w:r>
          </w:p>
        </w:tc>
      </w:tr>
      <w:tr>
        <w:tc>
          <w:tcPr>
            <w:tcW w:w="4733" w:type="dxa"/>
          </w:tcPr>
          <w:p>
            <w:r>
              <w:t xml:space="preserve">excel_master_rows</w:t>
            </w:r>
          </w:p>
        </w:tc>
        <w:tc>
          <w:tcPr>
            <w:tcW w:w="4733" w:type="dxa"/>
          </w:tcPr>
          <w:p>
            <w:r>
              <w:t xml:space="preserve">row_id, collection_id, business_key, row_json, indexed_fields</w:t>
            </w:r>
          </w:p>
        </w:tc>
        <w:tc>
          <w:tcPr>
            <w:tcW w:w="4733" w:type="dxa"/>
          </w:tcPr>
          <w:p>
            <w:r>
              <w:t xml:space="preserve">Excel 知识库补全的主数据快照表。</w:t>
            </w:r>
          </w:p>
        </w:tc>
      </w:tr>
      <w:tr>
        <w:tc>
          <w:tcPr>
            <w:tcW w:w="4733" w:type="dxa"/>
          </w:tcPr>
          <w:p>
            <w:r>
              <w:t xml:space="preserve">field_dictionary</w:t>
            </w:r>
          </w:p>
        </w:tc>
        <w:tc>
          <w:tcPr>
            <w:tcW w:w="4733" w:type="dxa"/>
          </w:tcPr>
          <w:p>
            <w:r>
              <w:t xml:space="preserve">field_name, aliases, target_column, data_type, required</w:t>
            </w:r>
          </w:p>
        </w:tc>
        <w:tc>
          <w:tcPr>
            <w:tcW w:w="4733" w:type="dxa"/>
          </w:tcPr>
          <w:p>
            <w:r>
              <w:t xml:space="preserve">字段别名和目标列映射。</w:t>
            </w:r>
          </w:p>
        </w:tc>
      </w:tr>
      <w:tr>
        <w:tc>
          <w:tcPr>
            <w:tcW w:w="4733" w:type="dxa"/>
          </w:tcPr>
          <w:p>
            <w:r>
              <w:t xml:space="preserve">metric_artifacts</w:t>
            </w:r>
          </w:p>
        </w:tc>
        <w:tc>
          <w:tcPr>
            <w:tcW w:w="4733" w:type="dxa"/>
          </w:tcPr>
          <w:p>
            <w:r>
              <w:t xml:space="preserve">artifact_id, run_id, domain, metric_json, review_status, version</w:t>
            </w:r>
          </w:p>
        </w:tc>
        <w:tc>
          <w:tcPr>
            <w:tcW w:w="4733" w:type="dxa"/>
          </w:tcPr>
          <w:p>
            <w:r>
              <w:t xml:space="preserve">指标体系构建结果。</w:t>
            </w:r>
          </w:p>
        </w:tc>
      </w:tr>
      <w:tr>
        <w:tc>
          <w:tcPr>
            <w:tcW w:w="4733" w:type="dxa"/>
          </w:tcPr>
          <w:p>
            <w:r>
              <w:t xml:space="preserve">enrichment_results</w:t>
            </w:r>
          </w:p>
        </w:tc>
        <w:tc>
          <w:tcPr>
            <w:tcW w:w="4733" w:type="dxa"/>
          </w:tcPr>
          <w:p>
            <w:r>
              <w:t xml:space="preserve">run_id, row_no, business_key, match_status, filled_json, diff_json</w:t>
            </w:r>
          </w:p>
        </w:tc>
        <w:tc>
          <w:tcPr>
            <w:tcW w:w="4733" w:type="dxa"/>
          </w:tcPr>
          <w:p>
            <w:r>
              <w:t xml:space="preserve">Excel 补全结果和异常明细。</w:t>
            </w:r>
          </w:p>
        </w:tc>
      </w:tr>
      <w:tr>
        <w:tc>
          <w:tcPr>
            <w:tcW w:w="4733" w:type="dxa"/>
          </w:tcPr>
          <w:p>
            <w:r>
              <w:t xml:space="preserve">audit_logs</w:t>
            </w:r>
          </w:p>
        </w:tc>
        <w:tc>
          <w:tcPr>
            <w:tcW w:w="4733" w:type="dxa"/>
          </w:tcPr>
          <w:p>
            <w:r>
              <w:t xml:space="preserve">request_id, user_id, action, masked_payload, hit_refs, result_summary</w:t>
            </w:r>
          </w:p>
        </w:tc>
        <w:tc>
          <w:tcPr>
            <w:tcW w:w="4733" w:type="dxa"/>
          </w:tcPr>
          <w:p>
            <w:r>
              <w:t xml:space="preserve">审计日志。</w:t>
            </w:r>
          </w:p>
        </w:tc>
      </w:tr>
      <w:tr>
        <w:tc>
          <w:tcPr>
            <w:tcW w:w="4733" w:type="dxa"/>
          </w:tcPr>
          <w:p>
            <w:r>
              <w:t xml:space="preserve">evaluation_cases</w:t>
            </w:r>
          </w:p>
        </w:tc>
        <w:tc>
          <w:tcPr>
            <w:tcW w:w="4733" w:type="dxa"/>
          </w:tcPr>
          <w:p>
            <w:r>
              <w:t xml:space="preserve">case_id, agent_type, input, expected, scoring_rule, tags</w:t>
            </w:r>
          </w:p>
        </w:tc>
        <w:tc>
          <w:tcPr>
            <w:tcW w:w="4733" w:type="dxa"/>
          </w:tcPr>
          <w:p>
            <w:r>
              <w:t xml:space="preserve">回归评测样本。</w:t>
            </w:r>
          </w:p>
        </w:tc>
      </w:tr>
    </w:tbl>
    <w:p>
      <w:pPr>
        <w:pStyle w:val="Heading1"/>
        <w:spacing w:after="120"/>
      </w:pPr>
      <w:r>
        <w:t xml:space="preserve">6. 模块详细设计</w:t>
      </w:r>
    </w:p>
    <w:p>
      <w:pPr>
        <w:pStyle w:val="Heading2"/>
        <w:spacing w:after="120"/>
      </w:pPr>
      <w:r>
        <w:t xml:space="preserve">6.1 Agent API 模块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接口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方法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4733" w:type="dxa"/>
          </w:tcPr>
          <w:p>
            <w:r>
              <w:t xml:space="preserve">/api/v1/agents/runs</w:t>
            </w:r>
          </w:p>
        </w:tc>
        <w:tc>
          <w:tcPr>
            <w:tcW w:w="4733" w:type="dxa"/>
          </w:tcPr>
          <w:p>
            <w:r>
              <w:t xml:space="preserve">POST</w:t>
            </w:r>
          </w:p>
        </w:tc>
        <w:tc>
          <w:tcPr>
            <w:tcW w:w="4733" w:type="dxa"/>
          </w:tcPr>
          <w:p>
            <w:r>
              <w:t xml:space="preserve">提交通用 Agent 任务，支持不同 agent_type。</w:t>
            </w:r>
          </w:p>
        </w:tc>
      </w:tr>
      <w:tr>
        <w:tc>
          <w:tcPr>
            <w:tcW w:w="4733" w:type="dxa"/>
          </w:tcPr>
          <w:p>
            <w:r>
              <w:t xml:space="preserve">/api/v1/agents/runs/{run_id}</w:t>
            </w:r>
          </w:p>
        </w:tc>
        <w:tc>
          <w:tcPr>
            <w:tcW w:w="4733" w:type="dxa"/>
          </w:tcPr>
          <w:p>
            <w:r>
              <w:t xml:space="preserve">GET</w:t>
            </w:r>
          </w:p>
        </w:tc>
        <w:tc>
          <w:tcPr>
            <w:tcW w:w="4733" w:type="dxa"/>
          </w:tcPr>
          <w:p>
            <w:r>
              <w:t xml:space="preserve">查询任务状态、阶段、结果摘要。</w:t>
            </w:r>
          </w:p>
        </w:tc>
      </w:tr>
      <w:tr>
        <w:tc>
          <w:tcPr>
            <w:tcW w:w="4733" w:type="dxa"/>
          </w:tcPr>
          <w:p>
            <w:r>
              <w:t xml:space="preserve">/api/v1/agents/runs/{run_id}/events</w:t>
            </w:r>
          </w:p>
        </w:tc>
        <w:tc>
          <w:tcPr>
            <w:tcW w:w="4733" w:type="dxa"/>
          </w:tcPr>
          <w:p>
            <w:r>
              <w:t xml:space="preserve">GET/SSE</w:t>
            </w:r>
          </w:p>
        </w:tc>
        <w:tc>
          <w:tcPr>
            <w:tcW w:w="4733" w:type="dxa"/>
          </w:tcPr>
          <w:p>
            <w:r>
              <w:t xml:space="preserve">流式返回节点事件、工具调用、模型输出和人工确认事件。</w:t>
            </w:r>
          </w:p>
        </w:tc>
      </w:tr>
      <w:tr>
        <w:tc>
          <w:tcPr>
            <w:tcW w:w="4733" w:type="dxa"/>
          </w:tcPr>
          <w:p>
            <w:r>
              <w:t xml:space="preserve">/api/v1/knowledge/import</w:t>
            </w:r>
          </w:p>
        </w:tc>
        <w:tc>
          <w:tcPr>
            <w:tcW w:w="4733" w:type="dxa"/>
          </w:tcPr>
          <w:p>
            <w:r>
              <w:t xml:space="preserve">POST</w:t>
            </w:r>
          </w:p>
        </w:tc>
        <w:tc>
          <w:tcPr>
            <w:tcW w:w="4733" w:type="dxa"/>
          </w:tcPr>
          <w:p>
            <w:r>
              <w:t xml:space="preserve">导入文档或 Excel 知识库。</w:t>
            </w:r>
          </w:p>
        </w:tc>
      </w:tr>
      <w:tr>
        <w:tc>
          <w:tcPr>
            <w:tcW w:w="4733" w:type="dxa"/>
          </w:tcPr>
          <w:p>
            <w:r>
              <w:t xml:space="preserve">/api/v1/excel-enrichment/runs</w:t>
            </w:r>
          </w:p>
        </w:tc>
        <w:tc>
          <w:tcPr>
            <w:tcW w:w="4733" w:type="dxa"/>
          </w:tcPr>
          <w:p>
            <w:r>
              <w:t xml:space="preserve">POST</w:t>
            </w:r>
          </w:p>
        </w:tc>
        <w:tc>
          <w:tcPr>
            <w:tcW w:w="4733" w:type="dxa"/>
          </w:tcPr>
          <w:p>
            <w:r>
              <w:t xml:space="preserve">提交 Excel 知识库补全任务。</w:t>
            </w:r>
          </w:p>
        </w:tc>
      </w:tr>
      <w:tr>
        <w:tc>
          <w:tcPr>
            <w:tcW w:w="4733" w:type="dxa"/>
          </w:tcPr>
          <w:p>
            <w:r>
              <w:t xml:space="preserve">/api/v1/hitl/{run_id}/actions</w:t>
            </w:r>
          </w:p>
        </w:tc>
        <w:tc>
          <w:tcPr>
            <w:tcW w:w="4733" w:type="dxa"/>
          </w:tcPr>
          <w:p>
            <w:r>
              <w:t xml:space="preserve">POST</w:t>
            </w:r>
          </w:p>
        </w:tc>
        <w:tc>
          <w:tcPr>
            <w:tcW w:w="4733" w:type="dxa"/>
          </w:tcPr>
          <w:p>
            <w:r>
              <w:t xml:space="preserve">人工确认、修正、驳回、继续执行。</w:t>
            </w:r>
          </w:p>
        </w:tc>
      </w:tr>
    </w:tbl>
    <w:p>
      <w:pPr>
        <w:pStyle w:val="Heading2"/>
        <w:spacing w:after="120"/>
      </w:pPr>
      <w:r>
        <w:t xml:space="preserve">6.2 Tool / MCP / Skill 设计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定位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示例</w:t>
            </w:r>
          </w:p>
        </w:tc>
      </w:tr>
      <w:tr>
        <w:tc>
          <w:tcPr>
            <w:tcW w:w="4733" w:type="dxa"/>
          </w:tcPr>
          <w:p>
            <w:r>
              <w:t xml:space="preserve">Tool</w:t>
            </w:r>
          </w:p>
        </w:tc>
        <w:tc>
          <w:tcPr>
            <w:tcW w:w="4733" w:type="dxa"/>
          </w:tcPr>
          <w:p>
            <w:r>
              <w:t xml:space="preserve">单个确定性能力，入参与出参强 Schema</w:t>
            </w:r>
          </w:p>
        </w:tc>
        <w:tc>
          <w:tcPr>
            <w:tcW w:w="4733" w:type="dxa"/>
          </w:tcPr>
          <w:p>
            <w:r>
              <w:t xml:space="preserve">schema_lookup、exact_lookup、vector_search、metric_rag_search、audit_write</w:t>
            </w:r>
          </w:p>
        </w:tc>
      </w:tr>
      <w:tr>
        <w:tc>
          <w:tcPr>
            <w:tcW w:w="4733" w:type="dxa"/>
          </w:tcPr>
          <w:p>
            <w:r>
              <w:t xml:space="preserve">MCP Server</w:t>
            </w:r>
          </w:p>
        </w:tc>
        <w:tc>
          <w:tcPr>
            <w:tcW w:w="4733" w:type="dxa"/>
          </w:tcPr>
          <w:p>
            <w:r>
              <w:t xml:space="preserve">跨 Agent 复用的外部能力封装</w:t>
            </w:r>
          </w:p>
        </w:tc>
        <w:tc>
          <w:tcPr>
            <w:tcW w:w="4733" w:type="dxa"/>
          </w:tcPr>
          <w:p>
            <w:r>
              <w:t xml:space="preserve">database-mcp、file-mcp、knowledge-mcp、metrics-mcp</w:t>
            </w:r>
          </w:p>
        </w:tc>
      </w:tr>
      <w:tr>
        <w:tc>
          <w:tcPr>
            <w:tcW w:w="4733" w:type="dxa"/>
          </w:tcPr>
          <w:p>
            <w:r>
              <w:t xml:space="preserve">Skill</w:t>
            </w:r>
          </w:p>
        </w:tc>
        <w:tc>
          <w:tcPr>
            <w:tcW w:w="4733" w:type="dxa"/>
          </w:tcPr>
          <w:p>
            <w:r>
              <w:t xml:space="preserve">可复用专家流程</w:t>
            </w:r>
          </w:p>
        </w:tc>
        <w:tc>
          <w:tcPr>
            <w:tcW w:w="4733" w:type="dxa"/>
          </w:tcPr>
          <w:p>
            <w:r>
              <w:t xml:space="preserve">excel_key_enrichment、field_alias_learning、metric_feasibility_check、rag_quality_check</w:t>
            </w:r>
          </w:p>
        </w:tc>
      </w:tr>
      <w:tr>
        <w:tc>
          <w:tcPr>
            <w:tcW w:w="4733" w:type="dxa"/>
          </w:tcPr>
          <w:p>
            <w:r>
              <w:t xml:space="preserve">Agent Template</w:t>
            </w:r>
          </w:p>
        </w:tc>
        <w:tc>
          <w:tcPr>
            <w:tcW w:w="4733" w:type="dxa"/>
          </w:tcPr>
          <w:p>
            <w:r>
              <w:t xml:space="preserve">业务级流程编排</w:t>
            </w:r>
          </w:p>
        </w:tc>
        <w:tc>
          <w:tcPr>
            <w:tcW w:w="4733" w:type="dxa"/>
          </w:tcPr>
          <w:p>
            <w:r>
              <w:t xml:space="preserve">metric_system_builder、excel_knowledge_enrichment、rag_qa</w:t>
            </w:r>
          </w:p>
        </w:tc>
      </w:tr>
    </w:tbl>
    <w:p>
      <w:pPr>
        <w:shd w:fill="F8FAFC"/>
        <w:spacing w:after="120"/>
      </w:pPr>
      <w:r>
        <w:rPr>
          <w:rFonts w:ascii="Consolas" w:eastAsia="Consolas"/>
          <w:sz w:val="17"/>
        </w:rPr>
        <w:t xml:space="preserve">agent_template.yaml 示例
agent_type: excel_knowledge_enrichment
version: 1.0.0
input_schema: schemas/excel_enrichment_input.json
output_schema: schemas/excel_enrichment_output.json
graph:
  nodes: [parse_excel, detect_key_column, exact_lookup, fill_fields, validate_diff, export_result, audit]
tools: [excel_parse, exact_lookup, field_alias_map, fill_export, audit_write]</w:t>
      </w:r>
    </w:p>
    <w:p>
      <w:pPr>
        <w:pStyle w:val="Heading2"/>
        <w:spacing w:after="120"/>
      </w:pPr>
      <w:r>
        <w:t xml:space="preserve">6.3 Model Gateway 设计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能力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模型/组件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用途</w:t>
            </w:r>
          </w:p>
        </w:tc>
      </w:tr>
      <w:tr>
        <w:tc>
          <w:tcPr>
            <w:tcW w:w="4733" w:type="dxa"/>
          </w:tcPr>
          <w:p>
            <w:r>
              <w:t xml:space="preserve">分类/路由</w:t>
            </w:r>
          </w:p>
        </w:tc>
        <w:tc>
          <w:tcPr>
            <w:tcW w:w="4733" w:type="dxa"/>
          </w:tcPr>
          <w:p>
            <w:r>
              <w:t xml:space="preserve">Qwen 7B/14B 或 API 小模型</w:t>
            </w:r>
          </w:p>
        </w:tc>
        <w:tc>
          <w:tcPr>
            <w:tcW w:w="4733" w:type="dxa"/>
          </w:tcPr>
          <w:p>
            <w:r>
              <w:t xml:space="preserve">业务域分类、字段别名判断、意图识别。</w:t>
            </w:r>
          </w:p>
        </w:tc>
      </w:tr>
      <w:tr>
        <w:tc>
          <w:tcPr>
            <w:tcW w:w="4733" w:type="dxa"/>
          </w:tcPr>
          <w:p>
            <w:r>
              <w:t xml:space="preserve">复杂推理</w:t>
            </w:r>
          </w:p>
        </w:tc>
        <w:tc>
          <w:tcPr>
            <w:tcW w:w="4733" w:type="dxa"/>
          </w:tcPr>
          <w:p>
            <w:r>
              <w:t xml:space="preserve">Qwen 14B/32B 或同级模型</w:t>
            </w:r>
          </w:p>
        </w:tc>
        <w:tc>
          <w:tcPr>
            <w:tcW w:w="4733" w:type="dxa"/>
          </w:tcPr>
          <w:p>
            <w:r>
              <w:t xml:space="preserve">指标推导、复杂解释、结构化生成。</w:t>
            </w:r>
          </w:p>
        </w:tc>
      </w:tr>
      <w:tr>
        <w:tc>
          <w:tcPr>
            <w:tcW w:w="4733" w:type="dxa"/>
          </w:tcPr>
          <w:p>
            <w:r>
              <w:t xml:space="preserve">Embedding</w:t>
            </w:r>
          </w:p>
        </w:tc>
        <w:tc>
          <w:tcPr>
            <w:tcW w:w="4733" w:type="dxa"/>
          </w:tcPr>
          <w:p>
            <w:r>
              <w:t xml:space="preserve">bge-m3</w:t>
            </w:r>
          </w:p>
        </w:tc>
        <w:tc>
          <w:tcPr>
            <w:tcW w:w="4733" w:type="dxa"/>
          </w:tcPr>
          <w:p>
            <w:r>
              <w:t xml:space="preserve">文档向量化和 query embedding。</w:t>
            </w:r>
          </w:p>
        </w:tc>
      </w:tr>
      <w:tr>
        <w:tc>
          <w:tcPr>
            <w:tcW w:w="4733" w:type="dxa"/>
          </w:tcPr>
          <w:p>
            <w:r>
              <w:t xml:space="preserve">Rerank</w:t>
            </w:r>
          </w:p>
        </w:tc>
        <w:tc>
          <w:tcPr>
            <w:tcW w:w="4733" w:type="dxa"/>
          </w:tcPr>
          <w:p>
            <w:r>
              <w:t xml:space="preserve">bge-reranker-v2-m3</w:t>
            </w:r>
          </w:p>
        </w:tc>
        <w:tc>
          <w:tcPr>
            <w:tcW w:w="4733" w:type="dxa"/>
          </w:tcPr>
          <w:p>
            <w:r>
              <w:t xml:space="preserve">召回结果重排。</w:t>
            </w:r>
          </w:p>
        </w:tc>
      </w:tr>
      <w:tr>
        <w:tc>
          <w:tcPr>
            <w:tcW w:w="4733" w:type="dxa"/>
          </w:tcPr>
          <w:p>
            <w:r>
              <w:t xml:space="preserve">推理引擎</w:t>
            </w:r>
          </w:p>
        </w:tc>
        <w:tc>
          <w:tcPr>
            <w:tcW w:w="4733" w:type="dxa"/>
          </w:tcPr>
          <w:p>
            <w:r>
              <w:t xml:space="preserve">llama.cpp / API / vLLM</w:t>
            </w:r>
          </w:p>
        </w:tc>
        <w:tc>
          <w:tcPr>
            <w:tcW w:w="4733" w:type="dxa"/>
          </w:tcPr>
          <w:p>
            <w:r>
              <w:t xml:space="preserve">CPU 功能验证、API 效果验证、GPU 生产部署。</w:t>
            </w:r>
          </w:p>
        </w:tc>
      </w:tr>
    </w:tbl>
    <w:p>
      <w:pPr>
        <w:pStyle w:val="Heading1"/>
        <w:spacing w:after="120"/>
      </w:pPr>
      <w:r>
        <w:t xml:space="preserve">7. 部署架构</w:t>
      </w:r>
    </w:p>
    <w:p>
      <w:r>
        <w:pict>
          <v:group style="width:760pt;height:385pt" coordsize="1750,820">
            <v:shape id="t5" type="#_x0000_t202" style="position:absolute;left:40;top:20;width:1650;height:72" stroked="f" filled="f">
              <v:textbox inset="0,0,0,0">
                <w:txbxContent>
                  <w:p>
                    <w:r>
                      <w:rPr>
                        <w:b/>
                        <w:sz w:val="32"/>
                        <w:color w:val="0F172A"/>
                      </w:rPr>
                      <w:t>部署架构与离线交付</w:t>
                    </w:r>
                  </w:p>
                  <w:p>
                    <w:r>
                      <w:rPr>
                        <w:sz w:val="18"/>
                        <w:color w:val="64748B"/>
                      </w:rPr>
                      <w:t>单机虚机起步，后续按组件拆分；模型确认后只替换 Model Gateway 后端。</w:t>
                    </w:r>
                  </w:p>
                </w:txbxContent>
              </v:textbox>
            </v:shape>
            <v:roundrect id="vm" style="position:absolute;left:60;top:115;width:1630;height:550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内网虚拟机 / Docker Compose 部署</w:t>
                    </w:r>
                  </w:p>
                </w:txbxContent>
              </v:textbox>
            </v:roundrect>
            <v:roundrect id="c0" style="position:absolute;left:110;top:180;width:220;height:92" arcsize="10%" fillcolor="#DBEAFE" strokecolor="#2563EB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gateway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Nginx/APISIX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TLS / Auth / Limit</w:t>
                    </w:r>
                  </w:p>
                </w:txbxContent>
              </v:textbox>
            </v:roundrect>
            <v:roundrect id="c1" style="position:absolute;left:390;top:180;width:220;height:92" arcsize="10%" fillcolor="#DCFCE7" strokecolor="#16A34A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agent-api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FastAPI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REST / SSE</w:t>
                    </w:r>
                  </w:p>
                </w:txbxContent>
              </v:textbox>
            </v:roundrect>
            <v:roundrect id="c2" style="position:absolute;left:670;top:180;width:220;height:92" arcsize="10%" fillcolor="#DCFCE7" strokecolor="#16A34A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agent-worker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LangGraph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Celery/RQ</w:t>
                    </w:r>
                  </w:p>
                </w:txbxContent>
              </v:textbox>
            </v:roundrect>
            <v:roundrect id="c3" style="position:absolute;left:950;top:180;width:220;height:92" arcsize="10%" fillcolor="#FEF3C7" strokecolor="#D97706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knowledge-worker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Parser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Embedding</w:t>
                    </w:r>
                  </w:p>
                </w:txbxContent>
              </v:textbox>
            </v:roundrect>
            <v:roundrect id="c4" style="position:absolute;left:1230;top:180;width:220;height:92" arcsize="10%" fillcolor="#FFE4E6" strokecolor="#E11D48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model-gateway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llama.cpp/API/vLLM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OpenAI接口</w:t>
                    </w:r>
                  </w:p>
                </w:txbxContent>
              </v:textbox>
            </v:roundrect>
            <v:roundrect id="c5" style="position:absolute;left:110;top:410;width:220;height:92" arcsize="10%" fillcolor="#FFFFFF" strokecolor="#334155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PostgreSQL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pgvector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业务/审计表</w:t>
                    </w:r>
                  </w:p>
                </w:txbxContent>
              </v:textbox>
            </v:roundrect>
            <v:roundrect id="c6" style="position:absolute;left:390;top:410;width:220;height:92" arcsize="10%" fillcolor="#FFFFFF" strokecolor="#EA580C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Redis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cache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queue</w:t>
                    </w:r>
                  </w:p>
                </w:txbxContent>
              </v:textbox>
            </v:roundrect>
            <v:roundrect id="c7" style="position:absolute;left:670;top:410;width:220;height:92" arcsize="10%" fillcolor="#FFFFFF" strokecolor="#0284C7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File/Model Repo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原始文件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离线包/模型</w:t>
                    </w:r>
                  </w:p>
                </w:txbxContent>
              </v:textbox>
            </v:roundrect>
            <v:roundrect id="c8" style="position:absolute;left:950;top:410;width:220;height:92" arcsize="10%" fillcolor="#FFFFFF" strokecolor="#059669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Observability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Prom/Grafana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Phoenix</w:t>
                    </w:r>
                  </w:p>
                </w:txbxContent>
              </v:textbox>
            </v:roundrect>
            <v:roundrect id="c9" style="position:absolute;left:1230;top:410;width:220;height:92" arcsize="10%" fillcolor="#FFFFFF" strokecolor="#7C3AED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Evaluation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golden cases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gray/rollback</w:t>
                    </w:r>
                  </w:p>
                </w:txbxContent>
              </v:textbox>
            </v:roundrect>
            <v:line id="a" style="position:absolute" from="330,226" to="390,226" strokecolor="#64748B" strokeweight="1.6pt">
              <v:stroke endarrow="block"/>
            </v:line>
            <v:line id="b" style="position:absolute" from="610,226" to="670,226" strokecolor="#64748B" strokeweight="1.6pt">
              <v:stroke endarrow="block"/>
            </v:line>
            <v:line id="c" style="position:absolute" from="890,226" to="950,226" strokecolor="#64748B" strokeweight="1.6pt">
              <v:stroke endarrow="block"/>
            </v:line>
            <v:line id="d" style="position:absolute" from="1170,226" to="1230,226" strokecolor="#64748B" strokeweight="1.6pt">
              <v:stroke endarrow="block"/>
            </v:line>
            <v:line id="e" style="position:absolute" from="780,272" to="780,410" strokecolor="#64748B" strokeweight="1.6pt">
              <v:stroke endarrow="block"/>
            </v:line>
            <v:line id="f" style="position:absolute" from="1060,272" to="1060,410" strokecolor="#64748B" strokeweight="1.6pt">
              <v:stroke endarrow="block"/>
            </v:line>
            <v:line id="g" style="position:absolute" from="500,272" to="500,410" strokecolor="#64748B" strokeweight="1.6pt">
              <v:stroke endarrow="block"/>
            </v:line>
            <v:roundrect id="conf1" style="position:absolute;left:110;top:710;width:660;height:62" arcsize="10%" fillcolor="#FFFFFF" strokecolor="#334155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CPU验证配置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16C / 64GB / 500GB SSD：验证功能链路，不承诺模型延迟</w:t>
                    </w:r>
                  </w:p>
                </w:txbxContent>
              </v:textbox>
            </v:roundrect>
            <v:roundrect id="conf2" style="position:absolute;left:900;top:710;width:660;height:62" arcsize="10%" fillcolor="#FFFFFF" strokecolor="#334155" strokeweight="1.35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GPU生产建议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32C / 128GB / 2TB SSD + L20 48GB 或 A100 40GB，按压测确定</w:t>
                    </w:r>
                  </w:p>
                </w:txbxContent>
              </v:textbox>
            </v:roundrect>
          </v:group>
        </w:pict>
      </w:r>
    </w:p>
    <w:p>
      <w:pPr>
        <w:jc w:val="center"/>
      </w:pPr>
      <w:r>
        <w:rPr>
          <w:color w:val="64748B"/>
          <w:sz w:val="18"/>
        </w:rPr>
        <w:t>图 5：部署架构与离线交付</w:t>
      </w:r>
    </w:p>
    <w:p>
      <w:pPr>
        <w:pStyle w:val="Heading2"/>
        <w:spacing w:after="120"/>
      </w:pPr>
      <w:r>
        <w:t xml:space="preserve">7.1 离线部署包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7100" w:type="dxa"/>
            <w:shd w:fill="E2E8F0"/>
          </w:tcPr>
          <w:p>
            <w:r>
              <w:rPr>
                <w:b/>
              </w:rPr>
              <w:t xml:space="preserve">包类型</w:t>
            </w:r>
          </w:p>
        </w:tc>
        <w:tc>
          <w:tcPr>
            <w:tcW w:w="7100" w:type="dxa"/>
            <w:shd w:fill="E2E8F0"/>
          </w:tcPr>
          <w:p>
            <w:r>
              <w:rPr>
                <w:b/>
              </w:rPr>
              <w:t xml:space="preserve">内容</w:t>
            </w:r>
          </w:p>
        </w:tc>
      </w:tr>
      <w:tr>
        <w:tc>
          <w:tcPr>
            <w:tcW w:w="7100" w:type="dxa"/>
          </w:tcPr>
          <w:p>
            <w:r>
              <w:t xml:space="preserve">Docker 镜像包</w:t>
            </w:r>
          </w:p>
        </w:tc>
        <w:tc>
          <w:tcPr>
            <w:tcW w:w="7100" w:type="dxa"/>
          </w:tcPr>
          <w:p>
            <w:r>
              <w:t xml:space="preserve">gateway、agent-api、agent-worker、knowledge-worker、postgres、redis、observability。</w:t>
            </w:r>
          </w:p>
        </w:tc>
      </w:tr>
      <w:tr>
        <w:tc>
          <w:tcPr>
            <w:tcW w:w="7100" w:type="dxa"/>
          </w:tcPr>
          <w:p>
            <w:r>
              <w:t xml:space="preserve">Python wheelhouse</w:t>
            </w:r>
          </w:p>
        </w:tc>
        <w:tc>
          <w:tcPr>
            <w:tcW w:w="7100" w:type="dxa"/>
          </w:tcPr>
          <w:p>
            <w:r>
              <w:t xml:space="preserve">fastapi、langgraph、langchain、pydantic、pandas、openpyxl、pymupdf、psycopg、presidio。</w:t>
            </w:r>
          </w:p>
        </w:tc>
      </w:tr>
      <w:tr>
        <w:tc>
          <w:tcPr>
            <w:tcW w:w="7100" w:type="dxa"/>
          </w:tcPr>
          <w:p>
            <w:r>
              <w:t xml:space="preserve">模型包</w:t>
            </w:r>
          </w:p>
        </w:tc>
        <w:tc>
          <w:tcPr>
            <w:tcW w:w="7100" w:type="dxa"/>
          </w:tcPr>
          <w:p>
            <w:r>
              <w:t xml:space="preserve">bge-m3、bge-reranker、Qwen GGUF/API 配置/vLLM 权重。</w:t>
            </w:r>
          </w:p>
        </w:tc>
      </w:tr>
      <w:tr>
        <w:tc>
          <w:tcPr>
            <w:tcW w:w="7100" w:type="dxa"/>
          </w:tcPr>
          <w:p>
            <w:r>
              <w:t xml:space="preserve">SQL 包</w:t>
            </w:r>
          </w:p>
        </w:tc>
        <w:tc>
          <w:tcPr>
            <w:tcW w:w="7100" w:type="dxa"/>
          </w:tcPr>
          <w:p>
            <w:r>
              <w:t xml:space="preserve">schema、索引、初始化字典、审计表、评测样本。</w:t>
            </w:r>
          </w:p>
        </w:tc>
      </w:tr>
      <w:tr>
        <w:tc>
          <w:tcPr>
            <w:tcW w:w="7100" w:type="dxa"/>
          </w:tcPr>
          <w:p>
            <w:r>
              <w:t xml:space="preserve">配置包</w:t>
            </w:r>
          </w:p>
        </w:tc>
        <w:tc>
          <w:tcPr>
            <w:tcW w:w="7100" w:type="dxa"/>
          </w:tcPr>
          <w:p>
            <w:r>
              <w:t xml:space="preserve">agent templates、tool manifests、prompt、JSON Schema。</w:t>
            </w:r>
          </w:p>
        </w:tc>
      </w:tr>
    </w:tbl>
    <w:p>
      <w:pPr>
        <w:pStyle w:val="Heading1"/>
        <w:spacing w:after="120"/>
      </w:pPr>
      <w:r>
        <w:t xml:space="preserve">8. 安全、性能与可观测</w:t>
      </w:r>
    </w:p>
    <w:p>
      <w:pPr>
        <w:pStyle w:val="ListParagraph"/>
        <w:ind w:left="420"/>
        <w:spacing w:after="80"/>
      </w:pPr>
      <w:r>
        <w:t xml:space="preserve">• 安全：OAuth2/JWT/LDAP/SSO、数据域过滤、Presidio 脱敏、Tool 权限、参数化 SQL。</w:t>
      </w:r>
    </w:p>
    <w:p>
      <w:pPr>
        <w:pStyle w:val="ListParagraph"/>
        <w:ind w:left="420"/>
        <w:spacing w:after="80"/>
      </w:pPr>
      <w:r>
        <w:t xml:space="preserve">• 性能：结构化补全走精确查询；RAG 问答走 pgvector + rerank；指标构建走 Schema Slimming + Map-Reduce。</w:t>
      </w:r>
    </w:p>
    <w:p>
      <w:pPr>
        <w:pStyle w:val="ListParagraph"/>
        <w:ind w:left="420"/>
        <w:spacing w:after="80"/>
      </w:pPr>
      <w:r>
        <w:t xml:space="preserve">• 可观测：OpenTelemetry 串联 request_id、run_id、tool_call_id、model_call_id；Prometheus/Grafana 监控；Phoenix 记录 LLM Trace。</w:t>
      </w:r>
    </w:p>
    <w:p>
      <w:pPr>
        <w:pStyle w:val="ListParagraph"/>
        <w:ind w:left="420"/>
        <w:spacing w:after="80"/>
      </w:pPr>
      <w:r>
        <w:t xml:space="preserve">• 评测：为每类 Agent 建立 golden cases，发布前做回归评测，支持版本对比和灰度回滚。</w:t>
      </w:r>
    </w:p>
    <w:p>
      <w:pPr>
        <w:pStyle w:val="Heading1"/>
        <w:spacing w:after="120"/>
      </w:pPr>
      <w:r>
        <w:t xml:space="preserve">9. 实施路线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产出</w:t>
            </w:r>
          </w:p>
        </w:tc>
      </w:tr>
      <w:tr>
        <w:tc>
          <w:tcPr>
            <w:tcW w:w="4733" w:type="dxa"/>
          </w:tcPr>
          <w:p>
            <w:r>
              <w:t xml:space="preserve">P0 公共底座骨架</w:t>
            </w:r>
          </w:p>
        </w:tc>
        <w:tc>
          <w:tcPr>
            <w:tcW w:w="4733" w:type="dxa"/>
          </w:tcPr>
          <w:p>
            <w:r>
              <w:t xml:space="preserve">Agent API、Runtime、Tool Registry、PostgreSQL、Redis、审计跑通</w:t>
            </w:r>
          </w:p>
        </w:tc>
        <w:tc>
          <w:tcPr>
            <w:tcW w:w="4733" w:type="dxa"/>
          </w:tcPr>
          <w:p>
            <w:r>
              <w:t xml:space="preserve">可运行 mock Agent。</w:t>
            </w:r>
          </w:p>
        </w:tc>
      </w:tr>
      <w:tr>
        <w:tc>
          <w:tcPr>
            <w:tcW w:w="4733" w:type="dxa"/>
          </w:tcPr>
          <w:p>
            <w:r>
              <w:t xml:space="preserve">P1 Excel 知识库补全</w:t>
            </w:r>
          </w:p>
        </w:tc>
        <w:tc>
          <w:tcPr>
            <w:tcW w:w="4733" w:type="dxa"/>
          </w:tcPr>
          <w:p>
            <w:r>
              <w:t xml:space="preserve">知识库导入、主键识别、精确补全、异常报告</w:t>
            </w:r>
          </w:p>
        </w:tc>
        <w:tc>
          <w:tcPr>
            <w:tcW w:w="4733" w:type="dxa"/>
          </w:tcPr>
          <w:p>
            <w:r>
              <w:t xml:space="preserve">Excel 补全 Agent。</w:t>
            </w:r>
          </w:p>
        </w:tc>
      </w:tr>
      <w:tr>
        <w:tc>
          <w:tcPr>
            <w:tcW w:w="4733" w:type="dxa"/>
          </w:tcPr>
          <w:p>
            <w:r>
              <w:t xml:space="preserve">P2 指标体系构建</w:t>
            </w:r>
          </w:p>
        </w:tc>
        <w:tc>
          <w:tcPr>
            <w:tcW w:w="4733" w:type="dxa"/>
          </w:tcPr>
          <w:p>
            <w:r>
              <w:t xml:space="preserve">Schema 瘦身、业务域分类、指标推导、人工确认</w:t>
            </w:r>
          </w:p>
        </w:tc>
        <w:tc>
          <w:tcPr>
            <w:tcW w:w="4733" w:type="dxa"/>
          </w:tcPr>
          <w:p>
            <w:r>
              <w:t xml:space="preserve">指标体系构建 Agent。</w:t>
            </w:r>
          </w:p>
        </w:tc>
      </w:tr>
      <w:tr>
        <w:tc>
          <w:tcPr>
            <w:tcW w:w="4733" w:type="dxa"/>
          </w:tcPr>
          <w:p>
            <w:r>
              <w:t xml:space="preserve">P3 RAG 问答扩展</w:t>
            </w:r>
          </w:p>
        </w:tc>
        <w:tc>
          <w:tcPr>
            <w:tcW w:w="4733" w:type="dxa"/>
          </w:tcPr>
          <w:p>
            <w:r>
              <w:t xml:space="preserve">文档解析、向量检索、引用回答、反馈评测</w:t>
            </w:r>
          </w:p>
        </w:tc>
        <w:tc>
          <w:tcPr>
            <w:tcW w:w="4733" w:type="dxa"/>
          </w:tcPr>
          <w:p>
            <w:r>
              <w:t xml:space="preserve">RAG 问答 Agent。</w:t>
            </w:r>
          </w:p>
        </w:tc>
      </w:tr>
      <w:tr>
        <w:tc>
          <w:tcPr>
            <w:tcW w:w="4733" w:type="dxa"/>
          </w:tcPr>
          <w:p>
            <w:r>
              <w:t xml:space="preserve">P4 模型选型与生产治理</w:t>
            </w:r>
          </w:p>
        </w:tc>
        <w:tc>
          <w:tcPr>
            <w:tcW w:w="4733" w:type="dxa"/>
          </w:tcPr>
          <w:p>
            <w:r>
              <w:t xml:space="preserve">CPU/API/GPU 三模式验证，完善监控、评测、灰度</w:t>
            </w:r>
          </w:p>
        </w:tc>
        <w:tc>
          <w:tcPr>
            <w:tcW w:w="4733" w:type="dxa"/>
          </w:tcPr>
          <w:p>
            <w:r>
              <w:t xml:space="preserve">生产试点版本。</w:t>
            </w:r>
          </w:p>
        </w:tc>
      </w:tr>
    </w:tbl>
    <w:p>
      <w:pPr>
        <w:pStyle w:val="Heading1"/>
        <w:spacing w:after="120"/>
      </w:pPr>
      <w:r>
        <w:t xml:space="preserve">10. 小结</w:t>
      </w:r>
    </w:p>
    <w:p>
      <w:pPr>
        <w:spacing w:after="120"/>
      </w:pPr>
      <w:r>
        <w:t xml:space="preserve">本版把物料/Excel 补全从单一主线降级为业务 Agent 示例，重新回到整体智能体平台视角。平台通过公共 Runtime、Tool/MCP/Skill、Knowledge Service、Model Gateway、PostgreSQL/pgvector、审计观测和评测发布体系，统一承载指标体系构建、Excel 知识库补全、RAG 问答以及未来更多企业 Agent。</w:t>
      </w:r>
    </w:p>
    <w:sectPr>
      <w:pgSz w:w="16838" w:h="11906" w:orient="landscape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 Unicode MS" w:eastAsia="Arial Unicode MS"/>
      <w:sz w:val="21"/>
    </w:rPr>
  </w:style>
  <w:style w:type="paragraph" w:styleId="Heading1">
    <w:name w:val="heading 1"/>
    <w:basedOn w:val="Normal"/>
    <w:rPr>
      <w:b/>
      <w:sz w:val="36"/>
      <w:color w:val="0F172A"/>
    </w:rPr>
  </w:style>
  <w:style w:type="paragraph" w:styleId="Heading2">
    <w:name w:val="heading 2"/>
    <w:basedOn w:val="Normal"/>
    <w:rPr>
      <w:b/>
      <w:sz w:val="28"/>
      <w:color w:val="1F2937"/>
    </w:rPr>
  </w:style>
  <w:style w:type="paragraph" w:styleId="Heading3">
    <w:name w:val="heading 3"/>
    <w:basedOn w:val="Normal"/>
    <w:rPr>
      <w:b/>
      <w:sz w:val="24"/>
      <w:color w:val="334155"/>
    </w:rPr>
  </w:style>
  <w:style w:type="paragraph" w:styleId="Title">
    <w:name w:val="Title"/>
    <w:rPr>
      <w:b/>
      <w:sz w:val="4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/Relationships>
</file>