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v="urn:schemas-microsoft-com:vml" xmlns:o="urn:schemas-microsoft-com:office:office">
  <w:body>
    <w:p>
      <w:pPr>
        <w:pStyle w:val="Title"/>
        <w:jc w:val="center"/>
      </w:pPr>
      <w:r>
        <w:t>公共底层智能体框架详细设计方案（物料补全修正版）</w:t>
      </w:r>
    </w:p>
    <w:p>
      <w:pPr>
        <w:spacing w:after="120"/>
      </w:pPr>
      <w:r>
        <w:t xml:space="preserve">本版修正第二个需求：不是离线 RAG 问答，而是基于 Excel 知识库的物料主数据/属性字段批量补全。流程图采用 Word VML 原生形状绘制，打开后更接近 Word 专用流程图表达。</w:t>
      </w:r>
    </w:p>
    <w:p>
      <w:pPr>
        <w:pStyle w:val="Heading1"/>
        <w:spacing w:after="120"/>
      </w:pPr>
      <w:r>
        <w:t xml:space="preserve">1. 需求修正说明</w:t>
      </w:r>
    </w:p>
    <w:p>
      <w:pPr>
        <w:pStyle w:val="ListParagraph"/>
        <w:ind w:left="420"/>
        <w:spacing w:after="80"/>
      </w:pPr>
      <w:r>
        <w:t xml:space="preserve">• 原理解偏差：之前将需求描述为离线知识库 RAG/字段填充，偏向问答式检索。</w:t>
      </w:r>
    </w:p>
    <w:p>
      <w:pPr>
        <w:pStyle w:val="ListParagraph"/>
        <w:ind w:left="420"/>
        <w:spacing w:after="80"/>
      </w:pPr>
      <w:r>
        <w:t xml:space="preserve">• 修正后的真实需求：提供物料知识库 Excel，里面包含物料基本信息和属性信息；用户上传待补全 Excel，通常只有物料 ID；系统根据物料 ID 在知识库中匹配，补全该 Excel 的所有字段数据。</w:t>
      </w:r>
    </w:p>
    <w:p>
      <w:pPr>
        <w:pStyle w:val="ListParagraph"/>
        <w:ind w:left="420"/>
        <w:spacing w:after="80"/>
      </w:pPr>
      <w:r>
        <w:t xml:space="preserve">• 技术定位：这是“基于结构化知识库的批量数据补全/属性回填”需求，主路径是精确检索和结构化查询，不应把 RAG/LLM 作为主链路。</w:t>
      </w:r>
    </w:p>
    <w:p>
      <w:pPr>
        <w:pStyle w:val="ListParagraph"/>
        <w:ind w:left="420"/>
        <w:spacing w:after="80"/>
      </w:pPr>
      <w:r>
        <w:t xml:space="preserve">• RAG/LLM 的合理位置：字段别名映射、物料描述模糊兜底、未命中原因解释、补全报告生成、低置信度人工确认辅助。</w:t>
      </w:r>
    </w:p>
    <w:p>
      <w:pPr>
        <w:pStyle w:val="Heading1"/>
        <w:spacing w:after="120"/>
      </w:pPr>
      <w:r>
        <w:t xml:space="preserve">2. 修正后的总体技术架构</w:t>
      </w:r>
    </w:p>
    <w:p>
      <w:r>
        <w:pict>
          <v:group style="width:760pt;height:430pt" coordsize="1750,940">
            <v:shape id="t1" type="#_x0000_t202" style="position:absolute;left:40;top:20;width:1600;height:70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公共智能体平台技术架构（修正版）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第二个需求修正为：基于 Excel 知识库的物料属性批量补全，而非离线 RAG 问答。</w:t>
                    </w:r>
                  </w:p>
                </w:txbxContent>
              </v:textbox>
            </v:shape>
            <v:roundrect id="l1" style="position:absolute;left:40;top:110;width:1670;height:12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应用接入层</w:t>
                    </w:r>
                  </w:p>
                </w:txbxContent>
              </v:textbox>
            </v:roundrect>
            <v:roundrect id="a1" style="position:absolute;left:90;top:160;width:300;height:48" arcsize="10%" fillcolor="#DBEAFE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Java 管理后台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任务提交 / 知识库管理</w:t>
                    </w:r>
                  </w:p>
                </w:txbxContent>
              </v:textbox>
            </v:roundrect>
            <v:roundrect id="a2" style="position:absolute;left:430;top:160;width:300;height:48" arcsize="10%" fillcolor="#DBEAFE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Web / OpenAPI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上传待补全 Excel</w:t>
                    </w:r>
                  </w:p>
                </w:txbxContent>
              </v:textbox>
            </v:roundrect>
            <v:roundrect id="a3" style="position:absolute;left:770;top:160;width:300;height:48" arcsize="10%" fillcolor="#DBEAFE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指标体系入口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table_json / prompt</w:t>
                    </w:r>
                  </w:p>
                </w:txbxContent>
              </v:textbox>
            </v:roundrect>
            <v:roundrect id="a4" style="position:absolute;left:1110;top:160;width:300;height:48" arcsize="10%" fillcolor="#DBEAFE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物料补全入口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material_id 批量回填</w:t>
                    </w:r>
                  </w:p>
                </w:txbxContent>
              </v:textbox>
            </v:roundrect>
            <v:roundrect id="a5" style="position:absolute;left:1450;top:160;width:210;height:48" arcsize="10%" fillcolor="#E0F2FE" strokecolor="#0284C7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API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APISIX / Nginx</w:t>
                    </w:r>
                  </w:p>
                </w:txbxContent>
              </v:textbox>
            </v:roundrect>
            <v:roundrect id="l2" style="position:absolute;left:40;top:270;width:1670;height:17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公共 Agent Runtime 层</w:t>
                    </w:r>
                  </w:p>
                </w:txbxContent>
              </v:textbox>
            </v:roundrect>
            <v:roundrect id="r1" style="position:absolute;left:90;top:335;width:290;height:6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 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FastAPI / SSE / Async</w:t>
                    </w:r>
                  </w:p>
                </w:txbxContent>
              </v:textbox>
            </v:roundrect>
            <v:roundrect id="r2" style="position:absolute;left:430;top:335;width:330;height:6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LangGraph Runtime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状态机 / Checkpoint / Replay</w:t>
                    </w:r>
                  </w:p>
                </w:txbxContent>
              </v:textbox>
            </v:roundrect>
            <v:roundrect id="r3" style="position:absolute;left:810;top:335;width:270;height:6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Task Queue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Redis + Celery/RQ</w:t>
                    </w:r>
                  </w:p>
                </w:txbxContent>
              </v:textbox>
            </v:roundrect>
            <v:roundrect id="r4" style="position:absolute;left:1130;top:335;width:250;height:65" arcsize="10%" fillcolor="#FFE4E6" strokecolor="#E11D48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Policy Guard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权限 / 脱敏 / 数据域</w:t>
                    </w:r>
                  </w:p>
                </w:txbxContent>
              </v:textbox>
            </v:roundrect>
            <v:roundrect id="r5" style="position:absolute;left:1430;top:335;width:230;height:65" arcsize="10%" fillcolor="#ECFDF5" strokecolor="#059669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Audit Replay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Trace / 回放 / 评测</w:t>
                    </w:r>
                  </w:p>
                </w:txbxContent>
              </v:textbox>
            </v:roundrect>
            <v:roundrect id="l3" style="position:absolute;left:40;top:475;width:805;height:20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业务 Agent 模板层</w:t>
                    </w:r>
                  </w:p>
                </w:txbxContent>
              </v:textbox>
            </v:roundrect>
            <v:roundrect id="m1" style="position:absolute;left:90;top:540;width:320;height:80" arcsize="10%" fillcolor="#EFF6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指标体系构建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Schema 瘦身 / 业务域分类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指标推导 / 人工确认</w:t>
                    </w:r>
                  </w:p>
                </w:txbxContent>
              </v:textbox>
            </v:roundrect>
            <v:roundrect id="m2" style="position:absolute;left:470;top:540;width:320;height:80" arcsize="10%" fillcolor="#F0FDF4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物料属性补全 Agent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物料ID识别 / 精确匹配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属性回填 / 差异报告</w:t>
                    </w:r>
                  </w:p>
                </w:txbxContent>
              </v:textbox>
            </v:roundrect>
            <v:roundrect id="l4" style="position:absolute;left:905;top:475;width:805;height:205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能力与服务层</w:t>
                    </w:r>
                  </w:p>
                </w:txbxContent>
              </v:textbox>
            </v:roundrect>
            <v:roundrect id="s1" style="position:absolute;left:950;top:540;width:220;height:80" arcsize="10%" fillcolor="#FEF3C7" strokecolor="#D97706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Tool Registry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强 Schema 工具</w:t>
                    </w:r>
                  </w:p>
                </w:txbxContent>
              </v:textbox>
            </v:roundrect>
            <v:roundrect id="s2" style="position:absolute;left:1210;top:540;width:220;height:80" arcsize="10%" fillcolor="#F3E8FF" strokecolor="#7C3AED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Knowledge Service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Excel KB / 字段字典</w:t>
                    </w:r>
                  </w:p>
                </w:txbxContent>
              </v:textbox>
            </v:roundrect>
            <v:roundrect id="s3" style="position:absolute;left:1470;top:540;width:200;height:80" arcsize="10%" fillcolor="#FFE4E6" strokecolor="#E11D48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Model 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分类 / 解释 / 兜底</w:t>
                    </w:r>
                  </w:p>
                </w:txbxContent>
              </v:textbox>
            </v:roundrect>
            <v:roundrect id="l5" style="position:absolute;left:40;top:720;width:1670;height:19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数据存储与离线交付层</w:t>
                    </w:r>
                  </w:p>
                </w:txbxContent>
              </v:textbox>
            </v:roundrect>
            <v:roundrect id="d1" style="position:absolute;left:90;top:785;width:290;height:70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PostgreSQL + pgvector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material_master / material_attrs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rag_chunks / metric_artifacts</w:t>
                    </w:r>
                  </w:p>
                </w:txbxContent>
              </v:textbox>
            </v:roundrect>
            <v:roundrect id="d2" style="position:absolute;left:430;top:785;width:270;height:70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物料知识库表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material_id 精确索引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属性列 / row_json</w:t>
                    </w:r>
                  </w:p>
                </w:txbxContent>
              </v:textbox>
            </v:roundrect>
            <v:roundrect id="d3" style="position:absolute;left:750;top:785;width:250;height:70" arcsize="10%" fillcolor="#FFFFFF" strokecolor="#EA580C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任务队列 / 缓存</w:t>
                    </w:r>
                  </w:p>
                </w:txbxContent>
              </v:textbox>
            </v:roundrect>
            <v:roundrect id="d4" style="position:absolute;left:1050;top:785;width:290;height:70" arcsize="10%" fillcolor="#FFFFFF" strokecolor="#0284C7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文件与模型目录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Excel 文件 / 模型权重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wheelhouse / docker tar</w:t>
                    </w:r>
                  </w:p>
                </w:txbxContent>
              </v:textbox>
            </v:roundrect>
            <v:roundrect id="d5" style="position:absolute;left:1390;top:785;width:270;height:70" arcsize="10%" fillcolor="#FFFFFF" strokecolor="#059669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OTel / Prometheus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Grafana / Phoenix</w:t>
                    </w:r>
                  </w:p>
                </w:txbxContent>
              </v:textbox>
            </v:roundrect>
            <v:line id="x1" style="position:absolute" from="1410,184" to="1450,184" strokecolor="#64748B" strokeweight="1.6pt">
              <v:stroke endarrow="block"/>
            </v:line>
            <v:line id="x2" style="position:absolute" from="1555,208" to="1555,335" strokecolor="#64748B" strokeweight="1.6pt">
              <v:stroke endarrow="block"/>
            </v:line>
            <v:line id="x3" style="position:absolute" from="380,367" to="430,367" strokecolor="#64748B" strokeweight="1.6pt">
              <v:stroke endarrow="block"/>
            </v:line>
            <v:line id="x4" style="position:absolute" from="760,367" to="810,367" strokecolor="#64748B" strokeweight="1.6pt">
              <v:stroke endarrow="block"/>
            </v:line>
            <v:line id="x5" style="position:absolute" from="1080,367" to="1130,367" strokecolor="#64748B" strokeweight="1.6pt">
              <v:stroke endarrow="block"/>
            </v:line>
            <v:line id="x6" style="position:absolute" from="1380,367" to="1430,367" strokecolor="#64748B" strokeweight="1.6pt">
              <v:stroke endarrow="block"/>
            </v:line>
            <v:line id="x7" style="position:absolute" from="595,400" to="595,540" strokecolor="#64748B" strokeweight="1.6pt">
              <v:stroke endarrow="block"/>
            </v:line>
            <v:line id="x8" style="position:absolute" from="790,580" to="950,580" strokecolor="#64748B" strokeweight="1.6pt">
              <v:stroke endarrow="block"/>
            </v:line>
            <v:line id="x9" style="position:absolute" from="1170,580" to="1210,580" strokecolor="#64748B" strokeweight="1.6pt">
              <v:stroke endarrow="block"/>
            </v:line>
            <v:line id="x10" style="position:absolute" from="1430,580" to="1470,580" strokecolor="#64748B" strokeweight="1.6pt">
              <v:stroke endarrow="block"/>
            </v:line>
            <v:line id="x11" style="position:absolute" from="1320,620" to="1320,785" strokecolor="#64748B" strokeweight="1.6pt">
              <v:stroke endarrow="block"/>
            </v:line>
            <v:line id="x12" style="position:absolute" from="595,620" to="595,785" strokecolor="#64748B" strokeweight="1.6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1：公共智能体平台技术架构（Word 原生流程图风格）</w:t>
      </w:r>
    </w:p>
    <w:p>
      <w:pPr>
        <w:pStyle w:val="Heading1"/>
        <w:spacing w:after="120"/>
      </w:pPr>
      <w:r>
        <w:t xml:space="preserve">2.1 架构说明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层级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组件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职责</w:t>
            </w:r>
          </w:p>
        </w:tc>
      </w:tr>
      <w:tr>
        <w:tc>
          <w:tcPr>
            <w:tcW w:w="4733" w:type="dxa"/>
          </w:tcPr>
          <w:p>
            <w:r>
              <w:t xml:space="preserve">应用接入层</w:t>
            </w:r>
          </w:p>
        </w:tc>
        <w:tc>
          <w:tcPr>
            <w:tcW w:w="4733" w:type="dxa"/>
          </w:tcPr>
          <w:p>
            <w:r>
              <w:t xml:space="preserve">Java 管理后台、Web/OpenAPI、指标体系入口、物料补全入口</w:t>
            </w:r>
          </w:p>
        </w:tc>
        <w:tc>
          <w:tcPr>
            <w:tcW w:w="4733" w:type="dxa"/>
          </w:tcPr>
          <w:p>
            <w:r>
              <w:t xml:space="preserve">提交任务、上传 Excel、管理知识库、查看补全结果。</w:t>
            </w:r>
          </w:p>
        </w:tc>
      </w:tr>
      <w:tr>
        <w:tc>
          <w:tcPr>
            <w:tcW w:w="4733" w:type="dxa"/>
          </w:tcPr>
          <w:p>
            <w:r>
              <w:t xml:space="preserve">公共 Agent Runtime</w:t>
            </w:r>
          </w:p>
        </w:tc>
        <w:tc>
          <w:tcPr>
            <w:tcW w:w="4733" w:type="dxa"/>
          </w:tcPr>
          <w:p>
            <w:r>
              <w:t xml:space="preserve">FastAPI、LangGraph、Redis/Celery、Policy Guard、Audit Replay</w:t>
            </w:r>
          </w:p>
        </w:tc>
        <w:tc>
          <w:tcPr>
            <w:tcW w:w="4733" w:type="dxa"/>
          </w:tcPr>
          <w:p>
            <w:r>
              <w:t xml:space="preserve">统一承载业务 Agent 的任务编排、异步执行、权限、审计和回放。</w:t>
            </w:r>
          </w:p>
        </w:tc>
      </w:tr>
      <w:tr>
        <w:tc>
          <w:tcPr>
            <w:tcW w:w="4733" w:type="dxa"/>
          </w:tcPr>
          <w:p>
            <w:r>
              <w:t xml:space="preserve">业务 Agent 模板层</w:t>
            </w:r>
          </w:p>
        </w:tc>
        <w:tc>
          <w:tcPr>
            <w:tcW w:w="4733" w:type="dxa"/>
          </w:tcPr>
          <w:p>
            <w:r>
              <w:t xml:space="preserve">指标体系构建 Agent、物料属性补全 Agent</w:t>
            </w:r>
          </w:p>
        </w:tc>
        <w:tc>
          <w:tcPr>
            <w:tcW w:w="4733" w:type="dxa"/>
          </w:tcPr>
          <w:p>
            <w:r>
              <w:t xml:space="preserve">两个业务能力以 Agent Template 形式运行在同一底座上。</w:t>
            </w:r>
          </w:p>
        </w:tc>
      </w:tr>
      <w:tr>
        <w:tc>
          <w:tcPr>
            <w:tcW w:w="4733" w:type="dxa"/>
          </w:tcPr>
          <w:p>
            <w:r>
              <w:t xml:space="preserve">能力与服务层</w:t>
            </w:r>
          </w:p>
        </w:tc>
        <w:tc>
          <w:tcPr>
            <w:tcW w:w="4733" w:type="dxa"/>
          </w:tcPr>
          <w:p>
            <w:r>
              <w:t xml:space="preserve">Tool Registry、Knowledge Service、Model Gateway</w:t>
            </w:r>
          </w:p>
        </w:tc>
        <w:tc>
          <w:tcPr>
            <w:tcW w:w="4733" w:type="dxa"/>
          </w:tcPr>
          <w:p>
            <w:r>
              <w:t xml:space="preserve">工具注册、Excel 知识库解析/查询、模型路由和兜底能力。</w:t>
            </w:r>
          </w:p>
        </w:tc>
      </w:tr>
      <w:tr>
        <w:tc>
          <w:tcPr>
            <w:tcW w:w="4733" w:type="dxa"/>
          </w:tcPr>
          <w:p>
            <w:r>
              <w:t xml:space="preserve">数据存储与离线交付层</w:t>
            </w:r>
          </w:p>
        </w:tc>
        <w:tc>
          <w:tcPr>
            <w:tcW w:w="4733" w:type="dxa"/>
          </w:tcPr>
          <w:p>
            <w:r>
              <w:t xml:space="preserve">PostgreSQL、物料知识库表、Redis、文件模型目录、可观测组件</w:t>
            </w:r>
          </w:p>
        </w:tc>
        <w:tc>
          <w:tcPr>
            <w:tcW w:w="4733" w:type="dxa"/>
          </w:tcPr>
          <w:p>
            <w:r>
              <w:t xml:space="preserve">存储物料主数据、属性数据、任务、审计、文件和运行指标。</w:t>
            </w:r>
          </w:p>
        </w:tc>
      </w:tr>
    </w:tbl>
    <w:p>
      <w:pPr>
        <w:pStyle w:val="Heading1"/>
        <w:spacing w:after="120"/>
      </w:pPr>
      <w:r>
        <w:t xml:space="preserve">3. 物料属性批量补全 Agent 设计</w:t>
      </w:r>
    </w:p>
    <w:p>
      <w:r>
        <w:pict>
          <v:group style="width:760pt;height:330pt" coordsize="1750,650">
            <v:shape id="t2" type="#_x0000_t202" style="position:absolute;left:40;top:20;width:1600;height:70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物料属性批量补全流程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以物料ID为主键进行知识库精确匹配，RAG/LLM 仅用于字段别名、异常解释和低置信度兜底。</w:t>
                    </w:r>
                  </w:p>
                </w:txbxContent>
              </v:textbox>
            </v:shape>
            <v:roundrect id="p0" style="position:absolute;left:80;top:190;width:230;height:115" arcsize="10%" fillcolor="#DBEAFE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上传待补全Excel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仅包含物料ID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或少量已知字段</w:t>
                    </w:r>
                  </w:p>
                </w:txbxContent>
              </v:textbox>
            </v:roundrect>
            <v:line id="pl0" style="position:absolute" from="310,248" to="350,248" strokecolor="#64748B" strokeweight="1.6pt">
              <v:stroke endarrow="block"/>
            </v:line>
            <v:roundrect id="p1" style="position:absolute;left:350;top:190;width:230;height:115" arcsize="10%" fillcolor="#E0F2FE" strokecolor="#0284C7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字段识别与校验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识别物料ID列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空值/重复/格式校验</w:t>
                    </w:r>
                  </w:p>
                </w:txbxContent>
              </v:textbox>
            </v:roundrect>
            <v:line id="pl1" style="position:absolute" from="580,248" to="620,248" strokecolor="#64748B" strokeweight="1.6pt">
              <v:stroke endarrow="block"/>
            </v:line>
            <v:roundrect id="p2" style="position:absolute;left:620;top:190;width:230;height:11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知识库精确匹配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material_id B-tree索引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批量 SQL / upsert</w:t>
                    </w:r>
                  </w:p>
                </w:txbxContent>
              </v:textbox>
            </v:roundrect>
            <v:line id="pl2" style="position:absolute" from="850,248" to="890,248" strokecolor="#64748B" strokeweight="1.6pt">
              <v:stroke endarrow="block"/>
            </v:line>
            <v:roundrect id="p3" style="position:absolute;left:890;top:190;width:230;height:115" arcsize="10%" fillcolor="#F0FDF4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属性补全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补全所有目标字段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保留原始列和来源</w:t>
                    </w:r>
                  </w:p>
                </w:txbxContent>
              </v:textbox>
            </v:roundrect>
            <v:line id="pl3" style="position:absolute" from="1120,248" to="1160,248" strokecolor="#64748B" strokeweight="1.6pt">
              <v:stroke endarrow="block"/>
            </v:line>
            <v:roundrect id="p4" style="position:absolute;left:1160;top:190;width:230;height:115" arcsize="10%" fillcolor="#FEF3C7" strokecolor="#D97706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异常处理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未命中/多命中/冲突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字段别名/模糊兜底</w:t>
                    </w:r>
                  </w:p>
                </w:txbxContent>
              </v:textbox>
            </v:roundrect>
            <v:line id="pl4" style="position:absolute" from="1390,248" to="1430,248" strokecolor="#64748B" strokeweight="1.6pt">
              <v:stroke endarrow="block"/>
            </v:line>
            <v:roundrect id="p5" style="position:absolute;left:1430;top:190;width:230;height:115" arcsize="10%" fillcolor="#F3E8FF" strokecolor="#7C3AED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导出结果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补全Excel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差异报告 / 审计日志</w:t>
                    </w:r>
                  </w:p>
                </w:txbxContent>
              </v:textbox>
            </v:roundrect>
            <v:roundrect id="kb" style="position:absolute;left:260;top:390;width:1230;height:19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物料知识库与检索策略</w:t>
                    </w:r>
                  </w:p>
                </w:txbxContent>
              </v:textbox>
            </v:roundrect>
            <v:roundrect id="k1" style="position:absolute;left:315;top:455;width:260;height:65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material_master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物料ID / 名称 / 分类 / 状态</w:t>
                    </w:r>
                  </w:p>
                </w:txbxContent>
              </v:textbox>
            </v:roundrect>
            <v:roundrect id="k2" style="position:absolute;left:625;top:455;width:260;height:65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material_attrs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属性字段 / row_json / 来源版本</w:t>
                    </w:r>
                  </w:p>
                </w:txbxContent>
              </v:textbox>
            </v:roundrect>
            <v:roundrect id="k3" style="position:absolute;left:935;top:455;width:230;height:65" arcsize="10%" fillcolor="#FFFFFF" strokecolor="#7C3AED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field_dictionary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字段别名 / 目标列映射</w:t>
                    </w:r>
                  </w:p>
                </w:txbxContent>
              </v:textbox>
            </v:roundrect>
            <v:roundrect id="k4" style="position:absolute;left:1215;top:455;width:220;height:65" arcsize="10%" fillcolor="#FFFFFF" strokecolor="#059669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audit_logs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命中行 / 异常 / 操作人</w:t>
                    </w:r>
                  </w:p>
                </w:txbxContent>
              </v:textbox>
            </v:roundrect>
            <v:line id="kb1" style="position:absolute" from="780,305" to="780,455" strokecolor="#16A34A" strokeweight="1.6pt">
              <v:stroke endarrow="block"/>
            </v:line>
            <v:line id="kb2" style="position:absolute" from="1325,305" to="1325,455" strokecolor="#D97706" strokeweight="1.6pt">
              <v:stroke endarrow="block"/>
            </v:line>
            <v:shape id="lab1" type="#_x0000_t202" style="position:absolute;left:690;top:340;width:260;height:32" stroked="f" filled="f">
              <v:textbox inset="0,0,0,0">
                <w:txbxContent>
                  <w:p>
                    <w:r>
                      <w:rPr>
                        <w:sz w:val="16"/>
                        <w:color w:val="166534"/>
                      </w:rPr>
                      <w:t>主路径：物料ID精确查询</w:t>
                    </w:r>
                  </w:p>
                </w:txbxContent>
              </v:textbox>
            </v:shape>
            <v:shape id="lab2" type="#_x0000_t202" style="position:absolute;left:1180;top:340;width:260;height:32" stroked="f" filled="f">
              <v:textbox inset="0,0,0,0">
                <w:txbxContent>
                  <w:p>
                    <w:r>
                      <w:rPr>
                        <w:sz w:val="16"/>
                        <w:color w:val="92400E"/>
                      </w:rPr>
                      <w:t>兜底：字段别名/异常解释</w:t>
                    </w:r>
                  </w:p>
                </w:txbxContent>
              </v:textbox>
            </v:shape>
          </v:group>
        </w:pict>
      </w:r>
    </w:p>
    <w:p>
      <w:pPr>
        <w:jc w:val="center"/>
      </w:pPr>
      <w:r>
        <w:rPr>
          <w:color w:val="64748B"/>
          <w:sz w:val="18"/>
        </w:rPr>
        <w:t>图 2：物料属性批量补全流程</w:t>
      </w:r>
    </w:p>
    <w:p>
      <w:pPr>
        <w:pStyle w:val="Heading1"/>
        <w:spacing w:after="120"/>
      </w:pPr>
      <w:r>
        <w:t xml:space="preserve">3.1 主流程说明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步骤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处理逻辑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技术重点</w:t>
            </w:r>
          </w:p>
        </w:tc>
      </w:tr>
      <w:tr>
        <w:tc>
          <w:tcPr>
            <w:tcW w:w="4733" w:type="dxa"/>
          </w:tcPr>
          <w:p>
            <w:r>
              <w:t xml:space="preserve">上传待补全 Excel</w:t>
            </w:r>
          </w:p>
        </w:tc>
        <w:tc>
          <w:tcPr>
            <w:tcW w:w="4733" w:type="dxa"/>
          </w:tcPr>
          <w:p>
            <w:r>
              <w:t xml:space="preserve">用户上传只有物料 ID 或部分字段的 Excel</w:t>
            </w:r>
          </w:p>
        </w:tc>
        <w:tc>
          <w:tcPr>
            <w:tcW w:w="4733" w:type="dxa"/>
          </w:tcPr>
          <w:p>
            <w:r>
              <w:t xml:space="preserve">保留原文件、sheet、行号、列名，生成 batch_id。</w:t>
            </w:r>
          </w:p>
        </w:tc>
      </w:tr>
      <w:tr>
        <w:tc>
          <w:tcPr>
            <w:tcW w:w="4733" w:type="dxa"/>
          </w:tcPr>
          <w:p>
            <w:r>
              <w:t xml:space="preserve">字段识别与校验</w:t>
            </w:r>
          </w:p>
        </w:tc>
        <w:tc>
          <w:tcPr>
            <w:tcW w:w="4733" w:type="dxa"/>
          </w:tcPr>
          <w:p>
            <w:r>
              <w:t xml:space="preserve">识别物料 ID 列，检查空值、重复值、格式异常</w:t>
            </w:r>
          </w:p>
        </w:tc>
        <w:tc>
          <w:tcPr>
            <w:tcW w:w="4733" w:type="dxa"/>
          </w:tcPr>
          <w:p>
            <w:r>
              <w:t xml:space="preserve">字段别名可用 field_dictionary 辅助，例如物料编码=物料ID。</w:t>
            </w:r>
          </w:p>
        </w:tc>
      </w:tr>
      <w:tr>
        <w:tc>
          <w:tcPr>
            <w:tcW w:w="4733" w:type="dxa"/>
          </w:tcPr>
          <w:p>
            <w:r>
              <w:t xml:space="preserve">知识库精确匹配</w:t>
            </w:r>
          </w:p>
        </w:tc>
        <w:tc>
          <w:tcPr>
            <w:tcW w:w="4733" w:type="dxa"/>
          </w:tcPr>
          <w:p>
            <w:r>
              <w:t xml:space="preserve">基于 material_id 批量查询物料知识库</w:t>
            </w:r>
          </w:p>
        </w:tc>
        <w:tc>
          <w:tcPr>
            <w:tcW w:w="4733" w:type="dxa"/>
          </w:tcPr>
          <w:p>
            <w:r>
              <w:t xml:space="preserve">主路径使用 PostgreSQL B-tree 索引，不走向量。</w:t>
            </w:r>
          </w:p>
        </w:tc>
      </w:tr>
      <w:tr>
        <w:tc>
          <w:tcPr>
            <w:tcW w:w="4733" w:type="dxa"/>
          </w:tcPr>
          <w:p>
            <w:r>
              <w:t xml:space="preserve">属性补全</w:t>
            </w:r>
          </w:p>
        </w:tc>
        <w:tc>
          <w:tcPr>
            <w:tcW w:w="4733" w:type="dxa"/>
          </w:tcPr>
          <w:p>
            <w:r>
              <w:t xml:space="preserve">将知识库中的物料基本信息和属性字段回填到目标 Excel</w:t>
            </w:r>
          </w:p>
        </w:tc>
        <w:tc>
          <w:tcPr>
            <w:tcW w:w="4733" w:type="dxa"/>
          </w:tcPr>
          <w:p>
            <w:r>
              <w:t xml:space="preserve">按配置决定覆盖空值、保留原值或生成差异列。</w:t>
            </w:r>
          </w:p>
        </w:tc>
      </w:tr>
      <w:tr>
        <w:tc>
          <w:tcPr>
            <w:tcW w:w="4733" w:type="dxa"/>
          </w:tcPr>
          <w:p>
            <w:r>
              <w:t xml:space="preserve">异常处理</w:t>
            </w:r>
          </w:p>
        </w:tc>
        <w:tc>
          <w:tcPr>
            <w:tcW w:w="4733" w:type="dxa"/>
          </w:tcPr>
          <w:p>
            <w:r>
              <w:t xml:space="preserve">处理未命中、多命中、冲突字段、字段缺失</w:t>
            </w:r>
          </w:p>
        </w:tc>
        <w:tc>
          <w:tcPr>
            <w:tcW w:w="4733" w:type="dxa"/>
          </w:tcPr>
          <w:p>
            <w:r>
              <w:t xml:space="preserve">生成异常 sheet 和低置信度待确认列表。</w:t>
            </w:r>
          </w:p>
        </w:tc>
      </w:tr>
      <w:tr>
        <w:tc>
          <w:tcPr>
            <w:tcW w:w="4733" w:type="dxa"/>
          </w:tcPr>
          <w:p>
            <w:r>
              <w:t xml:space="preserve">导出结果</w:t>
            </w:r>
          </w:p>
        </w:tc>
        <w:tc>
          <w:tcPr>
            <w:tcW w:w="4733" w:type="dxa"/>
          </w:tcPr>
          <w:p>
            <w:r>
              <w:t xml:space="preserve">输出补全后的 Excel 和差异报告</w:t>
            </w:r>
          </w:p>
        </w:tc>
        <w:tc>
          <w:tcPr>
            <w:tcW w:w="4733" w:type="dxa"/>
          </w:tcPr>
          <w:p>
            <w:r>
              <w:t xml:space="preserve">记录命中 row_id、来源版本、补全时间、操作人。</w:t>
            </w:r>
          </w:p>
        </w:tc>
      </w:tr>
    </w:tbl>
    <w:p>
      <w:pPr>
        <w:pStyle w:val="Heading1"/>
        <w:spacing w:after="120"/>
      </w:pPr>
      <w:r>
        <w:t xml:space="preserve">3.2 数据表设计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表名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关键字段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</w:tr>
      <w:tr>
        <w:tc>
          <w:tcPr>
            <w:tcW w:w="4733" w:type="dxa"/>
          </w:tcPr>
          <w:p>
            <w:r>
              <w:t xml:space="preserve">material_master</w:t>
            </w:r>
          </w:p>
        </w:tc>
        <w:tc>
          <w:tcPr>
            <w:tcW w:w="4733" w:type="dxa"/>
          </w:tcPr>
          <w:p>
            <w:r>
              <w:t xml:space="preserve">material_id, material_name, category, status, source_version</w:t>
            </w:r>
          </w:p>
        </w:tc>
        <w:tc>
          <w:tcPr>
            <w:tcW w:w="4733" w:type="dxa"/>
          </w:tcPr>
          <w:p>
            <w:r>
              <w:t xml:space="preserve">物料主数据表，material_id 建唯一或高选择性索引。</w:t>
            </w:r>
          </w:p>
        </w:tc>
      </w:tr>
      <w:tr>
        <w:tc>
          <w:tcPr>
            <w:tcW w:w="4733" w:type="dxa"/>
          </w:tcPr>
          <w:p>
            <w:r>
              <w:t xml:space="preserve">material_attributes</w:t>
            </w:r>
          </w:p>
        </w:tc>
        <w:tc>
          <w:tcPr>
            <w:tcW w:w="4733" w:type="dxa"/>
          </w:tcPr>
          <w:p>
            <w:r>
              <w:t xml:space="preserve">material_id, attr_code, attr_name, attr_value, attr_unit, row_json</w:t>
            </w:r>
          </w:p>
        </w:tc>
        <w:tc>
          <w:tcPr>
            <w:tcW w:w="4733" w:type="dxa"/>
          </w:tcPr>
          <w:p>
            <w:r>
              <w:t xml:space="preserve">物料属性表，适合属性列动态变化场景。</w:t>
            </w:r>
          </w:p>
        </w:tc>
      </w:tr>
      <w:tr>
        <w:tc>
          <w:tcPr>
            <w:tcW w:w="4733" w:type="dxa"/>
          </w:tcPr>
          <w:p>
            <w:r>
              <w:t xml:space="preserve">material_row_snapshot</w:t>
            </w:r>
          </w:p>
        </w:tc>
        <w:tc>
          <w:tcPr>
            <w:tcW w:w="4733" w:type="dxa"/>
          </w:tcPr>
          <w:p>
            <w:r>
              <w:t xml:space="preserve">material_id, row_json, checksum, source_file, sheet_name, row_no</w:t>
            </w:r>
          </w:p>
        </w:tc>
        <w:tc>
          <w:tcPr>
            <w:tcW w:w="4733" w:type="dxa"/>
          </w:tcPr>
          <w:p>
            <w:r>
              <w:t xml:space="preserve">保留知识库 Excel 原始整行数据，方便全字段回填。</w:t>
            </w:r>
          </w:p>
        </w:tc>
      </w:tr>
      <w:tr>
        <w:tc>
          <w:tcPr>
            <w:tcW w:w="4733" w:type="dxa"/>
          </w:tcPr>
          <w:p>
            <w:r>
              <w:t xml:space="preserve">field_dictionary</w:t>
            </w:r>
          </w:p>
        </w:tc>
        <w:tc>
          <w:tcPr>
            <w:tcW w:w="4733" w:type="dxa"/>
          </w:tcPr>
          <w:p>
            <w:r>
              <w:t xml:space="preserve">field_name, aliases, target_column, data_type, required</w:t>
            </w:r>
          </w:p>
        </w:tc>
        <w:tc>
          <w:tcPr>
            <w:tcW w:w="4733" w:type="dxa"/>
          </w:tcPr>
          <w:p>
            <w:r>
              <w:t xml:space="preserve">字段别名和目标列映射。</w:t>
            </w:r>
          </w:p>
        </w:tc>
      </w:tr>
      <w:tr>
        <w:tc>
          <w:tcPr>
            <w:tcW w:w="4733" w:type="dxa"/>
          </w:tcPr>
          <w:p>
            <w:r>
              <w:t xml:space="preserve">enrichment_batches</w:t>
            </w:r>
          </w:p>
        </w:tc>
        <w:tc>
          <w:tcPr>
            <w:tcW w:w="4733" w:type="dxa"/>
          </w:tcPr>
          <w:p>
            <w:r>
              <w:t xml:space="preserve">batch_id, file_name, status, total_rows, hit_rows, miss_rows, conflict_rows</w:t>
            </w:r>
          </w:p>
        </w:tc>
        <w:tc>
          <w:tcPr>
            <w:tcW w:w="4733" w:type="dxa"/>
          </w:tcPr>
          <w:p>
            <w:r>
              <w:t xml:space="preserve">补全任务批次状态。</w:t>
            </w:r>
          </w:p>
        </w:tc>
      </w:tr>
      <w:tr>
        <w:tc>
          <w:tcPr>
            <w:tcW w:w="4733" w:type="dxa"/>
          </w:tcPr>
          <w:p>
            <w:r>
              <w:t xml:space="preserve">enrichment_results</w:t>
            </w:r>
          </w:p>
        </w:tc>
        <w:tc>
          <w:tcPr>
            <w:tcW w:w="4733" w:type="dxa"/>
          </w:tcPr>
          <w:p>
            <w:r>
              <w:t xml:space="preserve">batch_id, row_no, material_id, match_status, filled_json, diff_json, error_msg</w:t>
            </w:r>
          </w:p>
        </w:tc>
        <w:tc>
          <w:tcPr>
            <w:tcW w:w="4733" w:type="dxa"/>
          </w:tcPr>
          <w:p>
            <w:r>
              <w:t xml:space="preserve">每一行补全结果和异常原因。</w:t>
            </w:r>
          </w:p>
        </w:tc>
      </w:tr>
      <w:tr>
        <w:tc>
          <w:tcPr>
            <w:tcW w:w="4733" w:type="dxa"/>
          </w:tcPr>
          <w:p>
            <w:r>
              <w:t xml:space="preserve">audit_logs</w:t>
            </w:r>
          </w:p>
        </w:tc>
        <w:tc>
          <w:tcPr>
            <w:tcW w:w="4733" w:type="dxa"/>
          </w:tcPr>
          <w:p>
            <w:r>
              <w:t xml:space="preserve">request_id, user_id, action, batch_id, hit_refs, masked_payload</w:t>
            </w:r>
          </w:p>
        </w:tc>
        <w:tc>
          <w:tcPr>
            <w:tcW w:w="4733" w:type="dxa"/>
          </w:tcPr>
          <w:p>
            <w:r>
              <w:t xml:space="preserve">审计日志。</w:t>
            </w:r>
          </w:p>
        </w:tc>
      </w:tr>
    </w:tbl>
    <w:p>
      <w:pPr>
        <w:pStyle w:val="Heading1"/>
        <w:spacing w:after="120"/>
      </w:pPr>
      <w:r>
        <w:t xml:space="preserve">3.3 检索策略</w:t>
      </w:r>
    </w:p>
    <w:p>
      <w:pPr>
        <w:pStyle w:val="ListParagraph"/>
        <w:ind w:left="420"/>
        <w:spacing w:after="80"/>
      </w:pPr>
      <w:r>
        <w:t xml:space="preserve">• 物料 ID 明确时：走 PostgreSQL 精确查询，基于 material_id 的 B-tree 索引批量查询。</w:t>
      </w:r>
    </w:p>
    <w:p>
      <w:pPr>
        <w:pStyle w:val="ListParagraph"/>
        <w:ind w:left="420"/>
        <w:spacing w:after="80"/>
      </w:pPr>
      <w:r>
        <w:t xml:space="preserve">• 物料 ID 列名不一致时：先用字段字典匹配，必要时用小模型判断字段别名。</w:t>
      </w:r>
    </w:p>
    <w:p>
      <w:pPr>
        <w:pStyle w:val="ListParagraph"/>
        <w:ind w:left="420"/>
        <w:spacing w:after="80"/>
      </w:pPr>
      <w:r>
        <w:t xml:space="preserve">• 物料 ID 缺失但有名称/描述时：可启用 pg_trgm 或 pgvector 做候选召回，但必须进入低置信度人工确认。</w:t>
      </w:r>
    </w:p>
    <w:p>
      <w:pPr>
        <w:pStyle w:val="ListParagraph"/>
        <w:ind w:left="420"/>
        <w:spacing w:after="80"/>
      </w:pPr>
      <w:r>
        <w:t xml:space="preserve">• 补全字段很多且知识库列动态变化时：使用 row_json 保存整行，结合字段映射配置生成输出列。</w:t>
      </w:r>
    </w:p>
    <w:p>
      <w:pPr>
        <w:pStyle w:val="Heading1"/>
        <w:spacing w:after="120"/>
      </w:pPr>
      <w:r>
        <w:t xml:space="preserve">4. 两个业务 Agent 的模板化编排</w:t>
      </w:r>
    </w:p>
    <w:p>
      <w:r>
        <w:pict>
          <v:group style="width:760pt;height:410pt" coordsize="1750,900">
            <v:shape id="t3" type="#_x0000_t202" style="position:absolute;left:40;top:20;width:1600;height:70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两个业务 Agent 的模板化编排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公共 Runtime 不变，差异通过 Agent Template、Tool 集合和输出 Schema 表达。</w:t>
                    </w:r>
                  </w:p>
                </w:txbxContent>
              </v:textbox>
            </v:shape>
            <v:roundrect id="left" style="position:absolute;left:60;top:120;width:780;height:62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指标体系构建 Agent</w:t>
                    </w:r>
                  </w:p>
                </w:txbxContent>
              </v:textbox>
            </v:roundrect>
            <v:roundrect id="l0" style="position:absolute;left:130;top:185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normalize_schema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表结构归一化</w:t>
                    </w:r>
                  </w:p>
                </w:txbxContent>
              </v:textbox>
            </v:roundrect>
            <v:line id="ll0" style="position:absolute" from="425,233" to="425,250" strokecolor="#2563EB" strokeweight="1.6pt">
              <v:stroke endarrow="block"/>
            </v:line>
            <v:roundrect id="l1" style="position:absolute;left:130;top:263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domain_classify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业务域分类</w:t>
                    </w:r>
                  </w:p>
                </w:txbxContent>
              </v:textbox>
            </v:roundrect>
            <v:line id="ll1" style="position:absolute" from="425,311" to="425,328" strokecolor="#2563EB" strokeweight="1.6pt">
              <v:stroke endarrow="block"/>
            </v:line>
            <v:roundrect id="l2" style="position:absolute;left:130;top:341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metric_retrieve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指标知识检索</w:t>
                    </w:r>
                  </w:p>
                </w:txbxContent>
              </v:textbox>
            </v:roundrect>
            <v:line id="ll2" style="position:absolute" from="425,389" to="425,406" strokecolor="#2563EB" strokeweight="1.6pt">
              <v:stroke endarrow="block"/>
            </v:line>
            <v:roundrect id="l3" style="position:absolute;left:130;top:419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metric_generate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指标候选生成</w:t>
                    </w:r>
                  </w:p>
                </w:txbxContent>
              </v:textbox>
            </v:roundrect>
            <v:line id="ll3" style="position:absolute" from="425,467" to="425,484" strokecolor="#2563EB" strokeweight="1.6pt">
              <v:stroke endarrow="block"/>
            </v:line>
            <v:roundrect id="l4" style="position:absolute;left:130;top:497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feasibility_check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可行性复评</w:t>
                    </w:r>
                  </w:p>
                </w:txbxContent>
              </v:textbox>
            </v:roundrect>
            <v:line id="ll4" style="position:absolute" from="425,545" to="425,562" strokecolor="#2563EB" strokeweight="1.6pt">
              <v:stroke endarrow="block"/>
            </v:line>
            <v:roundrect id="l5" style="position:absolute;left:130;top:575;width:590;height:48" arcsize="10%" fillcolor="#FFFFFF" strokecolor="#2563EB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hitl_review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人工确认发布</w:t>
                    </w:r>
                  </w:p>
                </w:txbxContent>
              </v:textbox>
            </v:roundrect>
            <v:roundrect id="right" style="position:absolute;left:910;top:120;width:780;height:62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物料属性补全 Agent</w:t>
                    </w:r>
                  </w:p>
                </w:txbxContent>
              </v:textbox>
            </v:roundrect>
            <v:roundrect id="r0" style="position:absolute;left:980;top:185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parse_input_excel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解析待补全Excel</w:t>
                    </w:r>
                  </w:p>
                </w:txbxContent>
              </v:textbox>
            </v:roundrect>
            <v:line id="rl0" style="position:absolute" from="1275,233" to="1275,250" strokecolor="#16A34A" strokeweight="1.6pt">
              <v:stroke endarrow="block"/>
            </v:line>
            <v:roundrect id="r1" style="position:absolute;left:980;top:263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detect_material_id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识别物料ID列</w:t>
                    </w:r>
                  </w:p>
                </w:txbxContent>
              </v:textbox>
            </v:roundrect>
            <v:line id="rl1" style="position:absolute" from="1275,311" to="1275,328" strokecolor="#16A34A" strokeweight="1.6pt">
              <v:stroke endarrow="block"/>
            </v:line>
            <v:roundrect id="r2" style="position:absolute;left:980;top:341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lookup_material_master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批量精确匹配知识库</w:t>
                    </w:r>
                  </w:p>
                </w:txbxContent>
              </v:textbox>
            </v:roundrect>
            <v:line id="rl2" style="position:absolute" from="1275,389" to="1275,406" strokecolor="#16A34A" strokeweight="1.6pt">
              <v:stroke endarrow="block"/>
            </v:line>
            <v:roundrect id="r3" style="position:absolute;left:980;top:419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fill_attributes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补全目标字段</w:t>
                    </w:r>
                  </w:p>
                </w:txbxContent>
              </v:textbox>
            </v:roundrect>
            <v:line id="rl3" style="position:absolute" from="1275,467" to="1275,484" strokecolor="#16A34A" strokeweight="1.6pt">
              <v:stroke endarrow="block"/>
            </v:line>
            <v:roundrect id="r4" style="position:absolute;left:980;top:497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validate_diff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校验差异和异常</w:t>
                    </w:r>
                  </w:p>
                </w:txbxContent>
              </v:textbox>
            </v:roundrect>
            <v:line id="rl4" style="position:absolute" from="1275,545" to="1275,562" strokecolor="#16A34A" strokeweight="1.6pt">
              <v:stroke endarrow="block"/>
            </v:line>
            <v:roundrect id="r5" style="position:absolute;left:980;top:575;width:590;height:48" arcsize="10%" fillcolor="#FFFFFF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export_excel_report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导出补全Excel和报告</w:t>
                    </w:r>
                  </w:p>
                </w:txbxContent>
              </v:textbox>
            </v:roundrect>
            <v:roundrect id="base" style="position:absolute;left:395;top:790;width:960;height:70" arcsize="10%" fillcolor="#FEF3C7" strokecolor="#D97706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公共底座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LangGraph Runtime · Tool Registry · Knowledge Service · Model Gateway · Audit · Evaluation</w:t>
                    </w:r>
                  </w:p>
                </w:txbxContent>
              </v:textbox>
            </v:roundrect>
            <v:line id="base1" style="position:absolute" from="425,740" to="760,790" strokecolor="#D97706" strokeweight="1.6pt">
              <v:stroke endarrow="block"/>
            </v:line>
            <v:line id="base2" style="position:absolute" from="1275,740" to="990,790" strokecolor="#D97706" strokeweight="1.6pt">
              <v:stroke endarrow="block"/>
            </v:line>
          </v:group>
        </w:pict>
      </w:r>
    </w:p>
    <w:p>
      <w:pPr>
        <w:jc w:val="center"/>
      </w:pPr>
      <w:r>
        <w:rPr>
          <w:color w:val="64748B"/>
          <w:sz w:val="18"/>
        </w:rPr>
        <w:t>图 3：两个业务 Agent 的模板化编排</w:t>
      </w:r>
    </w:p>
    <w:p>
      <w:pPr>
        <w:pStyle w:val="Heading1"/>
        <w:spacing w:after="120"/>
      </w:pPr>
      <w:r>
        <w:t xml:space="preserve">5. 接口设计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接口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方法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说明</w:t>
            </w:r>
          </w:p>
        </w:tc>
        <w:tc>
          <w:tcPr>
            <w:tcW w:w="3550" w:type="dxa"/>
            <w:shd w:fill="E2E8F0"/>
          </w:tcPr>
          <w:p>
            <w:r>
              <w:rPr>
                <w:b/>
              </w:rPr>
              <w:t xml:space="preserve">返回</w:t>
            </w:r>
          </w:p>
        </w:tc>
      </w:tr>
      <w:tr>
        <w:tc>
          <w:tcPr>
            <w:tcW w:w="3550" w:type="dxa"/>
          </w:tcPr>
          <w:p>
            <w:r>
              <w:t xml:space="preserve">/api/v1/material-kb/import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导入物料知识库 Excel，解析为 material_master/material_attributes/snapshot</w:t>
            </w:r>
          </w:p>
        </w:tc>
        <w:tc>
          <w:tcPr>
            <w:tcW w:w="3550" w:type="dxa"/>
          </w:tcPr>
          <w:p>
            <w:r>
              <w:t xml:space="preserve">kb_batch_id</w:t>
            </w:r>
          </w:p>
        </w:tc>
      </w:tr>
      <w:tr>
        <w:tc>
          <w:tcPr>
            <w:tcW w:w="3550" w:type="dxa"/>
          </w:tcPr>
          <w:p>
            <w:r>
              <w:t xml:space="preserve">/api/v1/material-enrichment/runs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上传待补全 Excel，创建补全任务</w:t>
            </w:r>
          </w:p>
        </w:tc>
        <w:tc>
          <w:tcPr>
            <w:tcW w:w="3550" w:type="dxa"/>
          </w:tcPr>
          <w:p>
            <w:r>
              <w:t xml:space="preserve">run_id/batch_id</w:t>
            </w:r>
          </w:p>
        </w:tc>
      </w:tr>
      <w:tr>
        <w:tc>
          <w:tcPr>
            <w:tcW w:w="3550" w:type="dxa"/>
          </w:tcPr>
          <w:p>
            <w:r>
              <w:t xml:space="preserve">/api/v1/material-enrichment/runs/{run_id}</w:t>
            </w:r>
          </w:p>
        </w:tc>
        <w:tc>
          <w:tcPr>
            <w:tcW w:w="3550" w:type="dxa"/>
          </w:tcPr>
          <w:p>
            <w:r>
              <w:t xml:space="preserve">GET</w:t>
            </w:r>
          </w:p>
        </w:tc>
        <w:tc>
          <w:tcPr>
            <w:tcW w:w="3550" w:type="dxa"/>
          </w:tcPr>
          <w:p>
            <w:r>
              <w:t xml:space="preserve">查询补全任务状态、命中率、异常统计</w:t>
            </w:r>
          </w:p>
        </w:tc>
        <w:tc>
          <w:tcPr>
            <w:tcW w:w="3550" w:type="dxa"/>
          </w:tcPr>
          <w:p>
            <w:r>
              <w:t xml:space="preserve">run_detail</w:t>
            </w:r>
          </w:p>
        </w:tc>
      </w:tr>
      <w:tr>
        <w:tc>
          <w:tcPr>
            <w:tcW w:w="3550" w:type="dxa"/>
          </w:tcPr>
          <w:p>
            <w:r>
              <w:t xml:space="preserve">/api/v1/material-enrichment/runs/{run_id}/download</w:t>
            </w:r>
          </w:p>
        </w:tc>
        <w:tc>
          <w:tcPr>
            <w:tcW w:w="3550" w:type="dxa"/>
          </w:tcPr>
          <w:p>
            <w:r>
              <w:t xml:space="preserve">GET</w:t>
            </w:r>
          </w:p>
        </w:tc>
        <w:tc>
          <w:tcPr>
            <w:tcW w:w="3550" w:type="dxa"/>
          </w:tcPr>
          <w:p>
            <w:r>
              <w:t xml:space="preserve">下载补全后的 Excel</w:t>
            </w:r>
          </w:p>
        </w:tc>
        <w:tc>
          <w:tcPr>
            <w:tcW w:w="3550" w:type="dxa"/>
          </w:tcPr>
          <w:p>
            <w:r>
              <w:t xml:space="preserve">file_url</w:t>
            </w:r>
          </w:p>
        </w:tc>
      </w:tr>
      <w:tr>
        <w:tc>
          <w:tcPr>
            <w:tcW w:w="3550" w:type="dxa"/>
          </w:tcPr>
          <w:p>
            <w:r>
              <w:t xml:space="preserve">/api/v1/material-enrichment/runs/{run_id}/exceptions</w:t>
            </w:r>
          </w:p>
        </w:tc>
        <w:tc>
          <w:tcPr>
            <w:tcW w:w="3550" w:type="dxa"/>
          </w:tcPr>
          <w:p>
            <w:r>
              <w:t xml:space="preserve">GET</w:t>
            </w:r>
          </w:p>
        </w:tc>
        <w:tc>
          <w:tcPr>
            <w:tcW w:w="3550" w:type="dxa"/>
          </w:tcPr>
          <w:p>
            <w:r>
              <w:t xml:space="preserve">查看未命中、多命中、冲突字段明细</w:t>
            </w:r>
          </w:p>
        </w:tc>
        <w:tc>
          <w:tcPr>
            <w:tcW w:w="3550" w:type="dxa"/>
          </w:tcPr>
          <w:p>
            <w:r>
              <w:t xml:space="preserve">exception_rows</w:t>
            </w:r>
          </w:p>
        </w:tc>
      </w:tr>
      <w:tr>
        <w:tc>
          <w:tcPr>
            <w:tcW w:w="3550" w:type="dxa"/>
          </w:tcPr>
          <w:p>
            <w:r>
              <w:t xml:space="preserve">/api/v1/hitl/{run_id}/actions</w:t>
            </w:r>
          </w:p>
        </w:tc>
        <w:tc>
          <w:tcPr>
            <w:tcW w:w="3550" w:type="dxa"/>
          </w:tcPr>
          <w:p>
            <w:r>
              <w:t xml:space="preserve">POST</w:t>
            </w:r>
          </w:p>
        </w:tc>
        <w:tc>
          <w:tcPr>
            <w:tcW w:w="3550" w:type="dxa"/>
          </w:tcPr>
          <w:p>
            <w:r>
              <w:t xml:space="preserve">人工确认低置信度匹配或冲突字段处理策略</w:t>
            </w:r>
          </w:p>
        </w:tc>
        <w:tc>
          <w:tcPr>
            <w:tcW w:w="3550" w:type="dxa"/>
          </w:tcPr>
          <w:p>
            <w:r>
              <w:t xml:space="preserve">next_state</w:t>
            </w:r>
          </w:p>
        </w:tc>
      </w:tr>
    </w:tbl>
    <w:p>
      <w:pPr>
        <w:pStyle w:val="Heading1"/>
        <w:spacing w:after="120"/>
      </w:pPr>
      <w:r>
        <w:t xml:space="preserve">6. 部署架构</w:t>
      </w:r>
    </w:p>
    <w:p>
      <w:r>
        <w:pict>
          <v:group style="width:760pt;height:430pt" coordsize="1750,900">
            <v:shape id="t4" type="#_x0000_t202" style="position:absolute;left:40;top:20;width:1600;height:70" stroked="f" filled="f">
              <v:textbox inset="0,0,0,0">
                <w:txbxContent>
                  <w:p>
                    <w:r>
                      <w:rPr>
                        <w:b/>
                        <w:sz w:val="32"/>
                        <w:color w:val="0F172A"/>
                      </w:rPr>
                      <w:t>内网离线部署拓扑</w:t>
                    </w:r>
                  </w:p>
                  <w:p>
                    <w:r>
                      <w:rPr>
                        <w:sz w:val="18"/>
                        <w:color w:val="64748B"/>
                      </w:rPr>
                      <w:t>单机虚机先跑通功能；模型确认后仅替换 Model Gateway 后端为 GPU/vLLM。</w:t>
                    </w:r>
                  </w:p>
                </w:txbxContent>
              </v:textbox>
            </v:shape>
            <v:roundrect id="vm" style="position:absolute;left:60;top:120;width:1630;height:600" arcsize="6%" fillcolor="#F8FAFC" strokecolor="#CBD5E1" strokeweight="1pt">
              <v:textbox inset="9pt,6pt,6pt,3pt">
                <w:txbxContent>
                  <w:p>
                    <w:r>
                      <w:rPr>
                        <w:b/>
                        <w:sz w:val="22"/>
                        <w:color w:val="0F172A"/>
                      </w:rPr>
                      <w:t>单机虚拟机 / 内网环境</w:t>
                    </w:r>
                  </w:p>
                </w:txbxContent>
              </v:textbox>
            </v:roundrect>
            <v:roundrect id="c0" style="position:absolute;left:110;top:190;width:220;height:9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Nginx/APISIX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80/443</w:t>
                    </w:r>
                  </w:p>
                </w:txbxContent>
              </v:textbox>
            </v:roundrect>
            <v:roundrect id="c1" style="position:absolute;left:390;top:190;width:220;height:9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agent-api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FastAPI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REST/SSE</w:t>
                    </w:r>
                  </w:p>
                </w:txbxContent>
              </v:textbox>
            </v:roundrect>
            <v:roundrect id="c2" style="position:absolute;left:670;top:190;width:220;height:9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agent-worker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LangGraph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Celery/RQ</w:t>
                    </w:r>
                  </w:p>
                </w:txbxContent>
              </v:textbox>
            </v:roundrect>
            <v:roundrect id="c3" style="position:absolute;left:950;top:190;width:220;height:9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knowledge-worker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Excel解析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补全任务</w:t>
                    </w:r>
                  </w:p>
                </w:txbxContent>
              </v:textbox>
            </v:roundrect>
            <v:roundrect id="c4" style="position:absolute;left:1230;top:190;width:220;height:95" arcsize="10%" fillcolor="#DCFCE7" strokecolor="#16A34A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model-gateway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CPU/API/GPU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OpenAI API</w:t>
                    </w:r>
                  </w:p>
                </w:txbxContent>
              </v:textbox>
            </v:roundrect>
            <v:roundrect id="c5" style="position:absolute;left:110;top:430;width:220;height:95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PostgreSQL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material库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pgvector/audit</w:t>
                    </w:r>
                  </w:p>
                </w:txbxContent>
              </v:textbox>
            </v:roundrect>
            <v:roundrect id="c6" style="position:absolute;left:390;top:430;width:220;height:95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Redis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cache/queue</w:t>
                    </w:r>
                  </w:p>
                </w:txbxContent>
              </v:textbox>
            </v:roundrect>
            <v:roundrect id="c7" style="position:absolute;left:670;top:430;width:220;height:95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File Repo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Excel文件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离线包/模型</w:t>
                    </w:r>
                  </w:p>
                </w:txbxContent>
              </v:textbox>
            </v:roundrect>
            <v:roundrect id="c8" style="position:absolute;left:950;top:430;width:220;height:95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Observability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Prom/Grafana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Phoenix</w:t>
                    </w:r>
                  </w:p>
                </w:txbxContent>
              </v:textbox>
            </v:roundrect>
            <v:roundrect id="c9" style="position:absolute;left:1230;top:430;width:220;height:95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Evaluation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样本/回归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灰度/回滚</w:t>
                    </w:r>
                  </w:p>
                </w:txbxContent>
              </v:textbox>
            </v:roundrect>
            <v:line id="d1" style="position:absolute" from="330,238" to="390,238" strokecolor="#64748B" strokeweight="1.6pt">
              <v:stroke endarrow="block"/>
            </v:line>
            <v:line id="d2" style="position:absolute" from="610,238" to="670,238" strokecolor="#64748B" strokeweight="1.6pt">
              <v:stroke endarrow="block"/>
            </v:line>
            <v:line id="d3" style="position:absolute" from="890,238" to="950,238" strokecolor="#64748B" strokeweight="1.6pt">
              <v:stroke endarrow="block"/>
            </v:line>
            <v:line id="d4" style="position:absolute" from="1170,238" to="1230,238" strokecolor="#64748B" strokeweight="1.6pt">
              <v:stroke endarrow="block"/>
            </v:line>
            <v:line id="d5" style="position:absolute" from="780,285" to="780,430" strokecolor="#64748B" strokeweight="1.6pt">
              <v:stroke endarrow="block"/>
            </v:line>
            <v:line id="d6" style="position:absolute" from="1060,285" to="1060,430" strokecolor="#64748B" strokeweight="1.6pt">
              <v:stroke endarrow="block"/>
            </v:line>
            <v:roundrect id="conf1" style="position:absolute;left:110;top:770;width:680;height:70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CPU功能验证最低配置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16C / 64GB / 500GB SSD：跑通解析、补全、Agent、审计；模型慢速验证即可</w:t>
                    </w:r>
                  </w:p>
                </w:txbxContent>
              </v:textbox>
            </v:roundrect>
            <v:roundrect id="conf2" style="position:absolute;left:920;top:770;width:680;height:70" arcsize="10%" fillcolor="#FFFFFF" strokecolor="#334155" strokeweight="1.4pt">
              <v:textbox inset="6pt,5pt,6pt,4pt">
                <w:txbxContent>
                  <w:p>
                    <w:pPr>
                      <w:jc w:val="center"/>
                    </w:pPr>
                    <w:r>
                      <w:rPr>
                        <w:b/>
                        <w:sz w:val="20"/>
                        <w:color w:val="111827"/>
                      </w:rPr>
                      <w:t>GPU生产建议配置</w:t>
                    </w:r>
                  </w:p>
                  <w:p>
                    <w:pPr>
                      <w:jc w:val="center"/>
                    </w:pPr>
                    <w:r>
                      <w:rPr>
                        <w:sz w:val="16"/>
                        <w:color w:val="475569"/>
                      </w:rPr>
                      <w:t>32C / 128GB / 2TB SSD + L20 48GB 或 A100 40GB，按模型压测确认</w:t>
                    </w:r>
                  </w:p>
                </w:txbxContent>
              </v:textbox>
            </v:roundrect>
          </v:group>
        </w:pict>
      </w:r>
    </w:p>
    <w:p>
      <w:pPr>
        <w:jc w:val="center"/>
      </w:pPr>
      <w:r>
        <w:rPr>
          <w:color w:val="64748B"/>
          <w:sz w:val="18"/>
        </w:rPr>
        <w:t>图 4：内网离线部署拓扑</w:t>
      </w:r>
    </w:p>
    <w:p>
      <w:pPr>
        <w:pStyle w:val="Heading1"/>
        <w:spacing w:after="120"/>
      </w:pPr>
      <w:r>
        <w:t xml:space="preserve">7. 与 RAG/LLM 的边界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能力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是否主路径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使用位置</w:t>
            </w:r>
          </w:p>
        </w:tc>
      </w:tr>
      <w:tr>
        <w:tc>
          <w:tcPr>
            <w:tcW w:w="4733" w:type="dxa"/>
          </w:tcPr>
          <w:p>
            <w:r>
              <w:t xml:space="preserve">物料 ID 精确补全</w:t>
            </w:r>
          </w:p>
        </w:tc>
        <w:tc>
          <w:tcPr>
            <w:tcW w:w="4733" w:type="dxa"/>
          </w:tcPr>
          <w:p>
            <w:r>
              <w:t xml:space="preserve">是</w:t>
            </w:r>
          </w:p>
        </w:tc>
        <w:tc>
          <w:tcPr>
            <w:tcW w:w="4733" w:type="dxa"/>
          </w:tcPr>
          <w:p>
            <w:r>
              <w:t xml:space="preserve">PostgreSQL 批量精确查询，LLM 不参与。</w:t>
            </w:r>
          </w:p>
        </w:tc>
      </w:tr>
      <w:tr>
        <w:tc>
          <w:tcPr>
            <w:tcW w:w="4733" w:type="dxa"/>
          </w:tcPr>
          <w:p>
            <w:r>
              <w:t xml:space="preserve">字段别名识别</w:t>
            </w:r>
          </w:p>
        </w:tc>
        <w:tc>
          <w:tcPr>
            <w:tcW w:w="4733" w:type="dxa"/>
          </w:tcPr>
          <w:p>
            <w:r>
              <w:t xml:space="preserve">辅助</w:t>
            </w:r>
          </w:p>
        </w:tc>
        <w:tc>
          <w:tcPr>
            <w:tcW w:w="4733" w:type="dxa"/>
          </w:tcPr>
          <w:p>
            <w:r>
              <w:t xml:space="preserve">字段字典优先，小模型兜底。</w:t>
            </w:r>
          </w:p>
        </w:tc>
      </w:tr>
      <w:tr>
        <w:tc>
          <w:tcPr>
            <w:tcW w:w="4733" w:type="dxa"/>
          </w:tcPr>
          <w:p>
            <w:r>
              <w:t xml:space="preserve">物料名称/描述模糊匹配</w:t>
            </w:r>
          </w:p>
        </w:tc>
        <w:tc>
          <w:tcPr>
            <w:tcW w:w="4733" w:type="dxa"/>
          </w:tcPr>
          <w:p>
            <w:r>
              <w:t xml:space="preserve">辅助</w:t>
            </w:r>
          </w:p>
        </w:tc>
        <w:tc>
          <w:tcPr>
            <w:tcW w:w="4733" w:type="dxa"/>
          </w:tcPr>
          <w:p>
            <w:r>
              <w:t xml:space="preserve">pg_trgm/pgvector 召回候选，必须带置信度和人工确认。</w:t>
            </w:r>
          </w:p>
        </w:tc>
      </w:tr>
      <w:tr>
        <w:tc>
          <w:tcPr>
            <w:tcW w:w="4733" w:type="dxa"/>
          </w:tcPr>
          <w:p>
            <w:r>
              <w:t xml:space="preserve">补全结果解释</w:t>
            </w:r>
          </w:p>
        </w:tc>
        <w:tc>
          <w:tcPr>
            <w:tcW w:w="4733" w:type="dxa"/>
          </w:tcPr>
          <w:p>
            <w:r>
              <w:t xml:space="preserve">辅助</w:t>
            </w:r>
          </w:p>
        </w:tc>
        <w:tc>
          <w:tcPr>
            <w:tcW w:w="4733" w:type="dxa"/>
          </w:tcPr>
          <w:p>
            <w:r>
              <w:t xml:space="preserve">LLM 生成异常说明、差异报告摘要。</w:t>
            </w:r>
          </w:p>
        </w:tc>
      </w:tr>
      <w:tr>
        <w:tc>
          <w:tcPr>
            <w:tcW w:w="4733" w:type="dxa"/>
          </w:tcPr>
          <w:p>
            <w:r>
              <w:t xml:space="preserve">指标体系构建</w:t>
            </w:r>
          </w:p>
        </w:tc>
        <w:tc>
          <w:tcPr>
            <w:tcW w:w="4733" w:type="dxa"/>
          </w:tcPr>
          <w:p>
            <w:r>
              <w:t xml:space="preserve">是</w:t>
            </w:r>
          </w:p>
        </w:tc>
        <w:tc>
          <w:tcPr>
            <w:tcW w:w="4733" w:type="dxa"/>
          </w:tcPr>
          <w:p>
            <w:r>
              <w:t xml:space="preserve">复杂推理任务，LLM/RAG 是核心能力。</w:t>
            </w:r>
          </w:p>
        </w:tc>
      </w:tr>
    </w:tbl>
    <w:p>
      <w:pPr>
        <w:pStyle w:val="Heading1"/>
        <w:spacing w:after="120"/>
      </w:pPr>
      <w:r>
        <w:t xml:space="preserve">8. 实施建议</w:t>
      </w:r>
    </w:p>
    <w:tbl>
      <w:tblPr>
        <w:tblW w:w="0" w:type="auto"/>
        <w:tblBorders>
          <w:top w:val="single" w:sz="6" w:color="CBD5E1"/>
          <w:left w:val="single" w:sz="6" w:color="CBD5E1"/>
          <w:bottom w:val="single" w:sz="6" w:color="CBD5E1"/>
          <w:right w:val="single" w:sz="6" w:color="CBD5E1"/>
          <w:insideH w:val="single" w:sz="6" w:color="CBD5E1"/>
          <w:insideV w:val="single" w:sz="6" w:color="CBD5E1"/>
        </w:tblBorders>
      </w:tblPr>
      <w:tr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阶段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目标</w:t>
            </w:r>
          </w:p>
        </w:tc>
        <w:tc>
          <w:tcPr>
            <w:tcW w:w="4733" w:type="dxa"/>
            <w:shd w:fill="E2E8F0"/>
          </w:tcPr>
          <w:p>
            <w:r>
              <w:rPr>
                <w:b/>
              </w:rPr>
              <w:t xml:space="preserve">产出</w:t>
            </w:r>
          </w:p>
        </w:tc>
      </w:tr>
      <w:tr>
        <w:tc>
          <w:tcPr>
            <w:tcW w:w="4733" w:type="dxa"/>
          </w:tcPr>
          <w:p>
            <w:r>
              <w:t xml:space="preserve">P0 物料知识库导入</w:t>
            </w:r>
          </w:p>
        </w:tc>
        <w:tc>
          <w:tcPr>
            <w:tcW w:w="4733" w:type="dxa"/>
          </w:tcPr>
          <w:p>
            <w:r>
              <w:t xml:space="preserve">解析知识库 Excel，建立 material_master/material_attributes/snapshot</w:t>
            </w:r>
          </w:p>
        </w:tc>
        <w:tc>
          <w:tcPr>
            <w:tcW w:w="4733" w:type="dxa"/>
          </w:tcPr>
          <w:p>
            <w:r>
              <w:t xml:space="preserve">知识库导入和校验报告。</w:t>
            </w:r>
          </w:p>
        </w:tc>
      </w:tr>
      <w:tr>
        <w:tc>
          <w:tcPr>
            <w:tcW w:w="4733" w:type="dxa"/>
          </w:tcPr>
          <w:p>
            <w:r>
              <w:t xml:space="preserve">P1 精确补全主链路</w:t>
            </w:r>
          </w:p>
        </w:tc>
        <w:tc>
          <w:tcPr>
            <w:tcW w:w="4733" w:type="dxa"/>
          </w:tcPr>
          <w:p>
            <w:r>
              <w:t xml:space="preserve">上传待补全 Excel，根据物料 ID 批量回填字段</w:t>
            </w:r>
          </w:p>
        </w:tc>
        <w:tc>
          <w:tcPr>
            <w:tcW w:w="4733" w:type="dxa"/>
          </w:tcPr>
          <w:p>
            <w:r>
              <w:t xml:space="preserve">补全 Excel、异常 sheet、任务统计。</w:t>
            </w:r>
          </w:p>
        </w:tc>
      </w:tr>
      <w:tr>
        <w:tc>
          <w:tcPr>
            <w:tcW w:w="4733" w:type="dxa"/>
          </w:tcPr>
          <w:p>
            <w:r>
              <w:t xml:space="preserve">P2 字段映射与异常处理</w:t>
            </w:r>
          </w:p>
        </w:tc>
        <w:tc>
          <w:tcPr>
            <w:tcW w:w="4733" w:type="dxa"/>
          </w:tcPr>
          <w:p>
            <w:r>
              <w:t xml:space="preserve">完善字段别名、冲突策略、未命中处理和人工确认</w:t>
            </w:r>
          </w:p>
        </w:tc>
        <w:tc>
          <w:tcPr>
            <w:tcW w:w="4733" w:type="dxa"/>
          </w:tcPr>
          <w:p>
            <w:r>
              <w:t xml:space="preserve">字段字典、HITL、差异报告。</w:t>
            </w:r>
          </w:p>
        </w:tc>
      </w:tr>
      <w:tr>
        <w:tc>
          <w:tcPr>
            <w:tcW w:w="4733" w:type="dxa"/>
          </w:tcPr>
          <w:p>
            <w:r>
              <w:t xml:space="preserve">P3 公共 Agent 底座融合</w:t>
            </w:r>
          </w:p>
        </w:tc>
        <w:tc>
          <w:tcPr>
            <w:tcW w:w="4733" w:type="dxa"/>
          </w:tcPr>
          <w:p>
            <w:r>
              <w:t xml:space="preserve">与指标体系构建 Agent 共用 Runtime、Tool、审计、观测</w:t>
            </w:r>
          </w:p>
        </w:tc>
        <w:tc>
          <w:tcPr>
            <w:tcW w:w="4733" w:type="dxa"/>
          </w:tcPr>
          <w:p>
            <w:r>
              <w:t xml:space="preserve">统一平台版本。</w:t>
            </w:r>
          </w:p>
        </w:tc>
      </w:tr>
      <w:tr>
        <w:tc>
          <w:tcPr>
            <w:tcW w:w="4733" w:type="dxa"/>
          </w:tcPr>
          <w:p>
            <w:r>
              <w:t xml:space="preserve">P4 模型兜底能力</w:t>
            </w:r>
          </w:p>
        </w:tc>
        <w:tc>
          <w:tcPr>
            <w:tcW w:w="4733" w:type="dxa"/>
          </w:tcPr>
          <w:p>
            <w:r>
              <w:t xml:space="preserve">引入小模型/向量检索处理模糊字段和异常解释</w:t>
            </w:r>
          </w:p>
        </w:tc>
        <w:tc>
          <w:tcPr>
            <w:tcW w:w="4733" w:type="dxa"/>
          </w:tcPr>
          <w:p>
            <w:r>
              <w:t xml:space="preserve">低置信度候选推荐能力。</w:t>
            </w:r>
          </w:p>
        </w:tc>
      </w:tr>
    </w:tbl>
    <w:p>
      <w:pPr>
        <w:pStyle w:val="Heading1"/>
        <w:spacing w:after="120"/>
      </w:pPr>
      <w:r>
        <w:t xml:space="preserve">9. 小结</w:t>
      </w:r>
    </w:p>
    <w:p>
      <w:pPr>
        <w:spacing w:after="120"/>
      </w:pPr>
      <w:r>
        <w:t xml:space="preserve">修正后，第二个需求的主线是物料知识库的结构化检索和批量属性补全。架构上应把 PostgreSQL 精确查询、物料快照 row_json、字段字典和差异报告作为核心，而不是把它当成离线 RAG 问答。RAG/LLM 在该场景中定位为辅助能力，用于字段别名、模糊召回、异常解释和人工确认辅助。</w:t>
      </w:r>
    </w:p>
    <w:sectPr>
      <w:pgSz w:w="16838" w:h="11906" w:orient="landscape"/>
      <w:pgMar w:top="720" w:right="720" w:bottom="720" w:left="720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Arial Unicode MS" w:eastAsia="Arial Unicode MS"/>
      <w:sz w:val="21"/>
    </w:rPr>
  </w:style>
  <w:style w:type="paragraph" w:styleId="Heading1">
    <w:name w:val="heading 1"/>
    <w:basedOn w:val="Normal"/>
    <w:rPr>
      <w:b/>
      <w:sz w:val="36"/>
      <w:color w:val="0F172A"/>
    </w:rPr>
  </w:style>
  <w:style w:type="paragraph" w:styleId="Heading2">
    <w:name w:val="heading 2"/>
    <w:basedOn w:val="Normal"/>
    <w:rPr>
      <w:b/>
      <w:sz w:val="28"/>
      <w:color w:val="1F2937"/>
    </w:rPr>
  </w:style>
  <w:style w:type="paragraph" w:styleId="Heading3">
    <w:name w:val="heading 3"/>
    <w:basedOn w:val="Normal"/>
    <w:rPr>
      <w:b/>
      <w:sz w:val="24"/>
      <w:color w:val="334155"/>
    </w:rPr>
  </w:style>
  <w:style w:type="paragraph" w:styleId="Title">
    <w:name w:val="Title"/>
    <w:rPr>
      <w:b/>
      <w:sz w:val="44"/>
    </w:rPr>
  </w:style>
  <w:style w:type="paragraph" w:styleId="ListParagraph">
    <w:name w:val="List Paragraph"/>
    <w:basedOn w:val="Normal"/>
  </w:style>
</w:styles>
</file>

<file path=word/_rels/document.xml.rels><?xml version="1.0" encoding="UTF-8" standalone="yes"?><Relationships xmlns="http://schemas.openxmlformats.org/package/2006/relationships"></Relationships>
</file>