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公共底层智能体框架 · 架构设计文档</w:t>
      </w:r>
    </w:p>
    <w:p>
      <w:pPr/>
      <w:r>
        <w:t xml:space="preserve">面向指标体系构建 Agent 与离线 RAG/字段填充 Agent 的统一架构</w:t>
      </w:r>
    </w:p>
    <w:p>
      <w:pPr>
        <w:pStyle w:val="Heading1"/>
      </w:pPr>
      <w:r>
        <w:t xml:space="preserve">1. 修正后的需求理解</w:t>
      </w:r>
    </w:p>
    <w:p>
      <w:pPr>
        <w:pStyle w:val="ListParagraph"/>
        <w:ind w:left="420"/>
      </w:pPr>
      <w:r>
        <w:t xml:space="preserve">• 目标不是只为单一 RAG 场景画架构，而是设计一个公共底层智能体框架，用同一套平台能力承载多个业务 Agent。</w:t>
      </w:r>
    </w:p>
    <w:p>
      <w:pPr>
        <w:pStyle w:val="ListParagraph"/>
        <w:ind w:left="420"/>
      </w:pPr>
      <w:r>
        <w:t xml:space="preserve">• 需求一：指标体系构建 Agent。输入表结构 JSON、Excel/Word 文档或业务 prompt，完成 Schema 瘦身、业务域分类、RAG 辅助、指标推导、可行性复评、人工确认和标准指标体系 JSON 输出。</w:t>
      </w:r>
    </w:p>
    <w:p>
      <w:pPr>
        <w:pStyle w:val="ListParagraph"/>
        <w:ind w:left="420"/>
      </w:pPr>
      <w:r>
        <w:t xml:space="preserve">• 需求二：离线 RAG/字段填充 Agent。输入 Excel/CSV、Word、PPT、PDF、TXT 等文件，完成离线解析、行级 chunk、pgvector 写入、字段别名映射、精确查询、语义召回、字段填充、问答和审计反馈。</w:t>
      </w:r>
    </w:p>
    <w:p>
      <w:pPr>
        <w:pStyle w:val="ListParagraph"/>
        <w:ind w:left="420"/>
      </w:pPr>
      <w:r>
        <w:t xml:space="preserve">• 两个需求的差异是业务流程与工具组合；共同能力是 Agent Runtime、Tool/MCP/Skill、模型路由、知识服务、审计脱敏、可观测、离线部署和评测闭环。</w:t>
      </w:r>
    </w:p>
    <w:p>
      <w:pPr>
        <w:pStyle w:val="Heading1"/>
      </w:pPr>
      <w:r>
        <w:t xml:space="preserve">2. 总体架构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3870000"/>
            <wp:docPr id="1" name="framewor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work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1：公共底层智能体框架总体架构</w:t>
      </w:r>
    </w:p>
    <w:p>
      <w:pPr>
        <w:pStyle w:val="Heading1"/>
      </w:pPr>
      <w:r>
        <w:t xml:space="preserve">3. 两个需求如何落到同一个框架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3870000"/>
            <wp:docPr id="2" name="mapp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ppi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2：两个业务 Agent 在公共框架上的落地关系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能力域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指标体系构建 Agent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离线 RAG/字段填充 Agent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公共底座复用点</w:t>
            </w:r>
          </w:p>
        </w:tc>
      </w:tr>
      <w:tr>
        <w:tc>
          <w:tcPr>
            <w:tcW w:w="2400" w:type="dxa"/>
          </w:tcPr>
          <w:p>
            <w:r>
              <w:t xml:space="preserve">输入适配</w:t>
            </w:r>
          </w:p>
        </w:tc>
        <w:tc>
          <w:tcPr>
            <w:tcW w:w="2400" w:type="dxa"/>
          </w:tcPr>
          <w:p>
            <w:r>
              <w:t xml:space="preserve">表结构 JSON、Excel、Word、业务 prompt</w:t>
            </w:r>
          </w:p>
        </w:tc>
        <w:tc>
          <w:tcPr>
            <w:tcW w:w="2400" w:type="dxa"/>
          </w:tcPr>
          <w:p>
            <w:r>
              <w:t xml:space="preserve">Excel/CSV、Word、PPT、PDF、TXT</w:t>
            </w:r>
          </w:p>
        </w:tc>
        <w:tc>
          <w:tcPr>
            <w:tcW w:w="2400" w:type="dxa"/>
          </w:tcPr>
          <w:p>
            <w:r>
              <w:t xml:space="preserve">Input Adapter + DocumentModel + TaskContext</w:t>
            </w:r>
          </w:p>
        </w:tc>
      </w:tr>
      <w:tr>
        <w:tc>
          <w:tcPr>
            <w:tcW w:w="2400" w:type="dxa"/>
          </w:tcPr>
          <w:p>
            <w:r>
              <w:t xml:space="preserve">大输入处理</w:t>
            </w:r>
          </w:p>
        </w:tc>
        <w:tc>
          <w:tcPr>
            <w:tcW w:w="2400" w:type="dxa"/>
          </w:tcPr>
          <w:p>
            <w:r>
              <w:t xml:space="preserve">Schema 瘦身、分批 Map、按业务域 Reduce</w:t>
            </w:r>
          </w:p>
        </w:tc>
        <w:tc>
          <w:tcPr>
            <w:tcW w:w="2400" w:type="dxa"/>
          </w:tcPr>
          <w:p>
            <w:r>
              <w:t xml:space="preserve">行级 chunk、metadata、row_json</w:t>
            </w:r>
          </w:p>
        </w:tc>
        <w:tc>
          <w:tcPr>
            <w:tcW w:w="2400" w:type="dxa"/>
          </w:tcPr>
          <w:p>
            <w:r>
              <w:t xml:space="preserve">Chunking Policy + Schema Registry</w:t>
            </w:r>
          </w:p>
        </w:tc>
      </w:tr>
      <w:tr>
        <w:tc>
          <w:tcPr>
            <w:tcW w:w="2400" w:type="dxa"/>
          </w:tcPr>
          <w:p>
            <w:r>
              <w:t xml:space="preserve">知识使用</w:t>
            </w:r>
          </w:p>
        </w:tc>
        <w:tc>
          <w:tcPr>
            <w:tcW w:w="2400" w:type="dxa"/>
          </w:tcPr>
          <w:p>
            <w:r>
              <w:t xml:space="preserve">指标口径库、表字段语义库、行业参考库</w:t>
            </w:r>
          </w:p>
        </w:tc>
        <w:tc>
          <w:tcPr>
            <w:tcW w:w="2400" w:type="dxa"/>
          </w:tcPr>
          <w:p>
            <w:r>
              <w:t xml:space="preserve">文档知识库、字段字典、Excel 行数据</w:t>
            </w:r>
          </w:p>
        </w:tc>
        <w:tc>
          <w:tcPr>
            <w:tcW w:w="2400" w:type="dxa"/>
          </w:tcPr>
          <w:p>
            <w:r>
              <w:t xml:space="preserve">Knowledge Service + RAG Tool</w:t>
            </w:r>
          </w:p>
        </w:tc>
      </w:tr>
      <w:tr>
        <w:tc>
          <w:tcPr>
            <w:tcW w:w="2400" w:type="dxa"/>
          </w:tcPr>
          <w:p>
            <w:r>
              <w:t xml:space="preserve">工具调用</w:t>
            </w:r>
          </w:p>
        </w:tc>
        <w:tc>
          <w:tcPr>
            <w:tcW w:w="2400" w:type="dxa"/>
          </w:tcPr>
          <w:p>
            <w:r>
              <w:t xml:space="preserve">SchemaLookup、MetricRAG、SQLAdvisor、FeasibilityCheck</w:t>
            </w:r>
          </w:p>
        </w:tc>
        <w:tc>
          <w:tcPr>
            <w:tcW w:w="2400" w:type="dxa"/>
          </w:tcPr>
          <w:p>
            <w:r>
              <w:t xml:space="preserve">ExactRowQuery、VectorSearch、FieldAlias、AnswerBuilder</w:t>
            </w:r>
          </w:p>
        </w:tc>
        <w:tc>
          <w:tcPr>
            <w:tcW w:w="2400" w:type="dxa"/>
          </w:tcPr>
          <w:p>
            <w:r>
              <w:t xml:space="preserve">Tool Registry / MCP / Skill Library</w:t>
            </w:r>
          </w:p>
        </w:tc>
      </w:tr>
      <w:tr>
        <w:tc>
          <w:tcPr>
            <w:tcW w:w="2400" w:type="dxa"/>
          </w:tcPr>
          <w:p>
            <w:r>
              <w:t xml:space="preserve">输出约束</w:t>
            </w:r>
          </w:p>
        </w:tc>
        <w:tc>
          <w:tcPr>
            <w:tcW w:w="2400" w:type="dxa"/>
          </w:tcPr>
          <w:p>
            <w:r>
              <w:t xml:space="preserve">指标体系 JSON、口径、维度、SQL 建议</w:t>
            </w:r>
          </w:p>
        </w:tc>
        <w:tc>
          <w:tcPr>
            <w:tcW w:w="2400" w:type="dxa"/>
          </w:tcPr>
          <w:p>
            <w:r>
              <w:t xml:space="preserve">字段值、整行记录、问答答案、引用</w:t>
            </w:r>
          </w:p>
        </w:tc>
        <w:tc>
          <w:tcPr>
            <w:tcW w:w="2400" w:type="dxa"/>
          </w:tcPr>
          <w:p>
            <w:r>
              <w:t xml:space="preserve">Pydantic / JSON Schema / Validator</w:t>
            </w:r>
          </w:p>
        </w:tc>
      </w:tr>
    </w:tbl>
    <w:p>
      <w:pPr>
        <w:pStyle w:val="Heading1"/>
      </w:pPr>
      <w:r>
        <w:t xml:space="preserve">4. 公共 Agent Runtime 设计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3870000"/>
            <wp:docPr id="3" name="runtim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untime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3：公共 Agent Runtime 状态机</w:t>
      </w:r>
    </w:p>
    <w:p>
      <w:pPr>
        <w:pStyle w:val="ListParagraph"/>
        <w:ind w:left="420"/>
      </w:pPr>
      <w:r>
        <w:t xml:space="preserve">• Input Adapter：把文件、JSON、Prompt、API 请求统一转换为 TaskContext。</w:t>
      </w:r>
    </w:p>
    <w:p>
      <w:pPr>
        <w:pStyle w:val="ListParagraph"/>
        <w:ind w:left="420"/>
      </w:pPr>
      <w:r>
        <w:t xml:space="preserve">• Policy Guard：做鉴权、数据域过滤、脱敏、Prompt 注入检测、工具权限控制。</w:t>
      </w:r>
    </w:p>
    <w:p>
      <w:pPr>
        <w:pStyle w:val="ListParagraph"/>
        <w:ind w:left="420"/>
      </w:pPr>
      <w:r>
        <w:t xml:space="preserve">• Planner：根据 agent_type 选择业务模板，生成步骤计划、并行度、工具调用策略。</w:t>
      </w:r>
    </w:p>
    <w:p>
      <w:pPr>
        <w:pStyle w:val="ListParagraph"/>
        <w:ind w:left="420"/>
      </w:pPr>
      <w:r>
        <w:t xml:space="preserve">• Tool Executor：执行 RAG 检索、字段查询、Schema 查询、指标推导辅助、审计写入等工具。</w:t>
      </w:r>
    </w:p>
    <w:p>
      <w:pPr>
        <w:pStyle w:val="ListParagraph"/>
        <w:ind w:left="420"/>
      </w:pPr>
      <w:r>
        <w:t xml:space="preserve">• Validator：对模型输出做 JSON Schema/Pydantic 校验、引用校验、权限校验与事实一致性检查。</w:t>
      </w:r>
    </w:p>
    <w:p>
      <w:pPr>
        <w:pStyle w:val="Heading1"/>
      </w:pPr>
      <w:r>
        <w:t xml:space="preserve">5. Tool / MCP / Skill 分层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定位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示例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边界</w:t>
            </w:r>
          </w:p>
        </w:tc>
      </w:tr>
      <w:tr>
        <w:tc>
          <w:tcPr>
            <w:tcW w:w="2400" w:type="dxa"/>
          </w:tcPr>
          <w:p>
            <w:r>
              <w:t xml:space="preserve">Tool</w:t>
            </w:r>
          </w:p>
        </w:tc>
        <w:tc>
          <w:tcPr>
            <w:tcW w:w="2400" w:type="dxa"/>
          </w:tcPr>
          <w:p>
            <w:r>
              <w:t xml:space="preserve">单个确定性能力</w:t>
            </w:r>
          </w:p>
        </w:tc>
        <w:tc>
          <w:tcPr>
            <w:tcW w:w="2400" w:type="dxa"/>
          </w:tcPr>
          <w:p>
            <w:r>
              <w:t xml:space="preserve">pgvector_search、exact_row_query、schema_lookup、metric_rag_search</w:t>
            </w:r>
          </w:p>
        </w:tc>
        <w:tc>
          <w:tcPr>
            <w:tcW w:w="2400" w:type="dxa"/>
          </w:tcPr>
          <w:p>
            <w:r>
              <w:t xml:space="preserve">只完成一个清晰动作</w:t>
            </w:r>
          </w:p>
        </w:tc>
      </w:tr>
      <w:tr>
        <w:tc>
          <w:tcPr>
            <w:tcW w:w="2400" w:type="dxa"/>
          </w:tcPr>
          <w:p>
            <w:r>
              <w:t xml:space="preserve">MCP Server</w:t>
            </w:r>
          </w:p>
        </w:tc>
        <w:tc>
          <w:tcPr>
            <w:tcW w:w="2400" w:type="dxa"/>
          </w:tcPr>
          <w:p>
            <w:r>
              <w:t xml:space="preserve">跨 Agent 复用的外部能力封装</w:t>
            </w:r>
          </w:p>
        </w:tc>
        <w:tc>
          <w:tcPr>
            <w:tcW w:w="2400" w:type="dxa"/>
          </w:tcPr>
          <w:p>
            <w:r>
              <w:t xml:space="preserve">database-mcp、file-mcp、knowledge-mcp、metrics-mcp</w:t>
            </w:r>
          </w:p>
        </w:tc>
        <w:tc>
          <w:tcPr>
            <w:tcW w:w="2400" w:type="dxa"/>
          </w:tcPr>
          <w:p>
            <w:r>
              <w:t xml:space="preserve">把数据库/文件/内部服务标准化暴露</w:t>
            </w:r>
          </w:p>
        </w:tc>
      </w:tr>
      <w:tr>
        <w:tc>
          <w:tcPr>
            <w:tcW w:w="2400" w:type="dxa"/>
          </w:tcPr>
          <w:p>
            <w:r>
              <w:t xml:space="preserve">Skill</w:t>
            </w:r>
          </w:p>
        </w:tc>
        <w:tc>
          <w:tcPr>
            <w:tcW w:w="2400" w:type="dxa"/>
          </w:tcPr>
          <w:p>
            <w:r>
              <w:t xml:space="preserve">可复用专家流程或规则包</w:t>
            </w:r>
          </w:p>
        </w:tc>
        <w:tc>
          <w:tcPr>
            <w:tcW w:w="2400" w:type="dxa"/>
          </w:tcPr>
          <w:p>
            <w:r>
              <w:t xml:space="preserve">excel_row_chunking、field_alias_learning、metric_feasibility_check</w:t>
            </w:r>
          </w:p>
        </w:tc>
        <w:tc>
          <w:tcPr>
            <w:tcW w:w="2400" w:type="dxa"/>
          </w:tcPr>
          <w:p>
            <w:r>
              <w:t xml:space="preserve">沉淀业务规则，减少 Prompt 依赖</w:t>
            </w:r>
          </w:p>
        </w:tc>
      </w:tr>
      <w:tr>
        <w:tc>
          <w:tcPr>
            <w:tcW w:w="2400" w:type="dxa"/>
          </w:tcPr>
          <w:p>
            <w:r>
              <w:t xml:space="preserve">Agent Template</w:t>
            </w:r>
          </w:p>
        </w:tc>
        <w:tc>
          <w:tcPr>
            <w:tcW w:w="2400" w:type="dxa"/>
          </w:tcPr>
          <w:p>
            <w:r>
              <w:t xml:space="preserve">业务级流程编排</w:t>
            </w:r>
          </w:p>
        </w:tc>
        <w:tc>
          <w:tcPr>
            <w:tcW w:w="2400" w:type="dxa"/>
          </w:tcPr>
          <w:p>
            <w:r>
              <w:t xml:space="preserve">metric_system_builder、offline_rag_field_filler</w:t>
            </w:r>
          </w:p>
        </w:tc>
        <w:tc>
          <w:tcPr>
            <w:tcW w:w="2400" w:type="dxa"/>
          </w:tcPr>
          <w:p>
            <w:r>
              <w:t xml:space="preserve">只组合 Tool/MCP/Skill，不内嵌底层实现</w:t>
            </w:r>
          </w:p>
        </w:tc>
      </w:tr>
    </w:tbl>
    <w:p>
      <w:pPr>
        <w:pStyle w:val="Heading1"/>
      </w:pPr>
      <w:r>
        <w:t xml:space="preserve">6. 部署架构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3870000"/>
            <wp:docPr id="4" name="deplo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ployment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4：公共智能体平台离线部署架构</w:t>
      </w:r>
    </w:p>
    <w:sectPr>
      <w:pgSz w:w="11906" w:h="16838"/>
      <w:pgMar w:top="936" w:right="864" w:bottom="936" w:left="86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svg"/><Relationship Id="rId2" Type="http://schemas.openxmlformats.org/officeDocument/2006/relationships/image" Target="media/image2.svg"/><Relationship Id="rId3" Type="http://schemas.openxmlformats.org/officeDocument/2006/relationships/image" Target="media/image3.svg"/><Relationship Id="rId4" Type="http://schemas.openxmlformats.org/officeDocument/2006/relationships/image" Target="media/image4.svg"/></Relationships>
</file>