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离线 RAG Agent 架构设计文档</w:t>
      </w:r>
    </w:p>
    <w:p>
      <w:pPr>
        <w:jc w:val="center"/>
      </w:pPr>
      <w:r>
        <w:rPr>
          <w:color w:val="475569"/>
          <w:sz w:val="22"/>
        </w:rPr>
        <w:t>总体架构、处理流程、时序图、部署图、Tool/MCP/Skill 交互细节</w:t>
      </w:r>
    </w:p>
    <w:p>
      <w:pPr>
        <w:pStyle w:val="Heading1"/>
      </w:pPr>
      <w:r>
        <w:t>1. 需求理解</w:t>
      </w:r>
    </w:p>
    <w:p>
      <w:pPr>
        <w:pStyle w:val="ListBullet"/>
      </w:pPr>
      <w:r>
        <w:t>系统需要处理两类任务：离线知识构建和在线查询/字段填充。</w:t>
      </w:r>
    </w:p>
    <w:p>
      <w:pPr>
        <w:pStyle w:val="ListBullet"/>
      </w:pPr>
      <w:r>
        <w:t>离线构建把多格式文件解析成标准 DocumentModel，再按规则分片、向量化、写入 PostgreSQL/pgvector。</w:t>
      </w:r>
    </w:p>
    <w:p>
      <w:pPr>
        <w:pStyle w:val="ListBullet"/>
      </w:pPr>
      <w:r>
        <w:t>在线查询先做鉴权和查询理解，再根据“字段明确程度”选择精确查询、向量检索或混合检索。</w:t>
      </w:r>
    </w:p>
    <w:p>
      <w:pPr>
        <w:pStyle w:val="ListBullet"/>
      </w:pPr>
      <w:r>
        <w:t>字段填充场景应尽量不调用 LLM，直接基于 row_id 返回同一行字段，减少成本和幻觉。</w:t>
      </w:r>
    </w:p>
    <w:p>
      <w:pPr>
        <w:pStyle w:val="Heading1"/>
      </w:pPr>
      <w:r>
        <w:t>2.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97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9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1：离线 RAG Agent 总体技术架构</w:t>
      </w:r>
    </w:p>
    <w:p>
      <w:pPr>
        <w:pStyle w:val="Heading1"/>
      </w:pPr>
      <w:r>
        <w:t>3. 处理流程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27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2：离线构建与在线查询处理流程</w:t>
      </w:r>
    </w:p>
    <w:p>
      <w:pPr>
        <w:pStyle w:val="Heading1"/>
      </w:pPr>
      <w:r>
        <w:t>4. 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3：字段填充查询时序图</w:t>
      </w:r>
    </w:p>
    <w:p>
      <w:pPr>
        <w:pStyle w:val="Heading1"/>
      </w:pPr>
      <w:r>
        <w:t>5. 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2E8F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89"/>
            <w:vAlign w:val="center"/>
            <w:shd w:fill="E2E8F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389"/>
            <w:vAlign w:val="center"/>
            <w:shd w:fill="E2E8F0"/>
          </w:tcPr>
          <w:p>
            <w:r>
              <w:rPr>
                <w:b/>
              </w:rPr>
              <w:t>关键逻辑</w:t>
            </w:r>
          </w:p>
        </w:tc>
      </w:tr>
      <w:tr>
        <w:tc>
          <w:tcPr>
            <w:tcW w:type="dxa" w:w="3389"/>
            <w:vAlign w:val="top"/>
          </w:tcPr>
          <w:p>
            <w:r>
              <w:t>文件接入模块</w:t>
            </w:r>
          </w:p>
        </w:tc>
        <w:tc>
          <w:tcPr>
            <w:tcW w:type="dxa" w:w="3389"/>
            <w:vAlign w:val="top"/>
          </w:tcPr>
          <w:p>
            <w:r>
              <w:t>文件上传、目录扫描、批次管理</w:t>
            </w:r>
          </w:p>
        </w:tc>
        <w:tc>
          <w:tcPr>
            <w:tcW w:type="dxa" w:w="3389"/>
            <w:vAlign w:val="top"/>
          </w:tcPr>
          <w:p>
            <w:r>
              <w:t>生成 source_id、batch_id、checksum，记录原始文件路径。</w:t>
            </w:r>
          </w:p>
        </w:tc>
      </w:tr>
      <w:tr>
        <w:tc>
          <w:tcPr>
            <w:tcW w:type="dxa" w:w="3389"/>
            <w:vAlign w:val="top"/>
          </w:tcPr>
          <w:p>
            <w:r>
              <w:t>解析模块</w:t>
            </w:r>
          </w:p>
        </w:tc>
        <w:tc>
          <w:tcPr>
            <w:tcW w:type="dxa" w:w="3389"/>
            <w:vAlign w:val="top"/>
          </w:tcPr>
          <w:p>
            <w:r>
              <w:t>按文件类型解析</w:t>
            </w:r>
          </w:p>
        </w:tc>
        <w:tc>
          <w:tcPr>
            <w:tcW w:type="dxa" w:w="3389"/>
            <w:vAlign w:val="top"/>
          </w:tcPr>
          <w:p>
            <w:r>
              <w:t>Excel 结构化解析；Word/PPT/PDF 按标题、页码、slide、OCR 解析。</w:t>
            </w:r>
          </w:p>
        </w:tc>
      </w:tr>
      <w:tr>
        <w:tc>
          <w:tcPr>
            <w:tcW w:type="dxa" w:w="3389"/>
            <w:vAlign w:val="top"/>
          </w:tcPr>
          <w:p>
            <w:r>
              <w:t>分片模块</w:t>
            </w:r>
          </w:p>
        </w:tc>
        <w:tc>
          <w:tcPr>
            <w:tcW w:type="dxa" w:w="3389"/>
            <w:vAlign w:val="top"/>
          </w:tcPr>
          <w:p>
            <w:r>
              <w:t>生成 chunk 与 metadata</w:t>
            </w:r>
          </w:p>
        </w:tc>
        <w:tc>
          <w:tcPr>
            <w:tcW w:type="dxa" w:w="3389"/>
            <w:vAlign w:val="top"/>
          </w:tcPr>
          <w:p>
            <w:r>
              <w:t>Excel 一行一个主 chunk，row_json 保留整行；非 Excel 按标题/段落/页切分。</w:t>
            </w:r>
          </w:p>
        </w:tc>
      </w:tr>
      <w:tr>
        <w:tc>
          <w:tcPr>
            <w:tcW w:type="dxa" w:w="3389"/>
            <w:vAlign w:val="top"/>
          </w:tcPr>
          <w:p>
            <w:r>
              <w:t>索引模块</w:t>
            </w:r>
          </w:p>
        </w:tc>
        <w:tc>
          <w:tcPr>
            <w:tcW w:type="dxa" w:w="3389"/>
            <w:vAlign w:val="top"/>
          </w:tcPr>
          <w:p>
            <w:r>
              <w:t>写入 PG 与向量库</w:t>
            </w:r>
          </w:p>
        </w:tc>
        <w:tc>
          <w:tcPr>
            <w:tcW w:type="dxa" w:w="3389"/>
            <w:vAlign w:val="top"/>
          </w:tcPr>
          <w:p>
            <w:r>
              <w:t>rag_chunks 保存文本和向量，excel_rows 保存整行数据，field_dictionary 保存字段别名。</w:t>
            </w:r>
          </w:p>
        </w:tc>
      </w:tr>
      <w:tr>
        <w:tc>
          <w:tcPr>
            <w:tcW w:type="dxa" w:w="3389"/>
            <w:vAlign w:val="top"/>
          </w:tcPr>
          <w:p>
            <w:r>
              <w:t>查询理解模块</w:t>
            </w:r>
          </w:p>
        </w:tc>
        <w:tc>
          <w:tcPr>
            <w:tcW w:type="dxa" w:w="3389"/>
            <w:vAlign w:val="top"/>
          </w:tcPr>
          <w:p>
            <w:r>
              <w:t>识别意图与字段</w:t>
            </w:r>
          </w:p>
        </w:tc>
        <w:tc>
          <w:tcPr>
            <w:tcW w:type="dxa" w:w="3389"/>
            <w:vAlign w:val="top"/>
          </w:tcPr>
          <w:p>
            <w:r>
              <w:t>抽取字段名、字段值、目标字段，完成别名映射。</w:t>
            </w:r>
          </w:p>
        </w:tc>
      </w:tr>
      <w:tr>
        <w:tc>
          <w:tcPr>
            <w:tcW w:type="dxa" w:w="3389"/>
            <w:vAlign w:val="top"/>
          </w:tcPr>
          <w:p>
            <w:r>
              <w:t>检索路由模块</w:t>
            </w:r>
          </w:p>
        </w:tc>
        <w:tc>
          <w:tcPr>
            <w:tcW w:type="dxa" w:w="3389"/>
            <w:vAlign w:val="top"/>
          </w:tcPr>
          <w:p>
            <w:r>
              <w:t>选择查询路径</w:t>
            </w:r>
          </w:p>
        </w:tc>
        <w:tc>
          <w:tcPr>
            <w:tcW w:type="dxa" w:w="3389"/>
            <w:vAlign w:val="top"/>
          </w:tcPr>
          <w:p>
            <w:r>
              <w:t>明确字段值走精确查询；自然语言走向量；混合场景先过滤再召回。</w:t>
            </w:r>
          </w:p>
        </w:tc>
      </w:tr>
      <w:tr>
        <w:tc>
          <w:tcPr>
            <w:tcW w:type="dxa" w:w="3389"/>
            <w:vAlign w:val="top"/>
          </w:tcPr>
          <w:p>
            <w:r>
              <w:t>Agent 编排模块</w:t>
            </w:r>
          </w:p>
        </w:tc>
        <w:tc>
          <w:tcPr>
            <w:tcW w:type="dxa" w:w="3389"/>
            <w:vAlign w:val="top"/>
          </w:tcPr>
          <w:p>
            <w:r>
              <w:t>串联状态与工具</w:t>
            </w:r>
          </w:p>
        </w:tc>
        <w:tc>
          <w:tcPr>
            <w:tcW w:type="dxa" w:w="3389"/>
            <w:vAlign w:val="top"/>
          </w:tcPr>
          <w:p>
            <w:r>
              <w:t>LangGraph 管理状态机、重试、人工确认、审计。</w:t>
            </w:r>
          </w:p>
        </w:tc>
      </w:tr>
      <w:tr>
        <w:tc>
          <w:tcPr>
            <w:tcW w:type="dxa" w:w="3389"/>
            <w:vAlign w:val="top"/>
          </w:tcPr>
          <w:p>
            <w:r>
              <w:t>LLM Router</w:t>
            </w:r>
          </w:p>
        </w:tc>
        <w:tc>
          <w:tcPr>
            <w:tcW w:type="dxa" w:w="3389"/>
            <w:vAlign w:val="top"/>
          </w:tcPr>
          <w:p>
            <w:r>
              <w:t>统一模型入口</w:t>
            </w:r>
          </w:p>
        </w:tc>
        <w:tc>
          <w:tcPr>
            <w:tcW w:type="dxa" w:w="3389"/>
            <w:vAlign w:val="top"/>
          </w:tcPr>
          <w:p>
            <w:r>
              <w:t>CPU/API/GPU 三模式切换，对上层暴露统一接口。</w:t>
            </w:r>
          </w:p>
        </w:tc>
      </w:tr>
    </w:tbl>
    <w:p/>
    <w:p>
      <w:pPr>
        <w:pStyle w:val="Heading1"/>
      </w:pPr>
      <w:r>
        <w:t>6. Tool / MCP / Skill 交互</w:t>
      </w:r>
    </w:p>
    <w:p>
      <w:pPr>
        <w:pStyle w:val="ListBullet"/>
      </w:pPr>
      <w:r>
        <w:t>Tool：字段字典查询、PostgreSQL 精确查询、pgvector 检索、Rerank、审计写入、脱敏均封装成确定性工具。</w:t>
      </w:r>
    </w:p>
    <w:p>
      <w:pPr>
        <w:pStyle w:val="ListBullet"/>
      </w:pPr>
      <w:r>
        <w:t>MCP：后续可把数据库、文件系统、内部知识源封装为 MCP Server，供不同 Agent 复用。</w:t>
      </w:r>
    </w:p>
    <w:p>
      <w:pPr>
        <w:pStyle w:val="ListBullet"/>
      </w:pPr>
      <w:r>
        <w:t>Skill：把 Excel 行级分片、字段别名学习、质量检查等专家流程沉淀为稳定技能，避免每次依赖 LLM 临场发挥。</w:t>
      </w:r>
    </w:p>
    <w:p>
      <w:pPr>
        <w:pStyle w:val="ListBullet"/>
      </w:pPr>
      <w:r>
        <w:t>Agent：只负责决策和编排，不负责执行可确定的脏活；确定性逻辑全部下沉到工具和技能。</w:t>
      </w:r>
    </w:p>
    <w:p>
      <w:pPr>
        <w:pStyle w:val="Heading1"/>
      </w:pPr>
      <w:r>
        <w:t>7. 部署架构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410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1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4：单机虚拟机离线部署架构</w:t>
      </w:r>
    </w:p>
    <w:p>
      <w:pPr>
        <w:pStyle w:val="Heading1"/>
      </w:pPr>
      <w:r>
        <w:t>8. 高性能策略</w:t>
      </w:r>
    </w:p>
    <w:p>
      <w:pPr>
        <w:pStyle w:val="ListBullet"/>
      </w:pPr>
      <w:r>
        <w:t>大 JSON 不直接进入模型：先入库，再按字段、表、业务域分批处理。</w:t>
      </w:r>
    </w:p>
    <w:p>
      <w:pPr>
        <w:pStyle w:val="ListBullet"/>
      </w:pPr>
      <w:r>
        <w:t>结构化优先：字段填充优先 PostgreSQL 精确查询，必要时再语义召回。</w:t>
      </w:r>
    </w:p>
    <w:p>
      <w:pPr>
        <w:pStyle w:val="ListBullet"/>
      </w:pPr>
      <w:r>
        <w:t>缓存：schema hash、字段别名、query embedding、常见查询结果进入 Redis。</w:t>
      </w:r>
    </w:p>
    <w:p>
      <w:pPr>
        <w:pStyle w:val="ListBullet"/>
      </w:pPr>
      <w:r>
        <w:t>异步化：解析、embedding、批量导入走 worker 队列，可重试可回滚。</w:t>
      </w:r>
    </w:p>
    <w:p>
      <w:pPr>
        <w:pStyle w:val="ListBullet"/>
      </w:pPr>
      <w:r>
        <w:t>限流：网关限流 + LLM Router 并发控制，防止模型服务被打满。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