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44"/>
          <w:szCs w:val="44"/>
        </w:rPr>
        <w:t xml:space="preserve">LOGIQUE DE GESTION D'EMPLOIS DU TEMPS</w:t>
      </w:r>
    </w:p>
    <w:p>
      <w:pPr>
        <w:spacing w:after="100" w:before="200"/>
        <w:jc w:val="center"/>
      </w:pPr>
      <w:r>
        <w:rPr>
          <w:color w:val="2E5C8A"/>
          <w:sz w:val="28"/>
          <w:szCs w:val="28"/>
        </w:rPr>
        <w:t xml:space="preserve">Écoles, établissements de formation &amp; écoles de langues</w:t>
      </w:r>
    </w:p>
    <w:p>
      <w:pPr>
        <w:spacing w:after="800" w:before="100"/>
        <w:jc w:val="center"/>
      </w:pPr>
      <w:r>
        <w:rPr>
          <w:i/>
          <w:iCs/>
          <w:color w:val="666666"/>
          <w:sz w:val="22"/>
          <w:szCs w:val="22"/>
        </w:rPr>
        <w:t xml:space="preserve">Spécification fonctionnelle complète — modèle de données, règles métier, détection de conflits et ergonomie</w:t>
      </w:r>
    </w:p>
    <w:p>
      <w:pPr>
        <w:jc w:val="center"/>
      </w:pPr>
      <w:r>
        <w:rPr>
          <w:color w:val="666666"/>
          <w:sz w:val="18"/>
          <w:szCs w:val="18"/>
        </w:rPr>
        <w:t xml:space="preserve">Basé sur l'analyse de solutions du marché : PRONOTE Campus (ex-Hyperplanning), EDT (Index Éducation), aSc Timetables, Celcat, Omniscol, Infosilem Academic, Bookeo, Eduka</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Ce que font déjà bien les logiciels existants</w:t>
      </w:r>
    </w:p>
    <w:p>
      <w:pPr>
        <w:spacing w:after="160"/>
      </w:pPr>
      <w:r>
        <w:t xml:space="preserve">Avant de construire la logique, voici ce que le marché a validé à l'usage (points à reprendre) :</w:t>
      </w:r>
    </w:p>
    <w:p>
      <w:pPr>
        <w:pStyle w:val="ListParagraph"/>
        <w:numPr>
          <w:ilvl w:val="0"/>
          <w:numId w:val="2"/>
        </w:numPr>
        <w:spacing w:after="80"/>
      </w:pPr>
      <w:r>
        <w:rPr>
          <w:b w:val="false"/>
          <w:bCs w:val="false"/>
        </w:rPr>
        <w:t xml:space="preserve">PRONOTE Campus / EDT (Index Éducation) : séparation stricte entre la structure pédagogique (classes, groupes, matières) et la grille horaire ; gestion fine des salles préférentielles, des remplacements et des absences de classe.</w:t>
      </w:r>
    </w:p>
    <w:p>
      <w:pPr>
        <w:pStyle w:val="ListParagraph"/>
        <w:numPr>
          <w:ilvl w:val="0"/>
          <w:numId w:val="2"/>
        </w:numPr>
        <w:spacing w:after="80"/>
      </w:pPr>
      <w:r>
        <w:rPr>
          <w:b w:val="false"/>
          <w:bCs w:val="false"/>
        </w:rPr>
        <w:t xml:space="preserve">aSc Timetables : moteur de génération automatique très rapide, import/export standardisés, tarification accessible aux petites structures.</w:t>
      </w:r>
    </w:p>
    <w:p>
      <w:pPr>
        <w:pStyle w:val="ListParagraph"/>
        <w:numPr>
          <w:ilvl w:val="0"/>
          <w:numId w:val="2"/>
        </w:numPr>
        <w:spacing w:after="80"/>
      </w:pPr>
      <w:r>
        <w:rPr>
          <w:b w:val="false"/>
          <w:bCs w:val="false"/>
        </w:rPr>
        <w:t xml:space="preserve">Celcat &amp; Infosilem : planification par contraintes « dures » (obligatoires) et « souples » (préférences), avec simulation de scénarios avant publication.</w:t>
      </w:r>
    </w:p>
    <w:p>
      <w:pPr>
        <w:pStyle w:val="ListParagraph"/>
        <w:numPr>
          <w:ilvl w:val="0"/>
          <w:numId w:val="2"/>
        </w:numPr>
        <w:spacing w:after="80"/>
      </w:pPr>
      <w:r>
        <w:rPr>
          <w:b w:val="false"/>
          <w:bCs w:val="false"/>
        </w:rPr>
        <w:t xml:space="preserve">Omniscol : code couleur de conflit en 4 niveaux (vert / jaune / orange / rouge) lors du placement d'un cours — un des mécanismes les plus lisibles pour l'utilisateur non technique.</w:t>
      </w:r>
    </w:p>
    <w:p>
      <w:pPr>
        <w:pStyle w:val="ListParagraph"/>
        <w:numPr>
          <w:ilvl w:val="0"/>
          <w:numId w:val="2"/>
        </w:numPr>
        <w:spacing w:after="80"/>
      </w:pPr>
      <w:r>
        <w:rPr>
          <w:b w:val="false"/>
          <w:bCs w:val="false"/>
        </w:rPr>
        <w:t xml:space="preserve">Bookeo (écoles de langues) : logique orientée réservation en libre-service par le client (élève), avec disponibilité en temps réel 24/7 et gestion par « sessions » plutôt que par classes fixes.</w:t>
      </w:r>
    </w:p>
    <w:p>
      <w:pPr>
        <w:pStyle w:val="ListParagraph"/>
        <w:numPr>
          <w:ilvl w:val="0"/>
          <w:numId w:val="2"/>
        </w:numPr>
        <w:spacing w:after="80"/>
      </w:pPr>
      <w:r>
        <w:rPr>
          <w:b w:val="false"/>
          <w:bCs w:val="false"/>
        </w:rPr>
        <w:t xml:space="preserve">Eduka : détection de chevauchement au niveau de l'élève individuel (utile quand un même élève suit plusieurs cours à la carte, typique des écoles de langues).</w:t>
      </w:r>
    </w:p>
    <w:p>
      <w:pPr>
        <w:pBdr>
          <w:left w:val="single" w:color="2E5C8A" w:sz="12" w:space="8"/>
        </w:pBdr>
        <w:spacing w:after="200"/>
        <w:ind w:left="200"/>
      </w:pPr>
      <w:r>
        <w:rPr>
          <w:i/>
          <w:iCs/>
          <w:color w:val="666666"/>
          <w:sz w:val="20"/>
          <w:szCs w:val="20"/>
        </w:rPr>
        <w:t xml:space="preserve">Conclusion du benchmark : aucun outil ne mélange les deux logiques « classe fixe » (école classique) et « module à la carte » (école de langues/formation). La logique ci-dessous est conçue pour couvrir les deux cas avec un seul modèle de données.</w:t>
      </w:r>
    </w:p>
    <w:p>
      <w:pPr>
        <w:pStyle w:val="Heading1"/>
        <w:spacing w:after="200" w:before="400"/>
      </w:pPr>
      <w:r>
        <w:t xml:space="preserve">2. Principes de conception (zéro bug, zéro conflit, user-friendly)</w:t>
      </w:r>
    </w:p>
    <w:p>
      <w:pPr>
        <w:pStyle w:val="ListParagraph"/>
        <w:numPr>
          <w:ilvl w:val="0"/>
          <w:numId w:val="2"/>
        </w:numPr>
        <w:spacing w:after="80"/>
      </w:pPr>
      <w:r>
        <w:rPr>
          <w:b/>
          <w:bCs/>
        </w:rPr>
        <w:t xml:space="preserve">Une seule source de vérité : toute séance de cours est un objet unique en base ; aucune duplication entre « vue élève », « vue prof », « vue salle » — ce sont des filtres sur la même donnée.</w:t>
      </w:r>
    </w:p>
    <w:p>
      <w:pPr>
        <w:pStyle w:val="ListParagraph"/>
        <w:numPr>
          <w:ilvl w:val="0"/>
          <w:numId w:val="2"/>
        </w:numPr>
        <w:spacing w:after="80"/>
      </w:pPr>
      <w:r>
        <w:rPr>
          <w:b/>
          <w:bCs/>
        </w:rPr>
        <w:t xml:space="preserve">Contrainte dure vs souhait : on distingue toujours ce qui est interdit (double réservation d'une salle) de ce qui est préférable (un prof préfère le matin). Les contraintes dures ne sont jamais contournables, même par un administrateur, sans confirmation explicite et tracée.</w:t>
      </w:r>
    </w:p>
    <w:p>
      <w:pPr>
        <w:pStyle w:val="ListParagraph"/>
        <w:numPr>
          <w:ilvl w:val="0"/>
          <w:numId w:val="2"/>
        </w:numPr>
        <w:spacing w:after="80"/>
      </w:pPr>
      <w:r>
        <w:rPr>
          <w:b/>
          <w:bCs/>
        </w:rPr>
        <w:t xml:space="preserve">Validation avant écriture : chaque tentative de création/déplacement de séance passe par un moteur de vérification qui répond avant l'enregistrement, jamais après.</w:t>
      </w:r>
    </w:p>
    <w:p>
      <w:pPr>
        <w:pStyle w:val="ListParagraph"/>
        <w:numPr>
          <w:ilvl w:val="0"/>
          <w:numId w:val="2"/>
        </w:numPr>
        <w:spacing w:after="80"/>
      </w:pPr>
      <w:r>
        <w:rPr>
          <w:b/>
          <w:bCs/>
        </w:rPr>
        <w:t xml:space="preserve">Réversibilité totale : historique complet (qui, quoi, quand) + undo/redo illimité pendant la session + restauration de versions antérieures de la grille.</w:t>
      </w:r>
    </w:p>
    <w:p>
      <w:pPr>
        <w:pStyle w:val="ListParagraph"/>
        <w:numPr>
          <w:ilvl w:val="0"/>
          <w:numId w:val="2"/>
        </w:numPr>
        <w:spacing w:after="80"/>
      </w:pPr>
      <w:r>
        <w:rPr>
          <w:b/>
          <w:bCs/>
        </w:rPr>
        <w:t xml:space="preserve">Dégradation progressive, jamais de blocage silencieux : si une action crée un problème mineur, le système avertit mais laisse l'administrateur décider ; si elle crée un problème bloquant, elle est refusée avec une explication precise (qui, où, pourquoi).</w:t>
      </w:r>
    </w:p>
    <w:p>
      <w:pPr>
        <w:pStyle w:val="ListParagraph"/>
        <w:numPr>
          <w:ilvl w:val="0"/>
          <w:numId w:val="2"/>
        </w:numPr>
        <w:spacing w:after="80"/>
      </w:pPr>
      <w:r>
        <w:rPr>
          <w:b/>
          <w:bCs/>
        </w:rPr>
        <w:t xml:space="preserve">Un seul geste pour l'action courante : glisser-déposer pour déplacer un cours, un clic pour dupliquer une semaine type, une touche pour publier.</w:t>
      </w:r>
    </w:p>
    <w:p>
      <w:pPr>
        <w:pStyle w:val="Heading1"/>
        <w:spacing w:after="200" w:before="400"/>
      </w:pPr>
      <w:r>
        <w:t xml:space="preserve">3. Modèle de données (les entités et leurs relations)</w:t>
      </w:r>
    </w:p>
    <w:p>
      <w:pPr>
        <w:spacing w:after="160"/>
      </w:pPr>
      <w:r>
        <w:t xml:space="preserve">Le modèle repose sur 10 entités. Le point clé : « Séance » est l'entité pivot, toutes les autres s'y rattachent en clé étrangère, jamais l'inverse.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Entité</w:t>
            </w:r>
          </w:p>
        </w:tc>
        <w:tc>
          <w:tcPr>
            <w:tcW w:type="dxa" w:w="3400"/>
            <w:shd w:fill="1F3864" w:val="clear"/>
            <w:tcMar>
              <w:top w:type="dxa" w:w="80"/>
              <w:left w:type="dxa" w:w="100"/>
              <w:bottom w:type="dxa" w:w="80"/>
              <w:right w:type="dxa" w:w="100"/>
            </w:tcMar>
          </w:tcPr>
          <w:p>
            <w:r>
              <w:rPr>
                <w:b/>
                <w:bCs/>
                <w:color w:val="FFFFFF"/>
                <w:sz w:val="20"/>
                <w:szCs w:val="20"/>
              </w:rPr>
              <w:t xml:space="preserve">Rôle</w:t>
            </w:r>
          </w:p>
        </w:tc>
        <w:tc>
          <w:tcPr>
            <w:tcW w:type="dxa" w:w="3800"/>
            <w:shd w:fill="1F3864" w:val="clear"/>
            <w:tcMar>
              <w:top w:type="dxa" w:w="80"/>
              <w:left w:type="dxa" w:w="100"/>
              <w:bottom w:type="dxa" w:w="80"/>
              <w:right w:type="dxa" w:w="100"/>
            </w:tcMar>
          </w:tcPr>
          <w:p>
            <w:r>
              <w:rPr>
                <w:b/>
                <w:bCs/>
                <w:color w:val="FFFFFF"/>
                <w:sz w:val="20"/>
                <w:szCs w:val="20"/>
              </w:rPr>
              <w:t xml:space="preserve">Champs clés / remarques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Établissement / Site</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Regroupe un ou plusieurs sites physiques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adresse, fuseau horaire, temps de trajet inter-site</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Année / Session académique</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Cadre temporel global</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date début/fin, vacances, jours fériés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Formation / Programme</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Ex : « Anglais général », « Bac Pro », « DELF B2 »</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durée totale, volume horaire requis par matière</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Niveau / Groupe / Classe</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Regroupement d'apprenants pour une même séance</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effectif, effectif max, groupe fixe ou groupe à la carte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Apprenant (élève/étudiant)</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Personne suivant un ou plusieurs cours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inscriptions, contraintes perso (PMR, transport)</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Formateur / Enseignant</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Personne dispensant un cours</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matières habilitées, quotas horaires, contrat, dispos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Matière / Module</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Contenu enseigné</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durée type de séance, salle requise (labo, plateau technique)</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Salle / Ressource</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Lieu ou équipement</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capacité, équipements, disponibilité, site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Créneau / Grille horaire</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Découpage du temps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jour, heure début/fin, récurrence (hebdo, quinzaine)</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Séance (entité pivot)</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Une occurrence unique d'un cours</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matière + groupe + formateur + salle + créneau + statut</w:t>
            </w:r>
          </w:p>
        </w:tc>
      </w:tr>
    </w:tbl>
    <w:p>
      <w:pPr>
        <w:spacing w:after="160"/>
      </w:pPr>
      <w:r>
        <w:t xml:space="preserve"/>
      </w:r>
    </w:p>
    <w:p>
      <w:pPr>
        <w:pStyle w:val="Heading3"/>
        <w:spacing w:after="100" w:before="200"/>
      </w:pPr>
      <w:r>
        <w:t xml:space="preserve">Statuts possibles d'une Séance</w:t>
      </w:r>
    </w:p>
    <w:p>
      <w:pPr>
        <w:pStyle w:val="ListParagraph"/>
        <w:numPr>
          <w:ilvl w:val="0"/>
          <w:numId w:val="2"/>
        </w:numPr>
        <w:spacing w:after="80"/>
      </w:pPr>
      <w:r>
        <w:rPr>
          <w:b w:val="false"/>
          <w:bCs w:val="false"/>
        </w:rPr>
        <w:t xml:space="preserve">Planifiée → Confirmée → Publiée (visible par tous) → Réalisée / Annulée / Déplacée / Reportée.</w:t>
      </w:r>
    </w:p>
    <w:p>
      <w:pPr>
        <w:pBdr>
          <w:left w:val="single" w:color="2E5C8A" w:sz="12" w:space="8"/>
        </w:pBdr>
        <w:spacing w:after="200"/>
        <w:ind w:left="200"/>
      </w:pPr>
      <w:r>
        <w:rPr>
          <w:i/>
          <w:iCs/>
          <w:color w:val="666666"/>
          <w:sz w:val="20"/>
          <w:szCs w:val="20"/>
        </w:rPr>
        <w:t xml:space="preserve">Une séance annulée ou déplacée n'est jamais supprimée : elle passe en statut « Annulée » et une nouvelle séance liée (champ « remplace / remplacée_par ») est créée. Cela garantit l'historique et empêche les trous inexpliqués dans les registres de présence.</w:t>
      </w:r>
    </w:p>
    <w:p>
      <w:pPr>
        <w:pStyle w:val="Heading1"/>
        <w:spacing w:after="200" w:before="400"/>
      </w:pPr>
      <w:r>
        <w:t xml:space="preserve">4. Règles métier : contraintes dures et souples</w:t>
      </w:r>
    </w:p>
    <w:p>
      <w:pPr>
        <w:spacing w:after="160"/>
      </w:pPr>
      <w:r>
        <w:t xml:space="preserve">C'est le cœur anti-bug du système : toute création ou modification de Séance déclenche ces vérifications, dans cet ordre précis (du plus bloquant au moins bloquant).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0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Niveau</w:t>
            </w:r>
          </w:p>
        </w:tc>
        <w:tc>
          <w:tcPr>
            <w:tcW w:type="dxa" w:w="4200"/>
            <w:shd w:fill="1F3864" w:val="clear"/>
            <w:tcMar>
              <w:top w:type="dxa" w:w="80"/>
              <w:left w:type="dxa" w:w="100"/>
              <w:bottom w:type="dxa" w:w="80"/>
              <w:right w:type="dxa" w:w="100"/>
            </w:tcMar>
          </w:tcPr>
          <w:p>
            <w:r>
              <w:rPr>
                <w:b/>
                <w:bCs/>
                <w:color w:val="FFFFFF"/>
                <w:sz w:val="20"/>
                <w:szCs w:val="20"/>
              </w:rPr>
              <w:t xml:space="preserve">Règle</w:t>
            </w:r>
          </w:p>
        </w:tc>
        <w:tc>
          <w:tcPr>
            <w:tcW w:type="dxa" w:w="3800"/>
            <w:shd w:fill="1F3864" w:val="clear"/>
            <w:tcMar>
              <w:top w:type="dxa" w:w="80"/>
              <w:left w:type="dxa" w:w="100"/>
              <w:bottom w:type="dxa" w:w="80"/>
              <w:right w:type="dxa" w:w="100"/>
            </w:tcMar>
          </w:tcPr>
          <w:p>
            <w:r>
              <w:rPr>
                <w:b/>
                <w:bCs/>
                <w:color w:val="FFFFFF"/>
                <w:sz w:val="20"/>
                <w:szCs w:val="20"/>
              </w:rPr>
              <w:t xml:space="preserve">Comportement du système</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Dure (bloquante)</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Un même formateur ne peut avoir 2 séances sur des créneaux qui se chevauchent</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Refus immédiat, séance non enregistrée</w:t>
            </w:r>
          </w:p>
        </w:tc>
      </w:tr>
      <w:tr>
        <w:tc>
          <w:tcPr>
            <w:tcW w:type="dxa" w:w="1600"/>
            <w:shd w:fill="EAF1F8" w:val="clear"/>
            <w:tcMar>
              <w:top w:type="dxa" w:w="80"/>
              <w:left w:type="dxa" w:w="100"/>
              <w:bottom w:type="dxa" w:w="80"/>
              <w:right w:type="dxa" w:w="100"/>
            </w:tcMar>
          </w:tcPr>
          <w:p>
            <w:r>
              <w:rPr>
                <w:b w:val="false"/>
                <w:bCs w:val="false"/>
                <w:color w:val="000000"/>
                <w:sz w:val="20"/>
                <w:szCs w:val="20"/>
              </w:rPr>
              <w:t xml:space="preserve">Dure (bloquante)</w:t>
            </w:r>
          </w:p>
        </w:tc>
        <w:tc>
          <w:tcPr>
            <w:tcW w:type="dxa" w:w="4200"/>
            <w:shd w:fill="EAF1F8" w:val="clear"/>
            <w:tcMar>
              <w:top w:type="dxa" w:w="80"/>
              <w:left w:type="dxa" w:w="100"/>
              <w:bottom w:type="dxa" w:w="80"/>
              <w:right w:type="dxa" w:w="100"/>
            </w:tcMar>
          </w:tcPr>
          <w:p>
            <w:r>
              <w:rPr>
                <w:b w:val="false"/>
                <w:bCs w:val="false"/>
                <w:color w:val="000000"/>
                <w:sz w:val="20"/>
                <w:szCs w:val="20"/>
              </w:rPr>
              <w:t xml:space="preserve">Une même salle ne peut accueillir 2 séances chevauchantes</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Refus immédiat</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Dure (bloquante)</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Un même groupe/classe ne peut suivre 2 séances chevauchantes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Refus immédiat</w:t>
            </w:r>
          </w:p>
        </w:tc>
      </w:tr>
      <w:tr>
        <w:tc>
          <w:tcPr>
            <w:tcW w:type="dxa" w:w="1600"/>
            <w:shd w:fill="EAF1F8" w:val="clear"/>
            <w:tcMar>
              <w:top w:type="dxa" w:w="80"/>
              <w:left w:type="dxa" w:w="100"/>
              <w:bottom w:type="dxa" w:w="80"/>
              <w:right w:type="dxa" w:w="100"/>
            </w:tcMar>
          </w:tcPr>
          <w:p>
            <w:r>
              <w:rPr>
                <w:b w:val="false"/>
                <w:bCs w:val="false"/>
                <w:color w:val="000000"/>
                <w:sz w:val="20"/>
                <w:szCs w:val="20"/>
              </w:rPr>
              <w:t xml:space="preserve">Dure (bloquante)</w:t>
            </w:r>
          </w:p>
        </w:tc>
        <w:tc>
          <w:tcPr>
            <w:tcW w:type="dxa" w:w="4200"/>
            <w:shd w:fill="EAF1F8" w:val="clear"/>
            <w:tcMar>
              <w:top w:type="dxa" w:w="80"/>
              <w:left w:type="dxa" w:w="100"/>
              <w:bottom w:type="dxa" w:w="80"/>
              <w:right w:type="dxa" w:w="100"/>
            </w:tcMar>
          </w:tcPr>
          <w:p>
            <w:r>
              <w:rPr>
                <w:b w:val="false"/>
                <w:bCs w:val="false"/>
                <w:color w:val="000000"/>
                <w:sz w:val="20"/>
                <w:szCs w:val="20"/>
              </w:rPr>
              <w:t xml:space="preserve">L'effectif du groupe ne doit pas dépasser la capacité de la salle</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Refus, suggestion de salle plus grande</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Dure (bloquante)</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Le formateur doit être habilité sur la matière</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Refus, liste des formateurs habilités proposée</w:t>
            </w:r>
          </w:p>
        </w:tc>
      </w:tr>
      <w:tr>
        <w:tc>
          <w:tcPr>
            <w:tcW w:type="dxa" w:w="1600"/>
            <w:shd w:fill="EAF1F8" w:val="clear"/>
            <w:tcMar>
              <w:top w:type="dxa" w:w="80"/>
              <w:left w:type="dxa" w:w="100"/>
              <w:bottom w:type="dxa" w:w="80"/>
              <w:right w:type="dxa" w:w="100"/>
            </w:tcMar>
          </w:tcPr>
          <w:p>
            <w:r>
              <w:rPr>
                <w:b w:val="false"/>
                <w:bCs w:val="false"/>
                <w:color w:val="000000"/>
                <w:sz w:val="20"/>
                <w:szCs w:val="20"/>
              </w:rPr>
              <w:t xml:space="preserve">Dure (bloquante)</w:t>
            </w:r>
          </w:p>
        </w:tc>
        <w:tc>
          <w:tcPr>
            <w:tcW w:type="dxa" w:w="4200"/>
            <w:shd w:fill="EAF1F8" w:val="clear"/>
            <w:tcMar>
              <w:top w:type="dxa" w:w="80"/>
              <w:left w:type="dxa" w:w="100"/>
              <w:bottom w:type="dxa" w:w="80"/>
              <w:right w:type="dxa" w:w="100"/>
            </w:tcMar>
          </w:tcPr>
          <w:p>
            <w:r>
              <w:rPr>
                <w:b w:val="false"/>
                <w:bCs w:val="false"/>
                <w:color w:val="000000"/>
                <w:sz w:val="20"/>
                <w:szCs w:val="20"/>
              </w:rPr>
              <w:t xml:space="preserve">Respect des durées légales (temps de pause, amplitude horaire journalière max)</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Refus avec référence à la règle enfreinte</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Souple (avertissement)</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Préférence horaire déclarée par le formateur non respectée</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Avertissement orange, création possible après confirmation</w:t>
            </w:r>
          </w:p>
        </w:tc>
      </w:tr>
      <w:tr>
        <w:tc>
          <w:tcPr>
            <w:tcW w:type="dxa" w:w="1600"/>
            <w:shd w:fill="EAF1F8" w:val="clear"/>
            <w:tcMar>
              <w:top w:type="dxa" w:w="80"/>
              <w:left w:type="dxa" w:w="100"/>
              <w:bottom w:type="dxa" w:w="80"/>
              <w:right w:type="dxa" w:w="100"/>
            </w:tcMar>
          </w:tcPr>
          <w:p>
            <w:r>
              <w:rPr>
                <w:b w:val="false"/>
                <w:bCs w:val="false"/>
                <w:color w:val="000000"/>
                <w:sz w:val="20"/>
                <w:szCs w:val="20"/>
              </w:rPr>
              <w:t xml:space="preserve">Souple (avertissement)</w:t>
            </w:r>
          </w:p>
        </w:tc>
        <w:tc>
          <w:tcPr>
            <w:tcW w:type="dxa" w:w="4200"/>
            <w:shd w:fill="EAF1F8" w:val="clear"/>
            <w:tcMar>
              <w:top w:type="dxa" w:w="80"/>
              <w:left w:type="dxa" w:w="100"/>
              <w:bottom w:type="dxa" w:w="80"/>
              <w:right w:type="dxa" w:w="100"/>
            </w:tcMar>
          </w:tcPr>
          <w:p>
            <w:r>
              <w:rPr>
                <w:b w:val="false"/>
                <w:bCs w:val="false"/>
                <w:color w:val="000000"/>
                <w:sz w:val="20"/>
                <w:szCs w:val="20"/>
              </w:rPr>
              <w:t xml:space="preserve">Temps de trajet insuffisant entre deux sites pour un même formateur/apprenant</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Avertissement orange</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Souple (avertissement)</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Deux matières « lourdes » consécutives pour le même groupe (fatigue pédagogique)</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Avertissement jaune</w:t>
            </w:r>
          </w:p>
        </w:tc>
      </w:tr>
      <w:tr>
        <w:tc>
          <w:tcPr>
            <w:tcW w:type="dxa" w:w="1600"/>
            <w:shd w:fill="EAF1F8" w:val="clear"/>
            <w:tcMar>
              <w:top w:type="dxa" w:w="80"/>
              <w:left w:type="dxa" w:w="100"/>
              <w:bottom w:type="dxa" w:w="80"/>
              <w:right w:type="dxa" w:w="100"/>
            </w:tcMar>
          </w:tcPr>
          <w:p>
            <w:r>
              <w:rPr>
                <w:b w:val="false"/>
                <w:bCs w:val="false"/>
                <w:color w:val="000000"/>
                <w:sz w:val="20"/>
                <w:szCs w:val="20"/>
              </w:rPr>
              <w:t xml:space="preserve">Souple (avertissement)</w:t>
            </w:r>
          </w:p>
        </w:tc>
        <w:tc>
          <w:tcPr>
            <w:tcW w:type="dxa" w:w="4200"/>
            <w:shd w:fill="EAF1F8" w:val="clear"/>
            <w:tcMar>
              <w:top w:type="dxa" w:w="80"/>
              <w:left w:type="dxa" w:w="100"/>
              <w:bottom w:type="dxa" w:w="80"/>
              <w:right w:type="dxa" w:w="100"/>
            </w:tcMar>
          </w:tcPr>
          <w:p>
            <w:r>
              <w:rPr>
                <w:b w:val="false"/>
                <w:bCs w:val="false"/>
                <w:color w:val="000000"/>
                <w:sz w:val="20"/>
                <w:szCs w:val="20"/>
              </w:rPr>
              <w:t xml:space="preserve">Salle non préférentielle pour cette matière (ex. labo dispo mais salle standard utilisée)</w:t>
            </w:r>
          </w:p>
        </w:tc>
        <w:tc>
          <w:tcPr>
            <w:tcW w:type="dxa" w:w="3800"/>
            <w:shd w:fill="EAF1F8" w:val="clear"/>
            <w:tcMar>
              <w:top w:type="dxa" w:w="80"/>
              <w:left w:type="dxa" w:w="100"/>
              <w:bottom w:type="dxa" w:w="80"/>
              <w:right w:type="dxa" w:w="100"/>
            </w:tcMar>
          </w:tcPr>
          <w:p>
            <w:r>
              <w:rPr>
                <w:b w:val="false"/>
                <w:bCs w:val="false"/>
                <w:color w:val="000000"/>
                <w:sz w:val="20"/>
                <w:szCs w:val="20"/>
              </w:rPr>
              <w:t xml:space="preserve">Avertissement jaune, salle idéale suggérée</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Information</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Jour férié, période de vacances, pont</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Séance grisée automatiquement, aucune saisie possible sauf forçage manuel tracé</w:t>
            </w:r>
          </w:p>
        </w:tc>
      </w:tr>
    </w:tbl>
    <w:p>
      <w:pPr>
        <w:spacing w:after="160"/>
      </w:pPr>
      <w:r>
        <w:t xml:space="preserve"/>
      </w:r>
    </w:p>
    <w:p>
      <w:pPr>
        <w:pStyle w:val="Heading3"/>
        <w:spacing w:after="100" w:before="200"/>
      </w:pPr>
      <w:r>
        <w:t xml:space="preserve">Code couleur unique dans toute l'interface</w:t>
      </w:r>
    </w:p>
    <w:p>
      <w:pPr>
        <w:pStyle w:val="ListParagraph"/>
        <w:numPr>
          <w:ilvl w:val="0"/>
          <w:numId w:val="2"/>
        </w:numPr>
        <w:spacing w:after="80"/>
      </w:pPr>
      <w:r>
        <w:rPr>
          <w:b w:val="false"/>
          <w:bCs w:val="false"/>
        </w:rPr>
        <w:t xml:space="preserve">Vert : aucune contrainte détectée, dépôt possible immédiatement.</w:t>
      </w:r>
    </w:p>
    <w:p>
      <w:pPr>
        <w:pStyle w:val="ListParagraph"/>
        <w:numPr>
          <w:ilvl w:val="0"/>
          <w:numId w:val="2"/>
        </w:numPr>
        <w:spacing w:after="80"/>
      </w:pPr>
      <w:r>
        <w:rPr>
          <w:b w:val="false"/>
          <w:bCs w:val="false"/>
        </w:rPr>
        <w:t xml:space="preserve">Jaune : contrainte souple mineure, ajustement conseillé mais non bloquant.</w:t>
      </w:r>
    </w:p>
    <w:p>
      <w:pPr>
        <w:pStyle w:val="ListParagraph"/>
        <w:numPr>
          <w:ilvl w:val="0"/>
          <w:numId w:val="2"/>
        </w:numPr>
        <w:spacing w:after="80"/>
      </w:pPr>
      <w:r>
        <w:rPr>
          <w:b w:val="false"/>
          <w:bCs w:val="false"/>
        </w:rPr>
        <w:t xml:space="preserve">Orange : contrainte souple importante, confirmation explicite requise avant enregistrement.</w:t>
      </w:r>
    </w:p>
    <w:p>
      <w:pPr>
        <w:pStyle w:val="ListParagraph"/>
        <w:numPr>
          <w:ilvl w:val="0"/>
          <w:numId w:val="2"/>
        </w:numPr>
        <w:spacing w:after="80"/>
      </w:pPr>
      <w:r>
        <w:rPr>
          <w:b w:val="false"/>
          <w:bCs w:val="false"/>
        </w:rPr>
        <w:t xml:space="preserve">Rouge : contrainte dure violée, dépôt impossible tant que le conflit n'est pas résolu.</w:t>
      </w:r>
    </w:p>
    <w:p>
      <w:pPr>
        <w:pBdr>
          <w:left w:val="single" w:color="2E5C8A" w:sz="12" w:space="8"/>
        </w:pBdr>
        <w:spacing w:after="200"/>
        <w:ind w:left="200"/>
      </w:pPr>
      <w:r>
        <w:rPr>
          <w:i/>
          <w:iCs/>
          <w:color w:val="666666"/>
          <w:sz w:val="20"/>
          <w:szCs w:val="20"/>
        </w:rPr>
        <w:t xml:space="preserve">Ce code (repris d'Omniscol) est le seul vocabulaire visuel de conflit dans toute l'application — jamais un second système de couleurs pour autre chose (statuts, matières, etc.) afin de ne pas créer de confusion cognitive.</w:t>
      </w:r>
    </w:p>
    <w:p>
      <w:pPr>
        <w:pStyle w:val="Heading1"/>
        <w:spacing w:after="200" w:before="400"/>
      </w:pPr>
      <w:r>
        <w:t xml:space="preserve">5. Algorithme de détection et de résolution des conflits</w:t>
      </w:r>
    </w:p>
    <w:p>
      <w:pPr>
        <w:spacing w:after="160"/>
      </w:pPr>
      <w:r>
        <w:t xml:space="preserve">À chaque tentative de placement ou déplacement d'une séance, le moteur exécute ces étapes, dans cet ordre, et s'arrête à la première contrainte dure violée :</w:t>
      </w:r>
    </w:p>
    <w:p>
      <w:pPr>
        <w:pStyle w:val="ListParagraph"/>
        <w:numPr>
          <w:ilvl w:val="0"/>
          <w:numId w:val="2"/>
        </w:numPr>
        <w:spacing w:after="80"/>
      </w:pPr>
      <w:r>
        <w:rPr>
          <w:b w:val="false"/>
          <w:bCs w:val="false"/>
        </w:rPr>
        <w:t xml:space="preserve">1. Résoudre les identités : quel formateur, quel(s) groupe(s)/élève(s), quelle salle, quel créneau exact (jour + heure début/fin + date ou récurrence).</w:t>
      </w:r>
    </w:p>
    <w:p>
      <w:pPr>
        <w:pStyle w:val="ListParagraph"/>
        <w:numPr>
          <w:ilvl w:val="0"/>
          <w:numId w:val="2"/>
        </w:numPr>
        <w:spacing w:after="80"/>
      </w:pPr>
      <w:r>
        <w:rPr>
          <w:b w:val="false"/>
          <w:bCs w:val="false"/>
        </w:rPr>
        <w:t xml:space="preserve">2. Requête d'intersection temporelle : rechercher toute autre Séance active partageant le même formateur, la même salle ou le même groupe sur un intervalle qui chevauche le nouveau créneau.</w:t>
      </w:r>
    </w:p>
    <w:p>
      <w:pPr>
        <w:pStyle w:val="ListParagraph"/>
        <w:numPr>
          <w:ilvl w:val="0"/>
          <w:numId w:val="2"/>
        </w:numPr>
        <w:spacing w:after="80"/>
      </w:pPr>
      <w:r>
        <w:rPr>
          <w:b w:val="false"/>
          <w:bCs w:val="false"/>
        </w:rPr>
        <w:t xml:space="preserve">3. Application des règles dures du tableau ci-dessus dans l'ordre ; si une seule est violée → refus immédiat, message précis (« Salle B12 déjà occupée par le cours d'Espagnol de 14h à 15h30, groupe B2 »).</w:t>
      </w:r>
    </w:p>
    <w:p>
      <w:pPr>
        <w:pStyle w:val="ListParagraph"/>
        <w:numPr>
          <w:ilvl w:val="0"/>
          <w:numId w:val="2"/>
        </w:numPr>
        <w:spacing w:after="80"/>
      </w:pPr>
      <w:r>
        <w:rPr>
          <w:b w:val="false"/>
          <w:bCs w:val="false"/>
        </w:rPr>
        <w:t xml:space="preserve">4. Si aucune règle dure n'est violée : application des règles souples, calcul d'un score de conflit (0 à 100) qui détermine la couleur affichée.</w:t>
      </w:r>
    </w:p>
    <w:p>
      <w:pPr>
        <w:pStyle w:val="ListParagraph"/>
        <w:numPr>
          <w:ilvl w:val="0"/>
          <w:numId w:val="2"/>
        </w:numPr>
        <w:spacing w:after="80"/>
      </w:pPr>
      <w:r>
        <w:rPr>
          <w:b w:val="false"/>
          <w:bCs w:val="false"/>
        </w:rPr>
        <w:t xml:space="preserve">5. Enregistrement transactionnel : la séance n'est écrite en base que si toutes les vérifications dures sont passées ; l'opération est atomique (tout ou rien) pour éviter tout état incohérent en cas de coupure réseau ou d'erreur applicative.</w:t>
      </w:r>
    </w:p>
    <w:p>
      <w:pPr>
        <w:pStyle w:val="ListParagraph"/>
        <w:numPr>
          <w:ilvl w:val="0"/>
          <w:numId w:val="2"/>
        </w:numPr>
        <w:spacing w:after="80"/>
      </w:pPr>
      <w:r>
        <w:rPr>
          <w:b w:val="false"/>
          <w:bCs w:val="false"/>
        </w:rPr>
        <w:t xml:space="preserve">6. Journalisation : chaque création/modification/suppression est historisée avec auteur, date, avant/après (utile pour audit et pour annuler une génération automatique ratée).</w:t>
      </w:r>
    </w:p>
    <w:p>
      <w:pPr>
        <w:pBdr>
          <w:left w:val="single" w:color="2E5C8A" w:sz="12" w:space="8"/>
        </w:pBdr>
        <w:spacing w:after="200"/>
        <w:ind w:left="200"/>
      </w:pPr>
      <w:r>
        <w:rPr>
          <w:i/>
          <w:iCs/>
          <w:color w:val="666666"/>
          <w:sz w:val="20"/>
          <w:szCs w:val="20"/>
        </w:rPr>
        <w:t xml:space="preserve">Pour la génération automatique complète d'une grille (rentrée, nouveau trimestre), le même moteur de règles est réutilisé par un algorithme de recherche par contraintes (ou génétique pour les gros volumes) qui explore les combinaisons possibles et ne retient que celles à zéro violation dure, puis minimise le nombre d'avertissements souples.</w:t>
      </w:r>
    </w:p>
    <w:p>
      <w:pPr>
        <w:pStyle w:val="Heading1"/>
        <w:spacing w:after="200" w:before="400"/>
      </w:pPr>
      <w:r>
        <w:t xml:space="preserve">6. Parcours de création d'un emploi du temps</w:t>
      </w:r>
    </w:p>
    <w:p>
      <w:pPr>
        <w:pStyle w:val="Heading2"/>
        <w:spacing w:after="150" w:before="300"/>
      </w:pPr>
      <w:r>
        <w:t xml:space="preserve">6.1 Mode manuel (petites structures, écoles de langues à la carte)</w:t>
      </w:r>
    </w:p>
    <w:p>
      <w:pPr>
        <w:pStyle w:val="ListParagraph"/>
        <w:numPr>
          <w:ilvl w:val="0"/>
          <w:numId w:val="2"/>
        </w:numPr>
        <w:spacing w:after="80"/>
      </w:pPr>
      <w:r>
        <w:rPr>
          <w:b w:val="false"/>
          <w:bCs w:val="false"/>
        </w:rPr>
        <w:t xml:space="preserve">L'administrateur choisit un groupe ou un élève, glisse une matière sur un créneau libre de la grille.</w:t>
      </w:r>
    </w:p>
    <w:p>
      <w:pPr>
        <w:pStyle w:val="ListParagraph"/>
        <w:numPr>
          <w:ilvl w:val="0"/>
          <w:numId w:val="2"/>
        </w:numPr>
        <w:spacing w:after="80"/>
      </w:pPr>
      <w:r>
        <w:rPr>
          <w:b w:val="false"/>
          <w:bCs w:val="false"/>
        </w:rPr>
        <w:t xml:space="preserve">Le système propose automatiquement les 3 meilleures combinaisons formateur + salle disponibles, triées par score de conflit.</w:t>
      </w:r>
    </w:p>
    <w:p>
      <w:pPr>
        <w:pStyle w:val="ListParagraph"/>
        <w:numPr>
          <w:ilvl w:val="0"/>
          <w:numId w:val="2"/>
        </w:numPr>
        <w:spacing w:after="80"/>
      </w:pPr>
      <w:r>
        <w:rPr>
          <w:b w:val="false"/>
          <w:bCs w:val="false"/>
        </w:rPr>
        <w:t xml:space="preserve">Validation en un clic ; la séance passe en statut « Planifiée » puis « Publiée » lors de la diffusion officielle.</w:t>
      </w:r>
    </w:p>
    <w:p>
      <w:pPr>
        <w:pStyle w:val="Heading2"/>
        <w:spacing w:after="150" w:before="300"/>
      </w:pPr>
      <w:r>
        <w:t xml:space="preserve">6.2 Mode semi-automatique (établissement de taille moyenne)</w:t>
      </w:r>
    </w:p>
    <w:p>
      <w:pPr>
        <w:pStyle w:val="ListParagraph"/>
        <w:numPr>
          <w:ilvl w:val="0"/>
          <w:numId w:val="2"/>
        </w:numPr>
        <w:spacing w:after="80"/>
      </w:pPr>
      <w:r>
        <w:rPr>
          <w:b w:val="false"/>
          <w:bCs w:val="false"/>
        </w:rPr>
        <w:t xml:space="preserve">L'administrateur saisit les contraintes (grille horaire, matières à placer, volumes, vœux des formateurs), le moteur propose un premier jet complet.</w:t>
      </w:r>
    </w:p>
    <w:p>
      <w:pPr>
        <w:pStyle w:val="ListParagraph"/>
        <w:numPr>
          <w:ilvl w:val="0"/>
          <w:numId w:val="2"/>
        </w:numPr>
        <w:spacing w:after="80"/>
      </w:pPr>
      <w:r>
        <w:rPr>
          <w:b w:val="false"/>
          <w:bCs w:val="false"/>
        </w:rPr>
        <w:t xml:space="preserve">L'administrateur ajuste manuellement les points oranges/jaunes restants ; le rouge est par construction impossible à publier.</w:t>
      </w:r>
    </w:p>
    <w:p>
      <w:pPr>
        <w:pStyle w:val="Heading2"/>
        <w:spacing w:after="150" w:before="300"/>
      </w:pPr>
      <w:r>
        <w:t xml:space="preserve">6.3 Mode automatique complet (gros volumes, multi-sites)</w:t>
      </w:r>
    </w:p>
    <w:p>
      <w:pPr>
        <w:pStyle w:val="ListParagraph"/>
        <w:numPr>
          <w:ilvl w:val="0"/>
          <w:numId w:val="2"/>
        </w:numPr>
        <w:spacing w:after="80"/>
      </w:pPr>
      <w:r>
        <w:rPr>
          <w:b w:val="false"/>
          <w:bCs w:val="false"/>
        </w:rPr>
        <w:t xml:space="preserve">Génération par algorithme de contraintes/génétique en tâche de fond, avec barre de progression et estimation du temps restant.</w:t>
      </w:r>
    </w:p>
    <w:p>
      <w:pPr>
        <w:pStyle w:val="ListParagraph"/>
        <w:numPr>
          <w:ilvl w:val="0"/>
          <w:numId w:val="2"/>
        </w:numPr>
        <w:spacing w:after="80"/>
      </w:pPr>
      <w:r>
        <w:rPr>
          <w:b w:val="false"/>
          <w:bCs w:val="false"/>
        </w:rPr>
        <w:t xml:space="preserve">Plusieurs scénarios générés en parallèle, comparés sur des indicateurs (taux d'occupation des salles, respect des vœux, trous dans les emplois du temps élèves), l'administrateur choisit puis publie.</w:t>
      </w:r>
    </w:p>
    <w:p>
      <w:pPr>
        <w:pBdr>
          <w:left w:val="single" w:color="2E5C8A" w:sz="12" w:space="8"/>
        </w:pBdr>
        <w:spacing w:after="200"/>
        <w:ind w:left="200"/>
      </w:pPr>
      <w:r>
        <w:rPr>
          <w:i/>
          <w:iCs/>
          <w:color w:val="666666"/>
          <w:sz w:val="20"/>
          <w:szCs w:val="20"/>
        </w:rPr>
        <w:t xml:space="preserve">Dans tous les modes, rien n'est visible par les élèves/formateurs tant que le statut n'est pas « Publié ». Cela évite l'un des bugs les plus fréquents constatés dans les logiciels existants : la confusion entre un brouillon en cours de construction et la version officielle.</w:t>
      </w:r>
    </w:p>
    <w:p>
      <w:pPr>
        <w:pStyle w:val="Heading1"/>
        <w:spacing w:after="200" w:before="400"/>
      </w:pPr>
      <w:r>
        <w:t xml:space="preserve">7. Gestion des cas particuliers</w:t>
      </w:r>
    </w:p>
    <w:p>
      <w:pPr>
        <w:pStyle w:val="Heading2"/>
        <w:spacing w:after="150" w:before="300"/>
      </w:pPr>
      <w:r>
        <w:t xml:space="preserve">7.1 Absences et remplacements</w:t>
      </w:r>
    </w:p>
    <w:p>
      <w:pPr>
        <w:pStyle w:val="ListParagraph"/>
        <w:numPr>
          <w:ilvl w:val="0"/>
          <w:numId w:val="2"/>
        </w:numPr>
        <w:spacing w:after="80"/>
      </w:pPr>
      <w:r>
        <w:rPr>
          <w:b w:val="false"/>
          <w:bCs w:val="false"/>
        </w:rPr>
        <w:t xml:space="preserve">Absence formateur déclarée → toutes les séances concernées passent en alerte rouge « à couvrir » sur le tableau de bord administrateur.</w:t>
      </w:r>
    </w:p>
    <w:p>
      <w:pPr>
        <w:pStyle w:val="ListParagraph"/>
        <w:numPr>
          <w:ilvl w:val="0"/>
          <w:numId w:val="2"/>
        </w:numPr>
        <w:spacing w:after="80"/>
      </w:pPr>
      <w:r>
        <w:rPr>
          <w:b w:val="false"/>
          <w:bCs w:val="false"/>
        </w:rPr>
        <w:t xml:space="preserve">Le système propose une liste de formateurs habilités et disponibles sur ce créneau, triés par proximité de matière et charge horaire actuelle.</w:t>
      </w:r>
    </w:p>
    <w:p>
      <w:pPr>
        <w:pStyle w:val="ListParagraph"/>
        <w:numPr>
          <w:ilvl w:val="0"/>
          <w:numId w:val="2"/>
        </w:numPr>
        <w:spacing w:after="80"/>
      </w:pPr>
      <w:r>
        <w:rPr>
          <w:b w:val="false"/>
          <w:bCs w:val="false"/>
        </w:rPr>
        <w:t xml:space="preserve">Absence élève/groupe → aucun impact sur la salle/formateur, simple marquage pour le registre de présence.</w:t>
      </w:r>
    </w:p>
    <w:p>
      <w:pPr>
        <w:pStyle w:val="Heading2"/>
        <w:spacing w:after="150" w:before="300"/>
      </w:pPr>
      <w:r>
        <w:t xml:space="preserve">7.2 Rattrapage et report</w:t>
      </w:r>
    </w:p>
    <w:p>
      <w:pPr>
        <w:pStyle w:val="ListParagraph"/>
        <w:numPr>
          <w:ilvl w:val="0"/>
          <w:numId w:val="2"/>
        </w:numPr>
        <w:spacing w:after="80"/>
      </w:pPr>
      <w:r>
        <w:rPr>
          <w:b w:val="false"/>
          <w:bCs w:val="false"/>
        </w:rPr>
        <w:t xml:space="preserve">Un cours annulé peut être reporté : le système crée une nouvelle séance liée (« remplace ») et propose les prochains créneaux libres communs à tous les participants.</w:t>
      </w:r>
    </w:p>
    <w:p>
      <w:pPr>
        <w:pStyle w:val="Heading2"/>
        <w:spacing w:after="150" w:before="300"/>
      </w:pPr>
      <w:r>
        <w:t xml:space="preserve">7.3 Écoles de langues : groupes à la carte et niveaux</w:t>
      </w:r>
    </w:p>
    <w:p>
      <w:pPr>
        <w:pStyle w:val="ListParagraph"/>
        <w:numPr>
          <w:ilvl w:val="0"/>
          <w:numId w:val="2"/>
        </w:numPr>
        <w:spacing w:after="80"/>
      </w:pPr>
      <w:r>
        <w:rPr>
          <w:b w:val="false"/>
          <w:bCs w:val="false"/>
        </w:rPr>
        <w:t xml:space="preserve">Un apprenant peut appartenir à plusieurs groupes simultanément (ex. Anglais B1 + Espagnol A2) ; le modèle « Séance pivot » gère nativement ce cas car l'inscription élève↔groupe est une relation many-to-many indépendante du planning.</w:t>
      </w:r>
    </w:p>
    <w:p>
      <w:pPr>
        <w:pStyle w:val="ListParagraph"/>
        <w:numPr>
          <w:ilvl w:val="0"/>
          <w:numId w:val="2"/>
        </w:numPr>
        <w:spacing w:after="80"/>
      </w:pPr>
      <w:r>
        <w:rPr>
          <w:b w:val="false"/>
          <w:bCs w:val="false"/>
        </w:rPr>
        <w:t xml:space="preserve">Les sessions courtes (intensifs, cours à la demande) suivent le même moteur, avec une durée de session variable au lieu d'une année scolaire fixe.</w:t>
      </w:r>
    </w:p>
    <w:p>
      <w:pPr>
        <w:pStyle w:val="ListParagraph"/>
        <w:numPr>
          <w:ilvl w:val="0"/>
          <w:numId w:val="2"/>
        </w:numPr>
        <w:spacing w:after="80"/>
      </w:pPr>
      <w:r>
        <w:rPr>
          <w:b w:val="false"/>
          <w:bCs w:val="false"/>
        </w:rPr>
        <w:t xml:space="preserve">Réservation en libre-service (façon Bookeo) : un élève peut réserver un créneau ouvert directement, sous réserve que le moteur de règles dures valide la disponibilité en temps réel avant confirmation.</w:t>
      </w:r>
    </w:p>
    <w:p>
      <w:pPr>
        <w:pStyle w:val="Heading2"/>
        <w:spacing w:after="150" w:before="300"/>
      </w:pPr>
      <w:r>
        <w:t xml:space="preserve">7.4 Multi-sites</w:t>
      </w:r>
    </w:p>
    <w:p>
      <w:pPr>
        <w:pStyle w:val="ListParagraph"/>
        <w:numPr>
          <w:ilvl w:val="0"/>
          <w:numId w:val="2"/>
        </w:numPr>
        <w:spacing w:after="80"/>
      </w:pPr>
      <w:r>
        <w:rPr>
          <w:b w:val="false"/>
          <w:bCs w:val="false"/>
        </w:rPr>
        <w:t xml:space="preserve">Chaque salle est rattachée à un site ; le moteur ajoute automatiquement une contrainte de temps de trajet minimal entre deux séances consécutives d'un même formateur ou apprenant sur des sites différents.</w:t>
      </w:r>
    </w:p>
    <w:p>
      <w:pPr>
        <w:pStyle w:val="Heading2"/>
        <w:spacing w:after="150" w:before="300"/>
      </w:pPr>
      <w:r>
        <w:t xml:space="preserve">7.5 Jours fériés, vacances, événements exceptionnels</w:t>
      </w:r>
    </w:p>
    <w:p>
      <w:pPr>
        <w:pStyle w:val="ListParagraph"/>
        <w:numPr>
          <w:ilvl w:val="0"/>
          <w:numId w:val="2"/>
        </w:numPr>
        <w:spacing w:after="80"/>
      </w:pPr>
      <w:r>
        <w:rPr>
          <w:b w:val="false"/>
          <w:bCs w:val="false"/>
        </w:rPr>
        <w:t xml:space="preserve">Calendrier académique centralisé : toute période bloquée grise automatiquement les créneaux concernés sur toutes les grilles, sans intervention manuelle répétée.</w:t>
      </w:r>
    </w:p>
    <w:p>
      <w:pPr>
        <w:pStyle w:val="Heading1"/>
        <w:spacing w:after="200" w:before="400"/>
      </w:pPr>
      <w:r>
        <w:t xml:space="preserve">8. Rôles et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Rôle</w:t>
            </w:r>
          </w:p>
        </w:tc>
        <w:tc>
          <w:tcPr>
            <w:tcW w:type="dxa" w:w="3400"/>
            <w:shd w:fill="1F3864" w:val="clear"/>
            <w:tcMar>
              <w:top w:type="dxa" w:w="80"/>
              <w:left w:type="dxa" w:w="100"/>
              <w:bottom w:type="dxa" w:w="80"/>
              <w:right w:type="dxa" w:w="100"/>
            </w:tcMar>
          </w:tcPr>
          <w:p>
            <w:r>
              <w:rPr>
                <w:b/>
                <w:bCs/>
                <w:color w:val="FFFFFF"/>
                <w:sz w:val="20"/>
                <w:szCs w:val="20"/>
              </w:rPr>
              <w:t xml:space="preserve">Peut voir</w:t>
            </w:r>
          </w:p>
        </w:tc>
        <w:tc>
          <w:tcPr>
            <w:tcW w:type="dxa" w:w="3400"/>
            <w:shd w:fill="1F3864" w:val="clear"/>
            <w:tcMar>
              <w:top w:type="dxa" w:w="80"/>
              <w:left w:type="dxa" w:w="100"/>
              <w:bottom w:type="dxa" w:w="80"/>
              <w:right w:type="dxa" w:w="100"/>
            </w:tcMar>
          </w:tcPr>
          <w:p>
            <w:r>
              <w:rPr>
                <w:b/>
                <w:bCs/>
                <w:color w:val="FFFFFF"/>
                <w:sz w:val="20"/>
                <w:szCs w:val="20"/>
              </w:rPr>
              <w:t xml:space="preserve">Peut modifier</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Administrateur / Direction</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Toutes les grilles, tous les sites</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Structure, règles, tous les cours, publication</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Coordinateur pédagogique</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Grilles de son département/niveau</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Cours de son périmètre, propositions de remplacement</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Formateur / Enseignant</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Sa grille personnelle, ses groupes</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Ses disponibilités, ses vœux, demandes d'échange (soumises à validation)</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Apprenant / Élève</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Sa grille personnelle uniquement</w:t>
            </w:r>
          </w:p>
        </w:tc>
        <w:tc>
          <w:tcPr>
            <w:tcW w:type="dxa" w:w="3400"/>
            <w:shd w:fill="EAF1F8" w:val="clear"/>
            <w:tcMar>
              <w:top w:type="dxa" w:w="80"/>
              <w:left w:type="dxa" w:w="100"/>
              <w:bottom w:type="dxa" w:w="80"/>
              <w:right w:type="dxa" w:w="100"/>
            </w:tcMar>
          </w:tcPr>
          <w:p>
            <w:r>
              <w:rPr>
                <w:b w:val="false"/>
                <w:bCs w:val="false"/>
                <w:color w:val="000000"/>
                <w:sz w:val="20"/>
                <w:szCs w:val="20"/>
              </w:rPr>
              <w:t xml:space="preserve">Aucune (lecture seule), sauf réservation libre-service si activée</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Parent (si mineur)</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Grille de l'enfant</w:t>
            </w:r>
          </w:p>
        </w:tc>
        <w:tc>
          <w:tcPr>
            <w:tcW w:type="dxa" w:w="3400"/>
            <w:shd w:fill="FFFFFF" w:val="clear"/>
            <w:tcMar>
              <w:top w:type="dxa" w:w="80"/>
              <w:left w:type="dxa" w:w="100"/>
              <w:bottom w:type="dxa" w:w="80"/>
              <w:right w:type="dxa" w:w="100"/>
            </w:tcMar>
          </w:tcPr>
          <w:p>
            <w:r>
              <w:rPr>
                <w:b w:val="false"/>
                <w:bCs w:val="false"/>
                <w:color w:val="000000"/>
                <w:sz w:val="20"/>
                <w:szCs w:val="20"/>
              </w:rPr>
              <w:t xml:space="preserve">Aucune</w:t>
            </w:r>
          </w:p>
        </w:tc>
      </w:tr>
    </w:tbl>
    <w:p>
      <w:pPr>
        <w:pStyle w:val="Heading1"/>
        <w:spacing w:after="200" w:before="400"/>
      </w:pPr>
      <w:r>
        <w:t xml:space="preserve">9. Ergonomie et expérience utilisateur</w:t>
      </w:r>
    </w:p>
    <w:p>
      <w:pPr>
        <w:pStyle w:val="ListParagraph"/>
        <w:numPr>
          <w:ilvl w:val="0"/>
          <w:numId w:val="2"/>
        </w:numPr>
        <w:spacing w:after="80"/>
      </w:pPr>
      <w:r>
        <w:rPr>
          <w:b/>
          <w:bCs/>
        </w:rPr>
        <w:t xml:space="preserve">Vue unique adaptable : basculer instantanément entre vue jour / semaine / mois / liste, et entre vue par classe, par formateur ou par salle, sans changer de page.</w:t>
      </w:r>
    </w:p>
    <w:p>
      <w:pPr>
        <w:pStyle w:val="ListParagraph"/>
        <w:numPr>
          <w:ilvl w:val="0"/>
          <w:numId w:val="2"/>
        </w:numPr>
        <w:spacing w:after="80"/>
      </w:pPr>
      <w:r>
        <w:rPr>
          <w:b/>
          <w:bCs/>
        </w:rPr>
        <w:t xml:space="preserve">Glisser-déposer partout : déplacer une séance à la souris ou au doigt (mobile), avec aperçu du résultat avant confirmation.</w:t>
      </w:r>
    </w:p>
    <w:p>
      <w:pPr>
        <w:pStyle w:val="ListParagraph"/>
        <w:numPr>
          <w:ilvl w:val="0"/>
          <w:numId w:val="2"/>
        </w:numPr>
        <w:spacing w:after="80"/>
      </w:pPr>
      <w:r>
        <w:rPr>
          <w:b/>
          <w:bCs/>
        </w:rPr>
        <w:t xml:space="preserve">Recherche instantanée de disponibilité : « trouver un créneau commun » pour un formateur + un groupe + une salle en une seule requête.</w:t>
      </w:r>
    </w:p>
    <w:p>
      <w:pPr>
        <w:pStyle w:val="ListParagraph"/>
        <w:numPr>
          <w:ilvl w:val="0"/>
          <w:numId w:val="2"/>
        </w:numPr>
        <w:spacing w:after="80"/>
      </w:pPr>
      <w:r>
        <w:rPr>
          <w:b/>
          <w:bCs/>
        </w:rPr>
        <w:t xml:space="preserve">Notifications ciblées : un changement publié envoie automatiquement une notification (email/app) uniquement aux personnes concernées par ce changement précis.</w:t>
      </w:r>
    </w:p>
    <w:p>
      <w:pPr>
        <w:pStyle w:val="ListParagraph"/>
        <w:numPr>
          <w:ilvl w:val="0"/>
          <w:numId w:val="2"/>
        </w:numPr>
        <w:spacing w:after="80"/>
      </w:pPr>
      <w:r>
        <w:rPr>
          <w:b/>
          <w:bCs/>
        </w:rPr>
        <w:t xml:space="preserve">Accès mobile : consultation de la grille personnelle hors-ligne (cache local), synchronisation à la reconnexion.</w:t>
      </w:r>
    </w:p>
    <w:p>
      <w:pPr>
        <w:pStyle w:val="ListParagraph"/>
        <w:numPr>
          <w:ilvl w:val="0"/>
          <w:numId w:val="2"/>
        </w:numPr>
        <w:spacing w:after="80"/>
      </w:pPr>
      <w:r>
        <w:rPr>
          <w:b/>
          <w:bCs/>
        </w:rPr>
        <w:t xml:space="preserve">Export universel : iCal / Google Agenda / Outlook / PDF / impression, pour ne jamais enfermer l'utilisateur dans un seul outil.</w:t>
      </w:r>
    </w:p>
    <w:p>
      <w:pPr>
        <w:pStyle w:val="ListParagraph"/>
        <w:numPr>
          <w:ilvl w:val="0"/>
          <w:numId w:val="2"/>
        </w:numPr>
        <w:spacing w:after="80"/>
      </w:pPr>
      <w:r>
        <w:rPr>
          <w:b/>
          <w:bCs/>
        </w:rPr>
        <w:t xml:space="preserve">Accessibilité : contrastes suffisants pour le code couleur (associé à des icônes, pas uniquement à la couleur, pour les daltoniens).</w:t>
      </w:r>
    </w:p>
    <w:p>
      <w:pPr>
        <w:pStyle w:val="Heading1"/>
        <w:spacing w:after="200" w:before="400"/>
      </w:pPr>
      <w:r>
        <w:t xml:space="preserve">10. Garanties « zéro bug » : ce qu'il faut construire dès le départ</w:t>
      </w:r>
    </w:p>
    <w:p>
      <w:pPr>
        <w:pStyle w:val="ListParagraph"/>
        <w:numPr>
          <w:ilvl w:val="0"/>
          <w:numId w:val="2"/>
        </w:numPr>
        <w:spacing w:after="80"/>
      </w:pPr>
      <w:r>
        <w:rPr>
          <w:b/>
          <w:bCs/>
        </w:rPr>
        <w:t xml:space="preserve">Transactions atomiques en base de données : aucune séance n'est jamais à moitié écrite ; en cas d'erreur, retour automatique à l'état précédent.</w:t>
      </w:r>
    </w:p>
    <w:p>
      <w:pPr>
        <w:pStyle w:val="ListParagraph"/>
        <w:numPr>
          <w:ilvl w:val="0"/>
          <w:numId w:val="2"/>
        </w:numPr>
        <w:spacing w:after="80"/>
      </w:pPr>
      <w:r>
        <w:rPr>
          <w:b/>
          <w:bCs/>
        </w:rPr>
        <w:t xml:space="preserve">Contraintes d'intégrité au niveau base de données (pas seulement dans le code applicatif) : même une requête directe ne peut pas créer un chevauchement.</w:t>
      </w:r>
    </w:p>
    <w:p>
      <w:pPr>
        <w:pStyle w:val="ListParagraph"/>
        <w:numPr>
          <w:ilvl w:val="0"/>
          <w:numId w:val="2"/>
        </w:numPr>
        <w:spacing w:after="80"/>
      </w:pPr>
      <w:r>
        <w:rPr>
          <w:b/>
          <w:bCs/>
        </w:rPr>
        <w:t xml:space="preserve">Historique complet + undo/redo : chaque action tracée (qui, quand, avant/après), restauration possible à tout moment.</w:t>
      </w:r>
    </w:p>
    <w:p>
      <w:pPr>
        <w:pStyle w:val="ListParagraph"/>
        <w:numPr>
          <w:ilvl w:val="0"/>
          <w:numId w:val="2"/>
        </w:numPr>
        <w:spacing w:after="80"/>
      </w:pPr>
      <w:r>
        <w:rPr>
          <w:b/>
          <w:bCs/>
        </w:rPr>
        <w:t xml:space="preserve">Environnement de test avant publication : toute génération automatique ou import massif se fait d'abord dans un brouillon isolé, jamais directement sur la grille publiée.</w:t>
      </w:r>
    </w:p>
    <w:p>
      <w:pPr>
        <w:pStyle w:val="ListParagraph"/>
        <w:numPr>
          <w:ilvl w:val="0"/>
          <w:numId w:val="2"/>
        </w:numPr>
        <w:spacing w:after="80"/>
      </w:pPr>
      <w:r>
        <w:rPr>
          <w:b/>
          <w:bCs/>
        </w:rPr>
        <w:t xml:space="preserve">Sauvegardes automatiques régulières + export de secours (CSV/JSON) accessible à tout moment par l'administrateur.</w:t>
      </w:r>
    </w:p>
    <w:p>
      <w:pPr>
        <w:pStyle w:val="ListParagraph"/>
        <w:numPr>
          <w:ilvl w:val="0"/>
          <w:numId w:val="2"/>
        </w:numPr>
        <w:spacing w:after="80"/>
      </w:pPr>
      <w:r>
        <w:rPr>
          <w:b/>
          <w:bCs/>
        </w:rPr>
        <w:t xml:space="preserve">Suite de tests automatisés couvrant systématiquement : chevauchements, capacités dépassées, habilitations, jours fériés, fuseaux horaires, imports en doublon.</w:t>
      </w:r>
    </w:p>
    <w:p>
      <w:pPr>
        <w:pStyle w:val="ListParagraph"/>
        <w:numPr>
          <w:ilvl w:val="0"/>
          <w:numId w:val="2"/>
        </w:numPr>
        <w:spacing w:after="80"/>
      </w:pPr>
      <w:r>
        <w:rPr>
          <w:b/>
          <w:bCs/>
        </w:rPr>
        <w:t xml:space="preserve">Mode dégradé : en cas de panne du moteur de règles souples, le système continue de fonctionner en n'appliquant que les règles dures plutôt que de bloquer tout l'outil.</w:t>
      </w:r>
    </w:p>
    <w:p>
      <w:pPr>
        <w:pStyle w:val="Heading1"/>
        <w:spacing w:after="200" w:before="400"/>
      </w:pPr>
      <w:r>
        <w:t xml:space="preserve">11. Recommandation d'architecture technique (résumé)</w:t>
      </w:r>
    </w:p>
    <w:p>
      <w:pPr>
        <w:pStyle w:val="ListParagraph"/>
        <w:numPr>
          <w:ilvl w:val="0"/>
          <w:numId w:val="2"/>
        </w:numPr>
        <w:spacing w:after="80"/>
      </w:pPr>
      <w:r>
        <w:rPr>
          <w:b w:val="false"/>
          <w:bCs w:val="false"/>
        </w:rPr>
        <w:t xml:space="preserve">Base de données relationnelle (PostgreSQL) pour garantir les contraintes d'intégrité et les transactions ACID — indispensable pour la logique anti-conflit.</w:t>
      </w:r>
    </w:p>
    <w:p>
      <w:pPr>
        <w:pStyle w:val="ListParagraph"/>
        <w:numPr>
          <w:ilvl w:val="0"/>
          <w:numId w:val="2"/>
        </w:numPr>
        <w:spacing w:after="80"/>
      </w:pPr>
      <w:r>
        <w:rPr>
          <w:b w:val="false"/>
          <w:bCs w:val="false"/>
        </w:rPr>
        <w:t xml:space="preserve">Moteur de règles isolé du reste de l'application (service dédié), appelé à chaque écriture, pour pouvoir faire évoluer les règles sans toucher à l'interface.</w:t>
      </w:r>
    </w:p>
    <w:p>
      <w:pPr>
        <w:pStyle w:val="ListParagraph"/>
        <w:numPr>
          <w:ilvl w:val="0"/>
          <w:numId w:val="2"/>
        </w:numPr>
        <w:spacing w:after="80"/>
      </w:pPr>
      <w:r>
        <w:rPr>
          <w:b w:val="false"/>
          <w:bCs w:val="false"/>
        </w:rPr>
        <w:t xml:space="preserve">File d'attente asynchrone pour les générations automatiques longues (contraintes/génétique), avec suivi de progression en temps réel.</w:t>
      </w:r>
    </w:p>
    <w:p>
      <w:pPr>
        <w:pStyle w:val="ListParagraph"/>
        <w:numPr>
          <w:ilvl w:val="0"/>
          <w:numId w:val="2"/>
        </w:numPr>
        <w:spacing w:after="80"/>
      </w:pPr>
      <w:r>
        <w:rPr>
          <w:b w:val="false"/>
          <w:bCs w:val="false"/>
        </w:rPr>
        <w:t xml:space="preserve">API unique consommée à la fois par le web et le mobile, pour garantir que la même logique de validation s'applique partout (jamais de double logique front/back qui diverge).</w:t>
      </w:r>
    </w:p>
    <w:p>
      <w:pPr>
        <w:pStyle w:val="Heading1"/>
        <w:spacing w:after="200" w:before="400"/>
      </w:pPr>
      <w:r>
        <w:t xml:space="preserve">12. Feuille de route de mise en œuvre conseillée</w:t>
      </w:r>
    </w:p>
    <w:p>
      <w:pPr>
        <w:pStyle w:val="ListParagraph"/>
        <w:numPr>
          <w:ilvl w:val="0"/>
          <w:numId w:val="2"/>
        </w:numPr>
        <w:spacing w:after="80"/>
      </w:pPr>
      <w:r>
        <w:rPr>
          <w:b w:val="false"/>
          <w:bCs w:val="false"/>
        </w:rPr>
        <w:t xml:space="preserve">Phase 1 : modèle de données + moteur de règles dures + vue calendrier basique (CRUD séances).</w:t>
      </w:r>
    </w:p>
    <w:p>
      <w:pPr>
        <w:pStyle w:val="ListParagraph"/>
        <w:numPr>
          <w:ilvl w:val="0"/>
          <w:numId w:val="2"/>
        </w:numPr>
        <w:spacing w:after="80"/>
      </w:pPr>
      <w:r>
        <w:rPr>
          <w:b w:val="false"/>
          <w:bCs w:val="false"/>
        </w:rPr>
        <w:t xml:space="preserve">Phase 2 : détection de conflits en temps réel (code couleur), glisser-déposer, publication/brouillon.</w:t>
      </w:r>
    </w:p>
    <w:p>
      <w:pPr>
        <w:pStyle w:val="ListParagraph"/>
        <w:numPr>
          <w:ilvl w:val="0"/>
          <w:numId w:val="2"/>
        </w:numPr>
        <w:spacing w:after="80"/>
      </w:pPr>
      <w:r>
        <w:rPr>
          <w:b w:val="false"/>
          <w:bCs w:val="false"/>
        </w:rPr>
        <w:t xml:space="preserve">Phase 3 : gestion des absences/remplacements, rattrapages, calendrier académique automatisé.</w:t>
      </w:r>
    </w:p>
    <w:p>
      <w:pPr>
        <w:pStyle w:val="ListParagraph"/>
        <w:numPr>
          <w:ilvl w:val="0"/>
          <w:numId w:val="2"/>
        </w:numPr>
        <w:spacing w:after="80"/>
      </w:pPr>
      <w:r>
        <w:rPr>
          <w:b w:val="false"/>
          <w:bCs w:val="false"/>
        </w:rPr>
        <w:t xml:space="preserve">Phase 4 : génération semi-automatique par contraintes, vœux des formateurs, tableau de bord d'indicateurs.</w:t>
      </w:r>
    </w:p>
    <w:p>
      <w:pPr>
        <w:pStyle w:val="ListParagraph"/>
        <w:numPr>
          <w:ilvl w:val="0"/>
          <w:numId w:val="2"/>
        </w:numPr>
        <w:spacing w:after="80"/>
      </w:pPr>
      <w:r>
        <w:rPr>
          <w:b w:val="false"/>
          <w:bCs w:val="false"/>
        </w:rPr>
        <w:t xml:space="preserve">Phase 5 : réservation libre-service élève, multi-sites, exports/notifications avancés, application mobile.</w:t>
      </w:r>
    </w:p>
    <w:p>
      <w:pPr>
        <w:pBdr>
          <w:left w:val="single" w:color="2E5C8A" w:sz="12" w:space="8"/>
        </w:pBdr>
        <w:spacing w:after="200"/>
        <w:ind w:left="200"/>
      </w:pPr>
      <w:r>
        <w:rPr>
          <w:i/>
          <w:iCs/>
          <w:color w:val="666666"/>
          <w:sz w:val="20"/>
          <w:szCs w:val="20"/>
        </w:rPr>
        <w:t xml:space="preserve">Cet ordre garantit qu'à chaque phase livrée, l'outil est déjà utilisable et sans bug sur son périmètre — plutôt que de livrer une seule fois un système complexe difficile à valider dans son ensemble.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5C8A"/>
      <w:sz w:val="26"/>
      <w:szCs w:val="26"/>
    </w:rPr>
  </w:style>
  <w:style w:type="paragraph" w:styleId="Heading3">
    <w:name w:val="Heading 3"/>
    <w:basedOn w:val="Normal"/>
    <w:next w:val="Normal"/>
    <w:qFormat/>
    <w:pPr>
      <w:spacing w:after="100" w:before="200"/>
      <w:outlineLvl w:val="2"/>
    </w:pPr>
    <w:rPr>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2026-07-24T14:24:36.024Z</dcterms:created>
  <dcterms:modified xsi:type="dcterms:W3CDTF">2026-07-24T14:24:36.038Z</dcterms:modified>
</cp:coreProperties>
</file>

<file path=docProps/custom.xml><?xml version="1.0" encoding="utf-8"?>
<Properties xmlns="http://schemas.openxmlformats.org/officeDocument/2006/custom-properties" xmlns:vt="http://schemas.openxmlformats.org/officeDocument/2006/docPropsVTypes"/>
</file>