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9C37" w14:textId="161A0F23" w:rsidR="0023567D" w:rsidRPr="009C4559" w:rsidRDefault="00282E3A">
      <w:pPr>
        <w:rPr>
          <w:rFonts w:asciiTheme="majorBidi" w:hAnsiTheme="majorBidi" w:cstheme="majorBidi"/>
        </w:rPr>
      </w:pPr>
      <w:r w:rsidRPr="009C4559">
        <w:rPr>
          <w:rFonts w:asciiTheme="majorBidi" w:hAnsiTheme="majorBidi" w:cstheme="majorBidi"/>
        </w:rPr>
        <w:t>亞漢文清真言</w:t>
      </w:r>
    </w:p>
    <w:p w14:paraId="3CCFD410" w14:textId="0C0457B3" w:rsidR="00974A44" w:rsidRPr="009C4559" w:rsidRDefault="00974A44">
      <w:pPr>
        <w:rPr>
          <w:rFonts w:asciiTheme="majorBidi" w:hAnsiTheme="majorBidi" w:cstheme="majorBidi"/>
        </w:rPr>
      </w:pPr>
      <w:r w:rsidRPr="009C4559">
        <w:rPr>
          <w:rFonts w:asciiTheme="majorBidi" w:hAnsiTheme="majorBidi" w:cstheme="majorBidi"/>
        </w:rPr>
        <w:t xml:space="preserve">A compilation of Arabic </w:t>
      </w:r>
      <w:r w:rsidR="00073DDB" w:rsidRPr="009C4559">
        <w:rPr>
          <w:rFonts w:asciiTheme="majorBidi" w:hAnsiTheme="majorBidi" w:cstheme="majorBidi"/>
        </w:rPr>
        <w:t xml:space="preserve">professions of faith and </w:t>
      </w:r>
      <w:r w:rsidRPr="009C4559">
        <w:rPr>
          <w:rFonts w:asciiTheme="majorBidi" w:hAnsiTheme="majorBidi" w:cstheme="majorBidi"/>
        </w:rPr>
        <w:t>prayers (Kalima</w:t>
      </w:r>
      <w:r w:rsidR="00073DDB" w:rsidRPr="009C4559">
        <w:rPr>
          <w:rFonts w:asciiTheme="majorBidi" w:hAnsiTheme="majorBidi" w:cstheme="majorBidi"/>
        </w:rPr>
        <w:t>h</w:t>
      </w:r>
      <w:r w:rsidRPr="009C4559">
        <w:rPr>
          <w:rFonts w:asciiTheme="majorBidi" w:hAnsiTheme="majorBidi" w:cstheme="majorBidi"/>
        </w:rPr>
        <w:t xml:space="preserve">) with interlinear translation into Chinese. These include Kalimah </w:t>
      </w:r>
      <w:proofErr w:type="spellStart"/>
      <w:r w:rsidRPr="009C4559">
        <w:rPr>
          <w:rFonts w:asciiTheme="majorBidi" w:hAnsiTheme="majorBidi" w:cstheme="majorBidi"/>
        </w:rPr>
        <w:t>Ṭayyiba</w:t>
      </w:r>
      <w:r w:rsidR="00073DDB" w:rsidRPr="009C4559">
        <w:rPr>
          <w:rFonts w:asciiTheme="majorBidi" w:hAnsiTheme="majorBidi" w:cstheme="majorBidi"/>
        </w:rPr>
        <w:t>h</w:t>
      </w:r>
      <w:proofErr w:type="spellEnd"/>
      <w:r w:rsidRPr="009C4559">
        <w:rPr>
          <w:rFonts w:asciiTheme="majorBidi" w:hAnsiTheme="majorBidi" w:cstheme="majorBidi"/>
        </w:rPr>
        <w:t>; Kalima</w:t>
      </w:r>
      <w:r w:rsidR="00073DDB" w:rsidRPr="009C4559">
        <w:rPr>
          <w:rFonts w:asciiTheme="majorBidi" w:hAnsiTheme="majorBidi" w:cstheme="majorBidi"/>
        </w:rPr>
        <w:t>h</w:t>
      </w:r>
      <w:r w:rsidRPr="009C4559">
        <w:rPr>
          <w:rFonts w:asciiTheme="majorBidi" w:hAnsiTheme="majorBidi" w:cstheme="majorBidi"/>
        </w:rPr>
        <w:t xml:space="preserve"> </w:t>
      </w:r>
      <w:proofErr w:type="spellStart"/>
      <w:r w:rsidRPr="009C4559">
        <w:rPr>
          <w:rFonts w:asciiTheme="majorBidi" w:hAnsiTheme="majorBidi" w:cstheme="majorBidi"/>
        </w:rPr>
        <w:t>Ajāba</w:t>
      </w:r>
      <w:r w:rsidR="00073DDB" w:rsidRPr="009C4559">
        <w:rPr>
          <w:rFonts w:asciiTheme="majorBidi" w:hAnsiTheme="majorBidi" w:cstheme="majorBidi"/>
        </w:rPr>
        <w:t>h</w:t>
      </w:r>
      <w:proofErr w:type="spellEnd"/>
      <w:r w:rsidRPr="009C4559">
        <w:rPr>
          <w:rFonts w:asciiTheme="majorBidi" w:hAnsiTheme="majorBidi" w:cstheme="majorBidi"/>
        </w:rPr>
        <w:t>;</w:t>
      </w:r>
      <w:r w:rsidR="00073DDB" w:rsidRPr="009C4559">
        <w:rPr>
          <w:rFonts w:asciiTheme="majorBidi" w:hAnsiTheme="majorBidi" w:cstheme="majorBidi"/>
        </w:rPr>
        <w:t xml:space="preserve"> Kalimah </w:t>
      </w:r>
      <w:proofErr w:type="spellStart"/>
      <w:r w:rsidR="00073DDB" w:rsidRPr="009C4559">
        <w:rPr>
          <w:rFonts w:asciiTheme="majorBidi" w:hAnsiTheme="majorBidi" w:cstheme="majorBidi"/>
        </w:rPr>
        <w:t>Shahādah</w:t>
      </w:r>
      <w:proofErr w:type="spellEnd"/>
      <w:r w:rsidR="00073DDB" w:rsidRPr="009C4559">
        <w:rPr>
          <w:rFonts w:asciiTheme="majorBidi" w:hAnsiTheme="majorBidi" w:cstheme="majorBidi"/>
        </w:rPr>
        <w:t xml:space="preserve">; Kalimah </w:t>
      </w:r>
      <w:proofErr w:type="spellStart"/>
      <w:r w:rsidR="00073DDB" w:rsidRPr="009C4559">
        <w:rPr>
          <w:rFonts w:asciiTheme="majorBidi" w:hAnsiTheme="majorBidi" w:cstheme="majorBidi"/>
        </w:rPr>
        <w:t>Istighfār</w:t>
      </w:r>
      <w:proofErr w:type="spellEnd"/>
      <w:r w:rsidR="00073DDB" w:rsidRPr="009C4559">
        <w:rPr>
          <w:rFonts w:asciiTheme="majorBidi" w:hAnsiTheme="majorBidi" w:cstheme="majorBidi"/>
        </w:rPr>
        <w:t>.</w:t>
      </w:r>
    </w:p>
    <w:p w14:paraId="61AC4A61" w14:textId="11351769" w:rsidR="00282E3A" w:rsidRPr="009C4559" w:rsidRDefault="00282E3A">
      <w:pPr>
        <w:rPr>
          <w:rFonts w:asciiTheme="majorBidi" w:hAnsiTheme="majorBidi" w:cstheme="majorBidi"/>
        </w:rPr>
      </w:pPr>
      <w:r w:rsidRPr="009C4559">
        <w:rPr>
          <w:rFonts w:asciiTheme="majorBidi" w:hAnsiTheme="majorBidi" w:cstheme="majorBidi"/>
        </w:rPr>
        <w:t xml:space="preserve">At the back, an advertisement for </w:t>
      </w:r>
      <w:r w:rsidRPr="009C4559">
        <w:rPr>
          <w:rFonts w:asciiTheme="majorBidi" w:hAnsiTheme="majorBidi" w:cstheme="majorBidi"/>
        </w:rPr>
        <w:t>指迷</w:t>
      </w:r>
      <w:r w:rsidR="00974A44" w:rsidRPr="009C4559">
        <w:rPr>
          <w:rFonts w:asciiTheme="majorBidi" w:hAnsiTheme="majorBidi" w:cstheme="majorBidi"/>
        </w:rPr>
        <w:t>考証</w:t>
      </w:r>
      <w:r w:rsidR="00974A44" w:rsidRPr="009C4559">
        <w:rPr>
          <w:rFonts w:asciiTheme="majorBidi" w:hAnsiTheme="majorBidi" w:cstheme="majorBidi"/>
        </w:rPr>
        <w:t xml:space="preserve">: (by </w:t>
      </w:r>
      <w:r w:rsidR="00974A44" w:rsidRPr="009C4559">
        <w:rPr>
          <w:rFonts w:asciiTheme="majorBidi" w:hAnsiTheme="majorBidi" w:cstheme="majorBidi"/>
        </w:rPr>
        <w:t>馬意</w:t>
      </w:r>
      <w:r w:rsidR="00974A44" w:rsidRPr="009C4559">
        <w:rPr>
          <w:rFonts w:asciiTheme="majorBidi" w:hAnsiTheme="majorBidi" w:cstheme="majorBidi"/>
        </w:rPr>
        <w:t xml:space="preserve">?). </w:t>
      </w:r>
      <w:r w:rsidRPr="009C4559">
        <w:rPr>
          <w:rFonts w:asciiTheme="majorBidi" w:hAnsiTheme="majorBidi" w:cstheme="majorBidi"/>
        </w:rPr>
        <w:t>An examination of the principles of various teachings, including Buddhism and Christianity, in comparison to Islam. The book is directed explicitly to Muslim readers.</w:t>
      </w:r>
    </w:p>
    <w:p w14:paraId="61FD8F4D" w14:textId="77777777" w:rsidR="00073DDB" w:rsidRPr="009C4559" w:rsidRDefault="00073DDB">
      <w:pPr>
        <w:rPr>
          <w:rFonts w:asciiTheme="majorBidi" w:hAnsiTheme="majorBidi" w:cstheme="majorBidi"/>
        </w:rPr>
      </w:pPr>
    </w:p>
    <w:p w14:paraId="69C628AA" w14:textId="4D37FA14" w:rsidR="00073DDB" w:rsidRPr="009C4559" w:rsidRDefault="00C27142">
      <w:pPr>
        <w:rPr>
          <w:rFonts w:asciiTheme="majorBidi" w:hAnsiTheme="majorBidi" w:cstheme="majorBidi"/>
        </w:rPr>
      </w:pPr>
      <w:r w:rsidRPr="009C4559">
        <w:rPr>
          <w:rFonts w:asciiTheme="majorBidi" w:hAnsiTheme="majorBidi" w:cstheme="majorBidi"/>
        </w:rPr>
        <w:t>伊斯蘭信仰</w:t>
      </w:r>
      <w:r w:rsidRPr="009C4559">
        <w:rPr>
          <w:rFonts w:asciiTheme="majorBidi" w:hAnsiTheme="majorBidi" w:cstheme="majorBidi"/>
        </w:rPr>
        <w:t xml:space="preserve"> + </w:t>
      </w:r>
      <w:r w:rsidRPr="009C4559">
        <w:rPr>
          <w:rFonts w:asciiTheme="majorBidi" w:hAnsiTheme="majorBidi" w:cstheme="majorBidi"/>
        </w:rPr>
        <w:t>伊斯蘭遺囑</w:t>
      </w:r>
    </w:p>
    <w:p w14:paraId="468505D9" w14:textId="29B8EDD4" w:rsidR="00C27142" w:rsidRDefault="009C4559">
      <w:pPr>
        <w:rPr>
          <w:rFonts w:asciiTheme="majorBidi" w:hAnsiTheme="majorBidi" w:cstheme="majorBidi"/>
        </w:rPr>
      </w:pPr>
      <w:r w:rsidRPr="009C4559">
        <w:rPr>
          <w:rFonts w:asciiTheme="majorBidi" w:hAnsiTheme="majorBidi" w:cstheme="majorBidi"/>
        </w:rPr>
        <w:t xml:space="preserve">Two short works, both translations into Chinese. The first work ends with an Arabic colophon recording the date of the translation by </w:t>
      </w:r>
      <w:proofErr w:type="spellStart"/>
      <w:r w:rsidRPr="009C4559">
        <w:rPr>
          <w:rFonts w:asciiTheme="majorBidi" w:hAnsiTheme="majorBidi" w:cstheme="majorBidi"/>
        </w:rPr>
        <w:t>Muḥammad</w:t>
      </w:r>
      <w:proofErr w:type="spellEnd"/>
      <w:r w:rsidRPr="009C4559">
        <w:rPr>
          <w:rFonts w:asciiTheme="majorBidi" w:hAnsiTheme="majorBidi" w:cstheme="majorBidi"/>
        </w:rPr>
        <w:t xml:space="preserve"> ‘Abd al </w:t>
      </w:r>
      <w:proofErr w:type="spellStart"/>
      <w:r w:rsidRPr="009C4559">
        <w:rPr>
          <w:rFonts w:asciiTheme="majorBidi" w:hAnsiTheme="majorBidi" w:cstheme="majorBidi"/>
        </w:rPr>
        <w:t>Karīm</w:t>
      </w:r>
      <w:proofErr w:type="spellEnd"/>
      <w:r>
        <w:rPr>
          <w:rFonts w:asciiTheme="majorBidi" w:hAnsiTheme="majorBidi" w:cstheme="majorBidi"/>
        </w:rPr>
        <w:t xml:space="preserve">, presumably the same translator listed in Chinese at the beginning of the work, i.e. </w:t>
      </w:r>
      <w:r>
        <w:rPr>
          <w:rFonts w:asciiTheme="majorBidi" w:hAnsiTheme="majorBidi" w:cstheme="majorBidi" w:hint="eastAsia"/>
        </w:rPr>
        <w:t>許兆文</w:t>
      </w:r>
      <w:r w:rsidRPr="009C4559">
        <w:rPr>
          <w:rFonts w:asciiTheme="majorBidi" w:hAnsiTheme="majorBidi" w:cstheme="majorBidi"/>
        </w:rPr>
        <w:t>. The</w:t>
      </w:r>
      <w:r>
        <w:rPr>
          <w:rFonts w:asciiTheme="majorBidi" w:hAnsiTheme="majorBidi" w:cstheme="majorBidi"/>
        </w:rPr>
        <w:t xml:space="preserve"> second work is preceded by a two-page Chinese - Arabic vocabulary of key terms from the second text, arranged by chapter.</w:t>
      </w:r>
      <w:r w:rsidRPr="009C4559">
        <w:rPr>
          <w:rFonts w:asciiTheme="majorBidi" w:hAnsiTheme="majorBidi" w:cstheme="majorBidi"/>
        </w:rPr>
        <w:t xml:space="preserve"> On the back cover, an endorsement by </w:t>
      </w:r>
      <w:r w:rsidRPr="009C4559">
        <w:rPr>
          <w:rFonts w:asciiTheme="majorBidi" w:hAnsiTheme="majorBidi" w:cstheme="majorBidi"/>
        </w:rPr>
        <w:t>馬瑞圖</w:t>
      </w:r>
      <w:r w:rsidRPr="009C4559">
        <w:rPr>
          <w:rFonts w:asciiTheme="majorBidi" w:hAnsiTheme="majorBidi" w:cstheme="majorBidi"/>
        </w:rPr>
        <w:t xml:space="preserve">, </w:t>
      </w:r>
      <w:r w:rsidRPr="009C4559">
        <w:rPr>
          <w:rFonts w:asciiTheme="majorBidi" w:hAnsiTheme="majorBidi" w:cstheme="majorBidi"/>
        </w:rPr>
        <w:t>廣州市回文大學教授</w:t>
      </w:r>
      <w:r w:rsidR="00346C25">
        <w:rPr>
          <w:rFonts w:asciiTheme="majorBidi" w:hAnsiTheme="majorBidi" w:cstheme="majorBidi"/>
        </w:rPr>
        <w:t xml:space="preserve">, says that the work is useful both for students and for ordinary Muslims. The first work is a general introduction to the faith, with explanations of </w:t>
      </w:r>
      <w:r w:rsidR="007166A0">
        <w:rPr>
          <w:rFonts w:asciiTheme="majorBidi" w:hAnsiTheme="majorBidi" w:cstheme="majorBidi"/>
        </w:rPr>
        <w:t xml:space="preserve">God, creation, </w:t>
      </w:r>
      <w:r w:rsidR="00346C25">
        <w:rPr>
          <w:rFonts w:asciiTheme="majorBidi" w:hAnsiTheme="majorBidi" w:cstheme="majorBidi"/>
        </w:rPr>
        <w:t xml:space="preserve">the nature of the Quran, the role of Muhammad as the ultimate prophet, the rightly guided caliphs, </w:t>
      </w:r>
      <w:r w:rsidR="007166A0">
        <w:rPr>
          <w:rFonts w:asciiTheme="majorBidi" w:hAnsiTheme="majorBidi" w:cstheme="majorBidi"/>
        </w:rPr>
        <w:t xml:space="preserve">and </w:t>
      </w:r>
      <w:r w:rsidR="00346C25">
        <w:rPr>
          <w:rFonts w:asciiTheme="majorBidi" w:hAnsiTheme="majorBidi" w:cstheme="majorBidi"/>
        </w:rPr>
        <w:t xml:space="preserve">the </w:t>
      </w:r>
      <w:proofErr w:type="spellStart"/>
      <w:r w:rsidR="00346C25">
        <w:rPr>
          <w:rFonts w:asciiTheme="majorBidi" w:hAnsiTheme="majorBidi" w:cstheme="majorBidi"/>
        </w:rPr>
        <w:t>sahaba</w:t>
      </w:r>
      <w:proofErr w:type="spellEnd"/>
      <w:r w:rsidR="00346C25">
        <w:rPr>
          <w:rFonts w:asciiTheme="majorBidi" w:hAnsiTheme="majorBidi" w:cstheme="majorBidi"/>
        </w:rPr>
        <w:t>.</w:t>
      </w:r>
      <w:r w:rsidR="007166A0">
        <w:rPr>
          <w:rFonts w:asciiTheme="majorBidi" w:hAnsiTheme="majorBidi" w:cstheme="majorBidi"/>
        </w:rPr>
        <w:t xml:space="preserve"> The second work covers similar </w:t>
      </w:r>
      <w:proofErr w:type="gramStart"/>
      <w:r w:rsidR="007166A0">
        <w:rPr>
          <w:rFonts w:asciiTheme="majorBidi" w:hAnsiTheme="majorBidi" w:cstheme="majorBidi"/>
        </w:rPr>
        <w:t>ground</w:t>
      </w:r>
      <w:proofErr w:type="gramEnd"/>
      <w:r w:rsidR="007166A0">
        <w:rPr>
          <w:rFonts w:asciiTheme="majorBidi" w:hAnsiTheme="majorBidi" w:cstheme="majorBidi"/>
        </w:rPr>
        <w:t>, but in the form of a long testimony of faith, in the first person.</w:t>
      </w:r>
    </w:p>
    <w:p w14:paraId="74A0B675" w14:textId="77777777" w:rsidR="00BC05F3" w:rsidRDefault="00BC05F3">
      <w:pPr>
        <w:rPr>
          <w:rFonts w:asciiTheme="majorBidi" w:hAnsiTheme="majorBidi" w:cstheme="majorBidi"/>
        </w:rPr>
      </w:pPr>
    </w:p>
    <w:p w14:paraId="2260D17C" w14:textId="09F41A46" w:rsidR="00BC05F3" w:rsidRDefault="00BC05F3">
      <w:pPr>
        <w:rPr>
          <w:rFonts w:asciiTheme="majorBidi" w:hAnsiTheme="majorBidi" w:cstheme="majorBidi"/>
        </w:rPr>
      </w:pPr>
      <w:r>
        <w:rPr>
          <w:rFonts w:asciiTheme="majorBidi" w:hAnsiTheme="majorBidi" w:cstheme="majorBidi" w:hint="eastAsia"/>
        </w:rPr>
        <w:t>伊斯蘭入門</w:t>
      </w:r>
    </w:p>
    <w:p w14:paraId="633BD8AC" w14:textId="658885B5" w:rsidR="00BC05F3" w:rsidRDefault="00713E3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 long primer on</w:t>
      </w:r>
      <w:r w:rsidR="005C24C9">
        <w:rPr>
          <w:rFonts w:asciiTheme="majorBidi" w:hAnsiTheme="majorBidi" w:cstheme="majorBidi"/>
        </w:rPr>
        <w:t xml:space="preserve"> practicing</w:t>
      </w:r>
      <w:r>
        <w:rPr>
          <w:rFonts w:asciiTheme="majorBidi" w:hAnsiTheme="majorBidi" w:cstheme="majorBidi"/>
        </w:rPr>
        <w:t xml:space="preserve"> Islam. It includes 10 selections from the Qur’an </w:t>
      </w:r>
      <w:r w:rsidR="005C24C9">
        <w:rPr>
          <w:rFonts w:asciiTheme="majorBidi" w:hAnsiTheme="majorBidi" w:cstheme="majorBidi"/>
        </w:rPr>
        <w:t>(</w:t>
      </w:r>
      <w:r>
        <w:rPr>
          <w:rFonts w:asciiTheme="majorBidi" w:hAnsiTheme="majorBidi" w:cstheme="majorBidi"/>
        </w:rPr>
        <w:t>with original Arabic, Chinese transliteration, and Chinese translation</w:t>
      </w:r>
      <w:r w:rsidR="005C24C9">
        <w:rPr>
          <w:rFonts w:asciiTheme="majorBidi" w:hAnsiTheme="majorBidi" w:cstheme="majorBidi"/>
        </w:rPr>
        <w:t xml:space="preserve">), instructions on wudu and </w:t>
      </w:r>
      <w:proofErr w:type="spellStart"/>
      <w:r w:rsidR="005C24C9">
        <w:rPr>
          <w:rFonts w:asciiTheme="majorBidi" w:hAnsiTheme="majorBidi" w:cstheme="majorBidi"/>
        </w:rPr>
        <w:t>taharat</w:t>
      </w:r>
      <w:proofErr w:type="spellEnd"/>
      <w:r w:rsidR="005C24C9">
        <w:rPr>
          <w:rFonts w:asciiTheme="majorBidi" w:hAnsiTheme="majorBidi" w:cstheme="majorBidi"/>
        </w:rPr>
        <w:t xml:space="preserve">, </w:t>
      </w:r>
      <w:proofErr w:type="spellStart"/>
      <w:r w:rsidR="005C24C9">
        <w:rPr>
          <w:rFonts w:asciiTheme="majorBidi" w:hAnsiTheme="majorBidi" w:cstheme="majorBidi"/>
        </w:rPr>
        <w:t>expalantion</w:t>
      </w:r>
      <w:proofErr w:type="spellEnd"/>
      <w:r w:rsidR="005C24C9">
        <w:rPr>
          <w:rFonts w:asciiTheme="majorBidi" w:hAnsiTheme="majorBidi" w:cstheme="majorBidi"/>
        </w:rPr>
        <w:t xml:space="preserve"> of the five pillars, etc</w:t>
      </w:r>
      <w:r>
        <w:rPr>
          <w:rFonts w:asciiTheme="majorBidi" w:hAnsiTheme="majorBidi" w:cstheme="majorBidi"/>
        </w:rPr>
        <w:t xml:space="preserve">. </w:t>
      </w:r>
      <w:r w:rsidR="005C24C9">
        <w:rPr>
          <w:rFonts w:asciiTheme="majorBidi" w:hAnsiTheme="majorBidi" w:cstheme="majorBidi"/>
        </w:rPr>
        <w:t>In addition to the Quranic passages, Arabic blessings/prayers associated with various practices are included throughout.</w:t>
      </w:r>
    </w:p>
    <w:p w14:paraId="35D4E563" w14:textId="7472336A" w:rsidR="00DE0AC0" w:rsidRDefault="00DE0A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Offset printing of pages composed of movable type plus </w:t>
      </w:r>
      <w:proofErr w:type="gramStart"/>
      <w:r>
        <w:rPr>
          <w:rFonts w:asciiTheme="majorBidi" w:hAnsiTheme="majorBidi" w:cstheme="majorBidi"/>
        </w:rPr>
        <w:t>hand written</w:t>
      </w:r>
      <w:proofErr w:type="gramEnd"/>
      <w:r>
        <w:rPr>
          <w:rFonts w:asciiTheme="majorBidi" w:hAnsiTheme="majorBidi" w:cstheme="majorBidi"/>
        </w:rPr>
        <w:t xml:space="preserve"> calligraphy</w:t>
      </w:r>
    </w:p>
    <w:p w14:paraId="011BB292" w14:textId="01AFA9B5" w:rsidR="00BC05F3" w:rsidRDefault="00BC05F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Edi</w:t>
      </w:r>
      <w:r w:rsidR="00E93D9C">
        <w:rPr>
          <w:rFonts w:asciiTheme="majorBidi" w:hAnsiTheme="majorBidi" w:cstheme="majorBidi"/>
        </w:rPr>
        <w:t xml:space="preserve">tors: </w:t>
      </w:r>
      <w:r w:rsidR="00E93D9C">
        <w:rPr>
          <w:rFonts w:asciiTheme="majorBidi" w:hAnsiTheme="majorBidi" w:cstheme="majorBidi" w:hint="eastAsia"/>
        </w:rPr>
        <w:t>王敬一</w:t>
      </w:r>
      <w:r w:rsidR="00E93D9C">
        <w:rPr>
          <w:rFonts w:asciiTheme="majorBidi" w:hAnsiTheme="majorBidi" w:cstheme="majorBidi" w:hint="eastAsia"/>
        </w:rPr>
        <w:t xml:space="preserve"> </w:t>
      </w:r>
      <w:r w:rsidR="00E93D9C">
        <w:rPr>
          <w:rFonts w:asciiTheme="majorBidi" w:hAnsiTheme="majorBidi" w:cstheme="majorBidi" w:hint="eastAsia"/>
        </w:rPr>
        <w:t>（法庫）；</w:t>
      </w:r>
      <w:r w:rsidR="00E93D9C">
        <w:rPr>
          <w:rFonts w:asciiTheme="majorBidi" w:hAnsiTheme="majorBidi" w:cstheme="majorBidi" w:hint="eastAsia"/>
        </w:rPr>
        <w:t xml:space="preserve"> </w:t>
      </w:r>
      <w:r w:rsidR="00E93D9C" w:rsidRPr="00E93D9C">
        <w:rPr>
          <w:rFonts w:asciiTheme="majorBidi" w:hAnsiTheme="majorBidi" w:cstheme="majorBidi" w:hint="eastAsia"/>
        </w:rPr>
        <w:t>張馥庭</w:t>
      </w:r>
      <w:r w:rsidR="00E93D9C">
        <w:rPr>
          <w:rFonts w:asciiTheme="majorBidi" w:hAnsiTheme="majorBidi" w:cstheme="majorBidi" w:hint="eastAsia"/>
        </w:rPr>
        <w:t>（綏東）</w:t>
      </w:r>
    </w:p>
    <w:p w14:paraId="01B5C4E6" w14:textId="2EF6850E" w:rsidR="00BC05F3" w:rsidRDefault="00E93D9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Arabic calligraphers: </w:t>
      </w:r>
      <w:r>
        <w:rPr>
          <w:rFonts w:asciiTheme="majorBidi" w:hAnsiTheme="majorBidi" w:cstheme="majorBidi" w:hint="eastAsia"/>
        </w:rPr>
        <w:t>馬勤修</w:t>
      </w:r>
      <w:r>
        <w:rPr>
          <w:rFonts w:asciiTheme="majorBidi" w:hAnsiTheme="majorBidi" w:cstheme="majorBidi" w:hint="eastAsia"/>
        </w:rPr>
        <w:t xml:space="preserve"> </w:t>
      </w:r>
      <w:r>
        <w:rPr>
          <w:rFonts w:asciiTheme="majorBidi" w:hAnsiTheme="majorBidi" w:cstheme="majorBidi" w:hint="eastAsia"/>
        </w:rPr>
        <w:t>（大名）；</w:t>
      </w:r>
      <w:r>
        <w:rPr>
          <w:rFonts w:asciiTheme="majorBidi" w:hAnsiTheme="majorBidi" w:cstheme="majorBidi" w:hint="eastAsia"/>
        </w:rPr>
        <w:t xml:space="preserve"> </w:t>
      </w:r>
      <w:r w:rsidR="00713E3A">
        <w:rPr>
          <w:rFonts w:asciiTheme="majorBidi" w:hAnsiTheme="majorBidi" w:cstheme="majorBidi" w:hint="eastAsia"/>
        </w:rPr>
        <w:t>李張清</w:t>
      </w:r>
      <w:r w:rsidR="00713E3A">
        <w:rPr>
          <w:rFonts w:asciiTheme="majorBidi" w:hAnsiTheme="majorBidi" w:cstheme="majorBidi" w:hint="eastAsia"/>
        </w:rPr>
        <w:t xml:space="preserve"> </w:t>
      </w:r>
      <w:r w:rsidR="00713E3A">
        <w:rPr>
          <w:rFonts w:asciiTheme="majorBidi" w:hAnsiTheme="majorBidi" w:cstheme="majorBidi" w:hint="eastAsia"/>
        </w:rPr>
        <w:t>（宣化）</w:t>
      </w:r>
    </w:p>
    <w:p w14:paraId="757096E3" w14:textId="77777777" w:rsidR="00DE0AC0" w:rsidRDefault="00DE0AC0">
      <w:pPr>
        <w:rPr>
          <w:rFonts w:asciiTheme="majorBidi" w:hAnsiTheme="majorBidi" w:cstheme="majorBidi"/>
        </w:rPr>
      </w:pPr>
    </w:p>
    <w:p w14:paraId="30DD4F90" w14:textId="5705518E" w:rsidR="00DE0AC0" w:rsidRDefault="00DE0AC0">
      <w:pPr>
        <w:rPr>
          <w:rFonts w:asciiTheme="majorBidi" w:hAnsiTheme="majorBidi" w:cstheme="majorBidi"/>
        </w:rPr>
      </w:pPr>
      <w:r w:rsidRPr="00DE0AC0">
        <w:rPr>
          <w:rFonts w:asciiTheme="majorBidi" w:hAnsiTheme="majorBidi" w:cstheme="majorBidi" w:hint="eastAsia"/>
        </w:rPr>
        <w:t>伊斯蘭教的認識</w:t>
      </w:r>
    </w:p>
    <w:p w14:paraId="353AAA97" w14:textId="23343ACE" w:rsidR="00DE0AC0" w:rsidRDefault="00DE0A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First edition. Moveable type Chinese and Arabic, possibly reproduced by offset. An introduction to Islam, with extensive quotation from the Qur’an in Arabic with Chinese translation.</w:t>
      </w:r>
      <w:r w:rsidR="00201833">
        <w:rPr>
          <w:rFonts w:asciiTheme="majorBidi" w:hAnsiTheme="majorBidi" w:cstheme="majorBidi"/>
        </w:rPr>
        <w:t xml:space="preserve"> The </w:t>
      </w:r>
      <w:r w:rsidR="00201833">
        <w:rPr>
          <w:rFonts w:asciiTheme="majorBidi" w:hAnsiTheme="majorBidi" w:cstheme="majorBidi"/>
        </w:rPr>
        <w:lastRenderedPageBreak/>
        <w:t xml:space="preserve">language is very close to spoken Chinese. </w:t>
      </w:r>
      <w:r w:rsidR="00BA7DCC">
        <w:rPr>
          <w:rFonts w:asciiTheme="majorBidi" w:hAnsiTheme="majorBidi" w:cstheme="majorBidi"/>
        </w:rPr>
        <w:t xml:space="preserve">It includes explanations of theological concepts such as </w:t>
      </w:r>
      <w:proofErr w:type="spellStart"/>
      <w:r w:rsidR="00BA7DCC">
        <w:rPr>
          <w:rFonts w:asciiTheme="majorBidi" w:hAnsiTheme="majorBidi" w:cstheme="majorBidi"/>
        </w:rPr>
        <w:t>wujud</w:t>
      </w:r>
      <w:proofErr w:type="spellEnd"/>
      <w:r w:rsidR="00BA7DCC">
        <w:rPr>
          <w:rFonts w:asciiTheme="majorBidi" w:hAnsiTheme="majorBidi" w:cstheme="majorBidi"/>
        </w:rPr>
        <w:t xml:space="preserve"> and tawhid, with insertion of the Arabic words for these concepts.</w:t>
      </w:r>
    </w:p>
    <w:p w14:paraId="71AC825B" w14:textId="77777777" w:rsidR="00006715" w:rsidRDefault="00006715">
      <w:pPr>
        <w:rPr>
          <w:rFonts w:asciiTheme="majorBidi" w:hAnsiTheme="majorBidi" w:cstheme="majorBidi"/>
        </w:rPr>
      </w:pPr>
    </w:p>
    <w:p w14:paraId="33B6BEFD" w14:textId="77777777" w:rsidR="00006715" w:rsidRPr="00006715" w:rsidRDefault="00006715" w:rsidP="00006715">
      <w:pPr>
        <w:spacing w:after="0" w:line="240" w:lineRule="auto"/>
        <w:rPr>
          <w:rFonts w:ascii="SimSun" w:eastAsia="SimSun" w:hAnsi="SimSun" w:cs="Arial"/>
          <w:color w:val="000000"/>
          <w:kern w:val="0"/>
          <w:sz w:val="28"/>
          <w:szCs w:val="28"/>
          <w14:ligatures w14:val="none"/>
        </w:rPr>
      </w:pPr>
      <w:r w:rsidRPr="00006715">
        <w:rPr>
          <w:rFonts w:ascii="SimSun" w:eastAsia="SimSun" w:hAnsi="SimSun" w:cs="Arial" w:hint="eastAsia"/>
          <w:color w:val="000000"/>
          <w:kern w:val="0"/>
          <w:sz w:val="28"/>
          <w:szCs w:val="28"/>
          <w14:ligatures w14:val="none"/>
        </w:rPr>
        <w:t>實錄寶訓</w:t>
      </w:r>
    </w:p>
    <w:p w14:paraId="00541CAF" w14:textId="77777777" w:rsidR="00006715" w:rsidRDefault="00006715">
      <w:pPr>
        <w:rPr>
          <w:rFonts w:asciiTheme="majorBidi" w:hAnsiTheme="majorBidi" w:cstheme="majorBidi"/>
        </w:rPr>
      </w:pPr>
    </w:p>
    <w:p w14:paraId="25E6CE5A" w14:textId="77777777" w:rsidR="00BC6A53" w:rsidRDefault="0000671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Pithy moral exhortations, which the work implies are derived from the life of the prophet Muhammad. Many of the exhortations regard etiquette and </w:t>
      </w:r>
      <w:proofErr w:type="gramStart"/>
      <w:r>
        <w:rPr>
          <w:rFonts w:asciiTheme="majorBidi" w:hAnsiTheme="majorBidi" w:cstheme="majorBidi"/>
        </w:rPr>
        <w:t>comportment</w:t>
      </w:r>
      <w:proofErr w:type="gramEnd"/>
      <w:r>
        <w:rPr>
          <w:rFonts w:asciiTheme="majorBidi" w:hAnsiTheme="majorBidi" w:cstheme="majorBidi"/>
        </w:rPr>
        <w:t xml:space="preserve"> in daily life. These may be drawn from the Sunnah, but the connection is unclear in the maxim-like phrasing.</w:t>
      </w:r>
    </w:p>
    <w:p w14:paraId="320D0BC2" w14:textId="77777777" w:rsidR="00BC6A53" w:rsidRDefault="00BC6A53">
      <w:pPr>
        <w:rPr>
          <w:rFonts w:asciiTheme="majorBidi" w:hAnsiTheme="majorBidi" w:cstheme="majorBidi"/>
        </w:rPr>
      </w:pPr>
    </w:p>
    <w:p w14:paraId="55538D1D" w14:textId="77777777" w:rsidR="00BC6A53" w:rsidRDefault="00BC6A53">
      <w:pPr>
        <w:rPr>
          <w:rFonts w:asciiTheme="majorBidi" w:hAnsiTheme="majorBidi" w:cstheme="majorBidi"/>
        </w:rPr>
      </w:pPr>
    </w:p>
    <w:p w14:paraId="773A497C" w14:textId="77777777" w:rsidR="00BC6A53" w:rsidRDefault="00BC6A5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Last book:</w:t>
      </w:r>
    </w:p>
    <w:p w14:paraId="3FAF4DEF" w14:textId="77777777" w:rsidR="00BC6A53" w:rsidRDefault="00BC6A53">
      <w:pPr>
        <w:rPr>
          <w:rFonts w:asciiTheme="majorBidi" w:hAnsiTheme="majorBidi" w:cstheme="majorBidi"/>
        </w:rPr>
      </w:pPr>
    </w:p>
    <w:p w14:paraId="0424AC73" w14:textId="14C0767C" w:rsidR="00BC6A53" w:rsidRDefault="00BC6A5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Translator is at Gang Da (Hongkong)</w:t>
      </w:r>
    </w:p>
    <w:p w14:paraId="76821BE9" w14:textId="2C74B7EB" w:rsidR="00BC6A53" w:rsidRDefault="00BC6A5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Chinese commentary on Quran, with a small number of excer</w:t>
      </w:r>
      <w:r w:rsidR="00B90D35">
        <w:rPr>
          <w:rFonts w:asciiTheme="majorBidi" w:hAnsiTheme="majorBidi" w:cstheme="majorBidi"/>
        </w:rPr>
        <w:t>p</w:t>
      </w:r>
      <w:r>
        <w:rPr>
          <w:rFonts w:asciiTheme="majorBidi" w:hAnsiTheme="majorBidi" w:cstheme="majorBidi"/>
        </w:rPr>
        <w:t>ts in calligraphy</w:t>
      </w:r>
    </w:p>
    <w:p w14:paraId="4C16FEE1" w14:textId="4BE049F5" w:rsidR="00006715" w:rsidRDefault="0000671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</w:t>
      </w:r>
    </w:p>
    <w:p w14:paraId="1A370E35" w14:textId="77777777" w:rsidR="00201833" w:rsidRPr="009C4559" w:rsidRDefault="00201833">
      <w:pPr>
        <w:rPr>
          <w:rFonts w:asciiTheme="majorBidi" w:hAnsiTheme="majorBidi" w:cstheme="majorBidi"/>
        </w:rPr>
      </w:pPr>
    </w:p>
    <w:sectPr w:rsidR="00201833" w:rsidRPr="009C45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A3"/>
    <w:rsid w:val="00006715"/>
    <w:rsid w:val="00073DDB"/>
    <w:rsid w:val="001F0BA3"/>
    <w:rsid w:val="00201833"/>
    <w:rsid w:val="0023567D"/>
    <w:rsid w:val="00282E3A"/>
    <w:rsid w:val="00346C25"/>
    <w:rsid w:val="00366E90"/>
    <w:rsid w:val="0043243F"/>
    <w:rsid w:val="005C24C9"/>
    <w:rsid w:val="00713E3A"/>
    <w:rsid w:val="007166A0"/>
    <w:rsid w:val="0084525B"/>
    <w:rsid w:val="00974A44"/>
    <w:rsid w:val="009C4559"/>
    <w:rsid w:val="00B90D35"/>
    <w:rsid w:val="00BA7DCC"/>
    <w:rsid w:val="00BC05F3"/>
    <w:rsid w:val="00BC6A53"/>
    <w:rsid w:val="00C27142"/>
    <w:rsid w:val="00DE0AC0"/>
    <w:rsid w:val="00E93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18FE0"/>
  <w15:chartTrackingRefBased/>
  <w15:docId w15:val="{F5C98CFE-46D6-4C53-83ED-55DAA27C6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0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6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Rian Thum</dc:creator>
  <cp:keywords/>
  <dc:description/>
  <cp:lastModifiedBy>Rian Thum</cp:lastModifiedBy>
  <cp:revision>8</cp:revision>
  <dcterms:created xsi:type="dcterms:W3CDTF">2025-06-18T04:30:00Z</dcterms:created>
  <dcterms:modified xsi:type="dcterms:W3CDTF">2025-06-28T16:47:00Z</dcterms:modified>
</cp:coreProperties>
</file>