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B39B" w14:textId="5CF3F19C" w:rsidR="007B453F" w:rsidRDefault="001218E9" w:rsidP="0060109D">
      <w:pPr>
        <w:pStyle w:val="ListParagraph"/>
        <w:numPr>
          <w:ilvl w:val="0"/>
          <w:numId w:val="1"/>
        </w:numPr>
        <w:rPr>
          <w:lang w:eastAsia="zh-TW"/>
        </w:rPr>
      </w:pPr>
      <w:r>
        <w:rPr>
          <w:rFonts w:hint="eastAsia"/>
          <w:lang w:eastAsia="zh-TW"/>
        </w:rPr>
        <w:t>清真蒙印歌</w:t>
      </w:r>
      <w:r>
        <w:rPr>
          <w:rFonts w:hint="eastAsia"/>
          <w:lang w:eastAsia="zh-TW"/>
        </w:rPr>
        <w:t xml:space="preserve"> </w:t>
      </w:r>
      <w:r>
        <w:rPr>
          <w:rFonts w:hint="eastAsia"/>
          <w:lang w:eastAsia="zh-TW"/>
        </w:rPr>
        <w:t>中華民國十七年四月出版</w:t>
      </w:r>
      <w:r>
        <w:rPr>
          <w:rFonts w:hint="eastAsia"/>
          <w:lang w:eastAsia="zh-TW"/>
        </w:rPr>
        <w:t xml:space="preserve"> </w:t>
      </w:r>
      <w:r>
        <w:rPr>
          <w:rFonts w:hint="eastAsia"/>
          <w:lang w:eastAsia="zh-TW"/>
        </w:rPr>
        <w:t>北京清真書報社發行</w:t>
      </w:r>
    </w:p>
    <w:p w14:paraId="6A64E8CF" w14:textId="5DD491A9" w:rsidR="001218E9" w:rsidRDefault="001218E9" w:rsidP="001218E9">
      <w:pPr>
        <w:rPr>
          <w:lang w:eastAsia="zh-TW"/>
        </w:rPr>
      </w:pPr>
      <w:r>
        <w:rPr>
          <w:lang w:eastAsia="zh-TW"/>
        </w:rPr>
        <w:t>T</w:t>
      </w:r>
      <w:r>
        <w:rPr>
          <w:rFonts w:hint="eastAsia"/>
          <w:lang w:eastAsia="zh-TW"/>
        </w:rPr>
        <w:t>he p</w:t>
      </w:r>
      <w:r>
        <w:rPr>
          <w:lang w:eastAsia="zh-TW"/>
        </w:rPr>
        <w:t xml:space="preserve">reface suggests that the booklet was published to </w:t>
      </w:r>
      <w:r>
        <w:rPr>
          <w:rFonts w:hint="eastAsia"/>
          <w:lang w:eastAsia="zh-TW"/>
        </w:rPr>
        <w:t>醒</w:t>
      </w:r>
      <w:r>
        <w:rPr>
          <w:rFonts w:hint="eastAsia"/>
          <w:lang w:eastAsia="zh-TW"/>
        </w:rPr>
        <w:t xml:space="preserve"> </w:t>
      </w:r>
      <w:r>
        <w:rPr>
          <w:lang w:eastAsia="zh-TW"/>
        </w:rPr>
        <w:t xml:space="preserve">wake up the Muslims whom Wang Daiyu thought were following the religion ingeniously or mendaciously. The book was written with a 3-3-4-character stanzas that rhymed at the last character. The first half satirizes those fake Muslims </w:t>
      </w:r>
      <w:r>
        <w:rPr>
          <w:rFonts w:hint="eastAsia"/>
          <w:lang w:eastAsia="zh-TW"/>
        </w:rPr>
        <w:t>假回回</w:t>
      </w:r>
      <w:r>
        <w:rPr>
          <w:rFonts w:hint="eastAsia"/>
          <w:lang w:eastAsia="zh-TW"/>
        </w:rPr>
        <w:t xml:space="preserve"> </w:t>
      </w:r>
      <w:r>
        <w:rPr>
          <w:lang w:eastAsia="zh-TW"/>
        </w:rPr>
        <w:t xml:space="preserve">who evade their religious obligations or indulge in vices such as gambling and visiting brothels. The second half calls on the followers to adhere to the right path, i.e., following the religion with sincerity and steadfastness. The booklet is priced at </w:t>
      </w:r>
      <w:r>
        <w:rPr>
          <w:rFonts w:hint="eastAsia"/>
          <w:lang w:eastAsia="zh-TW"/>
        </w:rPr>
        <w:t>大洋八角</w:t>
      </w:r>
      <w:r>
        <w:rPr>
          <w:lang w:eastAsia="zh-TW"/>
        </w:rPr>
        <w:t xml:space="preserve"> each, and its last page is an advertisement for the </w:t>
      </w:r>
      <w:r>
        <w:rPr>
          <w:rFonts w:hint="eastAsia"/>
          <w:lang w:eastAsia="zh-TW"/>
        </w:rPr>
        <w:t>清真書報社</w:t>
      </w:r>
      <w:r>
        <w:rPr>
          <w:lang w:eastAsia="zh-TW"/>
        </w:rPr>
        <w:t xml:space="preserve">, which was capable of “printing stocks, books, single-page leaflets, et cetera. </w:t>
      </w:r>
      <w:r w:rsidR="0060109D">
        <w:rPr>
          <w:lang w:eastAsia="zh-TW"/>
        </w:rPr>
        <w:t>T</w:t>
      </w:r>
      <w:r w:rsidR="0060109D">
        <w:rPr>
          <w:rFonts w:hint="eastAsia"/>
          <w:lang w:eastAsia="zh-TW"/>
        </w:rPr>
        <w:t>he</w:t>
      </w:r>
      <w:r w:rsidR="0060109D">
        <w:rPr>
          <w:lang w:eastAsia="zh-TW"/>
        </w:rPr>
        <w:t xml:space="preserve"> booklet </w:t>
      </w:r>
      <w:r w:rsidR="00FA5D1B">
        <w:rPr>
          <w:lang w:eastAsia="zh-TW"/>
        </w:rPr>
        <w:t>wa</w:t>
      </w:r>
      <w:r w:rsidR="0060109D">
        <w:rPr>
          <w:lang w:eastAsia="zh-TW"/>
        </w:rPr>
        <w:t xml:space="preserve">s printed on woodblock. </w:t>
      </w:r>
    </w:p>
    <w:p w14:paraId="40EAC2AF" w14:textId="163628B0" w:rsidR="001218E9" w:rsidRDefault="00CE4A3C" w:rsidP="0060109D">
      <w:pPr>
        <w:pStyle w:val="ListParagraph"/>
        <w:numPr>
          <w:ilvl w:val="0"/>
          <w:numId w:val="1"/>
        </w:numPr>
        <w:rPr>
          <w:lang w:eastAsia="zh-TW"/>
        </w:rPr>
      </w:pPr>
      <w:r>
        <w:rPr>
          <w:rFonts w:hint="eastAsia"/>
          <w:lang w:eastAsia="zh-TW"/>
        </w:rPr>
        <w:t>女子四字經</w:t>
      </w:r>
      <w:r>
        <w:rPr>
          <w:rFonts w:hint="eastAsia"/>
          <w:lang w:eastAsia="zh-TW"/>
        </w:rPr>
        <w:t xml:space="preserve"> </w:t>
      </w:r>
      <w:r w:rsidR="00604DA9">
        <w:rPr>
          <w:rFonts w:hint="eastAsia"/>
          <w:lang w:eastAsia="zh-TW"/>
        </w:rPr>
        <w:t>民國十三年冬月新刊</w:t>
      </w:r>
      <w:r w:rsidR="00604DA9">
        <w:rPr>
          <w:rFonts w:hint="eastAsia"/>
          <w:lang w:eastAsia="zh-TW"/>
        </w:rPr>
        <w:t xml:space="preserve"> </w:t>
      </w:r>
      <w:r w:rsidR="00604DA9">
        <w:rPr>
          <w:rFonts w:hint="eastAsia"/>
          <w:lang w:eastAsia="zh-TW"/>
        </w:rPr>
        <w:t>板存寶真堂</w:t>
      </w:r>
    </w:p>
    <w:p w14:paraId="420E63A8" w14:textId="36186304" w:rsidR="00604DA9" w:rsidRDefault="00604DA9" w:rsidP="001218E9">
      <w:pPr>
        <w:rPr>
          <w:lang w:eastAsia="zh-TW"/>
        </w:rPr>
      </w:pPr>
      <w:r>
        <w:rPr>
          <w:lang w:eastAsia="zh-TW"/>
        </w:rPr>
        <w:t>T</w:t>
      </w:r>
      <w:r>
        <w:rPr>
          <w:rFonts w:hint="eastAsia"/>
          <w:lang w:eastAsia="zh-TW"/>
        </w:rPr>
        <w:t>his</w:t>
      </w:r>
      <w:r>
        <w:rPr>
          <w:lang w:eastAsia="zh-TW"/>
        </w:rPr>
        <w:t xml:space="preserve"> booklet aims to teach women the virtues of good Muslim womanhood. Aside from two couplets mentioning that girls have to begin practicing from the age of nine and men and women have equal religious obligations, the rest of the didactics are almost indistinguishable from contemporary Confucian notions of female virtue, minus the latter’s explicit and implicit emphasis on chastity. Interestingly, the booklet has several folios talking about the obligation to take care of the husband’s household once the girl enters marriage. It then veers into a litany of how to prepare different vegetables for different dishes. </w:t>
      </w:r>
      <w:r w:rsidR="0060109D">
        <w:rPr>
          <w:lang w:eastAsia="zh-TW"/>
        </w:rPr>
        <w:t>T</w:t>
      </w:r>
      <w:r w:rsidR="0060109D">
        <w:rPr>
          <w:rFonts w:hint="eastAsia"/>
          <w:lang w:eastAsia="zh-TW"/>
        </w:rPr>
        <w:t>he</w:t>
      </w:r>
      <w:r w:rsidR="0060109D">
        <w:rPr>
          <w:lang w:eastAsia="zh-TW"/>
        </w:rPr>
        <w:t xml:space="preserve"> booklet </w:t>
      </w:r>
      <w:r w:rsidR="00FA5D1B">
        <w:rPr>
          <w:lang w:eastAsia="zh-TW"/>
        </w:rPr>
        <w:t>wa</w:t>
      </w:r>
      <w:r w:rsidR="0060109D">
        <w:rPr>
          <w:lang w:eastAsia="zh-TW"/>
        </w:rPr>
        <w:t>s printed on woodblock.</w:t>
      </w:r>
    </w:p>
    <w:p w14:paraId="54481E2F" w14:textId="421B15B7" w:rsidR="00604DA9" w:rsidRDefault="00EB7FC0" w:rsidP="0060109D">
      <w:pPr>
        <w:pStyle w:val="ListParagraph"/>
        <w:numPr>
          <w:ilvl w:val="0"/>
          <w:numId w:val="1"/>
        </w:numPr>
        <w:rPr>
          <w:lang w:eastAsia="zh-TW"/>
        </w:rPr>
      </w:pPr>
      <w:r>
        <w:rPr>
          <w:rFonts w:hint="eastAsia"/>
          <w:lang w:eastAsia="zh-TW"/>
        </w:rPr>
        <w:t>穆民教女歌</w:t>
      </w:r>
      <w:r>
        <w:rPr>
          <w:rFonts w:hint="eastAsia"/>
          <w:lang w:eastAsia="zh-TW"/>
        </w:rPr>
        <w:t xml:space="preserve"> </w:t>
      </w:r>
      <w:r>
        <w:rPr>
          <w:rFonts w:hint="eastAsia"/>
          <w:lang w:eastAsia="zh-TW"/>
        </w:rPr>
        <w:t>民國十九年十月三版</w:t>
      </w:r>
      <w:r>
        <w:rPr>
          <w:rFonts w:hint="eastAsia"/>
          <w:lang w:eastAsia="zh-TW"/>
        </w:rPr>
        <w:t xml:space="preserve"> </w:t>
      </w:r>
      <w:r>
        <w:rPr>
          <w:rFonts w:hint="eastAsia"/>
          <w:lang w:eastAsia="zh-TW"/>
        </w:rPr>
        <w:t>北京牛街清真書報社印行</w:t>
      </w:r>
    </w:p>
    <w:p w14:paraId="178246FF" w14:textId="51223650" w:rsidR="00EB7FC0" w:rsidRDefault="00EB7FC0" w:rsidP="001218E9">
      <w:pPr>
        <w:rPr>
          <w:lang w:eastAsia="zh-TW"/>
        </w:rPr>
      </w:pPr>
      <w:r>
        <w:rPr>
          <w:lang w:eastAsia="zh-TW"/>
        </w:rPr>
        <w:t>T</w:t>
      </w:r>
      <w:r>
        <w:rPr>
          <w:rFonts w:hint="eastAsia"/>
          <w:lang w:eastAsia="zh-TW"/>
        </w:rPr>
        <w:t xml:space="preserve">his </w:t>
      </w:r>
      <w:r>
        <w:rPr>
          <w:lang w:eastAsia="zh-TW"/>
        </w:rPr>
        <w:t xml:space="preserve">booklet was prefaced by the chief of capital city’s police department, a man surnamed Wu. The preface states that the ideas contained in the booklet came from a Mr. Sun </w:t>
      </w:r>
      <w:r>
        <w:rPr>
          <w:rFonts w:hint="eastAsia"/>
          <w:lang w:eastAsia="zh-TW"/>
        </w:rPr>
        <w:t xml:space="preserve">from </w:t>
      </w:r>
      <w:r>
        <w:rPr>
          <w:rFonts w:hint="eastAsia"/>
          <w:lang w:eastAsia="zh-TW"/>
        </w:rPr>
        <w:t>天津嚴范</w:t>
      </w:r>
      <w:r>
        <w:rPr>
          <w:lang w:eastAsia="zh-TW"/>
        </w:rPr>
        <w:t xml:space="preserve">. The preface acknowledges that much progress has been made in girls’ education but laments that due to the popularity of formal schooling for girls, the moral constitution of the women is falling short and behind. It is a 3-3-3-character song that can be sung as some of the characters had tone marks. The book mentioned the Prophet’s granddaughter Fatimah as a moral and spiritual exemplar. Interestingly, it seems the book was marketed to a middle-class audience as it encourages the Muslim women to learn sewing instead of fully relying on servants and tailors. The last page contains a piece of advertisement for the complete “curriculum” for </w:t>
      </w:r>
      <w:r>
        <w:rPr>
          <w:rFonts w:hint="eastAsia"/>
          <w:lang w:eastAsia="zh-TW"/>
        </w:rPr>
        <w:t>清真小學</w:t>
      </w:r>
      <w:r>
        <w:rPr>
          <w:lang w:eastAsia="zh-TW"/>
        </w:rPr>
        <w:t xml:space="preserve">, including the booklet itself and </w:t>
      </w:r>
      <w:r>
        <w:rPr>
          <w:rFonts w:hint="eastAsia"/>
          <w:lang w:eastAsia="zh-TW"/>
        </w:rPr>
        <w:t>天方四字經，女子四字經，天方字母，幼義三字經，清真</w:t>
      </w:r>
      <w:r w:rsidR="0060109D">
        <w:rPr>
          <w:rFonts w:hint="eastAsia"/>
          <w:lang w:eastAsia="zh-TW"/>
        </w:rPr>
        <w:t>蒙引歌，經韓文乜帖</w:t>
      </w:r>
      <w:r w:rsidR="0060109D">
        <w:rPr>
          <w:lang w:eastAsia="zh-TW"/>
        </w:rPr>
        <w:t xml:space="preserve"> et cetera. T</w:t>
      </w:r>
      <w:r w:rsidR="0060109D">
        <w:rPr>
          <w:rFonts w:hint="eastAsia"/>
          <w:lang w:eastAsia="zh-TW"/>
        </w:rPr>
        <w:t>he</w:t>
      </w:r>
      <w:r w:rsidR="0060109D">
        <w:rPr>
          <w:lang w:eastAsia="zh-TW"/>
        </w:rPr>
        <w:t xml:space="preserve"> booklet </w:t>
      </w:r>
      <w:r w:rsidR="00FA5D1B">
        <w:rPr>
          <w:lang w:eastAsia="zh-TW"/>
        </w:rPr>
        <w:t>wa</w:t>
      </w:r>
      <w:r w:rsidR="0060109D">
        <w:rPr>
          <w:lang w:eastAsia="zh-TW"/>
        </w:rPr>
        <w:t>s printed on woodblock.</w:t>
      </w:r>
    </w:p>
    <w:p w14:paraId="6ECEB833" w14:textId="51C6A998" w:rsidR="0060109D" w:rsidRDefault="0060109D" w:rsidP="0060109D">
      <w:pPr>
        <w:pStyle w:val="ListParagraph"/>
        <w:numPr>
          <w:ilvl w:val="0"/>
          <w:numId w:val="1"/>
        </w:numPr>
        <w:rPr>
          <w:lang w:eastAsia="zh-TW"/>
        </w:rPr>
      </w:pPr>
      <w:r>
        <w:rPr>
          <w:rFonts w:hint="eastAsia"/>
          <w:lang w:eastAsia="zh-TW"/>
        </w:rPr>
        <w:t>十等復生</w:t>
      </w:r>
      <w:r>
        <w:rPr>
          <w:rFonts w:hint="eastAsia"/>
          <w:lang w:eastAsia="zh-TW"/>
        </w:rPr>
        <w:t xml:space="preserve"> </w:t>
      </w:r>
      <w:r>
        <w:rPr>
          <w:rFonts w:hint="eastAsia"/>
          <w:lang w:eastAsia="zh-TW"/>
        </w:rPr>
        <w:t>民國十六年一月出版</w:t>
      </w:r>
      <w:r>
        <w:rPr>
          <w:rFonts w:hint="eastAsia"/>
          <w:lang w:eastAsia="zh-TW"/>
        </w:rPr>
        <w:t xml:space="preserve"> </w:t>
      </w:r>
      <w:r>
        <w:rPr>
          <w:rFonts w:hint="eastAsia"/>
          <w:lang w:eastAsia="zh-TW"/>
        </w:rPr>
        <w:t>清真書報社發行</w:t>
      </w:r>
    </w:p>
    <w:p w14:paraId="19BE1985" w14:textId="346612F9" w:rsidR="0060109D" w:rsidRDefault="008C0B35" w:rsidP="0060109D">
      <w:pPr>
        <w:rPr>
          <w:lang w:eastAsia="zh-TW"/>
        </w:rPr>
      </w:pPr>
      <w:r>
        <w:rPr>
          <w:lang w:eastAsia="zh-TW"/>
        </w:rPr>
        <w:t>T</w:t>
      </w:r>
      <w:r>
        <w:rPr>
          <w:rFonts w:hint="eastAsia"/>
          <w:lang w:eastAsia="zh-TW"/>
        </w:rPr>
        <w:t xml:space="preserve">his </w:t>
      </w:r>
      <w:r>
        <w:rPr>
          <w:lang w:eastAsia="zh-TW"/>
        </w:rPr>
        <w:t xml:space="preserve">booklet was written by Ma Yulong (a.k.a. </w:t>
      </w:r>
      <w:r>
        <w:rPr>
          <w:rFonts w:hint="eastAsia"/>
          <w:lang w:eastAsia="zh-TW"/>
        </w:rPr>
        <w:t>瑞圖</w:t>
      </w:r>
      <w:r>
        <w:rPr>
          <w:rFonts w:hint="eastAsia"/>
          <w:lang w:eastAsia="zh-TW"/>
        </w:rPr>
        <w:t xml:space="preserve">) </w:t>
      </w:r>
      <w:r>
        <w:rPr>
          <w:lang w:eastAsia="zh-TW"/>
        </w:rPr>
        <w:t xml:space="preserve">of Yunnan Yuxi. The booklet begins with a couple of pages of creation story in the Qur’an and then moves on to list ten kinds of people being resurrected in the afterlife and their different </w:t>
      </w:r>
      <w:r w:rsidR="00695224">
        <w:rPr>
          <w:lang w:eastAsia="zh-TW"/>
        </w:rPr>
        <w:t xml:space="preserve">ways of going through the gate to paradise. </w:t>
      </w:r>
      <w:r w:rsidR="00695224">
        <w:rPr>
          <w:lang w:eastAsia="zh-TW"/>
        </w:rPr>
        <w:lastRenderedPageBreak/>
        <w:t>With some vivid detail, the booklet explains the punishment meted out for those who indulge in various harams. The last couple of pages lists the six components of beliefs, such as belief in the messenger, belief in angels, belief in predestination, and the six prohibitions of the religion respectively. Those prohibitions including fratricide, stealing, purchase other M</w:t>
      </w:r>
      <w:r w:rsidR="00695224">
        <w:rPr>
          <w:rFonts w:hint="eastAsia"/>
          <w:lang w:eastAsia="zh-TW"/>
        </w:rPr>
        <w:t>u</w:t>
      </w:r>
      <w:r w:rsidR="00695224">
        <w:rPr>
          <w:lang w:eastAsia="zh-TW"/>
        </w:rPr>
        <w:t>slims as slaves, asking for big payment when betrothing one’s daughters, libeling, and condemning other Muslims to hell. T</w:t>
      </w:r>
      <w:r w:rsidR="00695224">
        <w:rPr>
          <w:rFonts w:hint="eastAsia"/>
          <w:lang w:eastAsia="zh-TW"/>
        </w:rPr>
        <w:t>he</w:t>
      </w:r>
      <w:r w:rsidR="00695224">
        <w:rPr>
          <w:lang w:eastAsia="zh-TW"/>
        </w:rPr>
        <w:t xml:space="preserve"> booklet </w:t>
      </w:r>
      <w:r w:rsidR="00FA5D1B">
        <w:rPr>
          <w:lang w:eastAsia="zh-TW"/>
        </w:rPr>
        <w:t>wa</w:t>
      </w:r>
      <w:r w:rsidR="00695224">
        <w:rPr>
          <w:lang w:eastAsia="zh-TW"/>
        </w:rPr>
        <w:t>s printed on woodblock.</w:t>
      </w:r>
    </w:p>
    <w:p w14:paraId="7F6F7C2F" w14:textId="746ADB32" w:rsidR="00660F78" w:rsidRDefault="00660F78" w:rsidP="00660F78">
      <w:pPr>
        <w:pStyle w:val="ListParagraph"/>
        <w:numPr>
          <w:ilvl w:val="0"/>
          <w:numId w:val="1"/>
        </w:numPr>
        <w:rPr>
          <w:lang w:eastAsia="zh-TW"/>
        </w:rPr>
      </w:pPr>
      <w:r>
        <w:rPr>
          <w:rFonts w:hint="eastAsia"/>
          <w:lang w:eastAsia="zh-TW"/>
        </w:rPr>
        <w:t>天方教典歌</w:t>
      </w:r>
      <w:r>
        <w:rPr>
          <w:rFonts w:hint="eastAsia"/>
          <w:lang w:eastAsia="zh-TW"/>
        </w:rPr>
        <w:t xml:space="preserve"> </w:t>
      </w:r>
      <w:r>
        <w:rPr>
          <w:rFonts w:hint="eastAsia"/>
          <w:lang w:eastAsia="zh-TW"/>
        </w:rPr>
        <w:t>乙丑年初夏</w:t>
      </w:r>
      <w:r>
        <w:rPr>
          <w:rFonts w:hint="eastAsia"/>
          <w:lang w:eastAsia="zh-TW"/>
        </w:rPr>
        <w:t xml:space="preserve"> </w:t>
      </w:r>
      <w:r>
        <w:rPr>
          <w:rFonts w:hint="eastAsia"/>
          <w:lang w:eastAsia="zh-TW"/>
        </w:rPr>
        <w:t>北京牛街清真書報社印</w:t>
      </w:r>
    </w:p>
    <w:p w14:paraId="2C710559" w14:textId="5D134781" w:rsidR="00660F78" w:rsidRDefault="00660F78" w:rsidP="00660F78">
      <w:pPr>
        <w:rPr>
          <w:lang w:eastAsia="zh-TW"/>
        </w:rPr>
      </w:pPr>
      <w:r>
        <w:rPr>
          <w:lang w:eastAsia="zh-TW"/>
        </w:rPr>
        <w:t>T</w:t>
      </w:r>
      <w:r>
        <w:rPr>
          <w:rFonts w:hint="eastAsia"/>
          <w:lang w:eastAsia="zh-TW"/>
        </w:rPr>
        <w:t>his</w:t>
      </w:r>
      <w:r>
        <w:rPr>
          <w:lang w:eastAsia="zh-TW"/>
        </w:rPr>
        <w:t xml:space="preserve"> booklet has no author. It is a 4-4-4-character song explaining the Shahada, the importance of Wu</w:t>
      </w:r>
      <w:r>
        <w:rPr>
          <w:rFonts w:hint="eastAsia"/>
          <w:lang w:eastAsia="zh-TW"/>
        </w:rPr>
        <w:t>du</w:t>
      </w:r>
      <w:r>
        <w:rPr>
          <w:lang w:eastAsia="zh-TW"/>
        </w:rPr>
        <w:t xml:space="preserve">, origins of the five prayers of the day, fasting during Ramadan, </w:t>
      </w:r>
      <w:r>
        <w:rPr>
          <w:rFonts w:hint="eastAsia"/>
          <w:lang w:eastAsia="zh-TW"/>
        </w:rPr>
        <w:t>z</w:t>
      </w:r>
      <w:r>
        <w:rPr>
          <w:lang w:eastAsia="zh-TW"/>
        </w:rPr>
        <w:t xml:space="preserve">akat, haj, and judgement day. Notably, it explains the name of god in three forms, it uses the Arabic name Allah, but also mentioned </w:t>
      </w:r>
      <w:r>
        <w:rPr>
          <w:rFonts w:hint="eastAsia"/>
          <w:lang w:eastAsia="zh-TW"/>
        </w:rPr>
        <w:t>上帝</w:t>
      </w:r>
      <w:r>
        <w:rPr>
          <w:lang w:eastAsia="zh-TW"/>
        </w:rPr>
        <w:t xml:space="preserve"> as the name that appears in books, and </w:t>
      </w:r>
      <w:r>
        <w:rPr>
          <w:rFonts w:hint="eastAsia"/>
          <w:lang w:eastAsia="zh-TW"/>
        </w:rPr>
        <w:t>真主</w:t>
      </w:r>
      <w:r>
        <w:rPr>
          <w:rFonts w:hint="eastAsia"/>
          <w:lang w:eastAsia="zh-TW"/>
        </w:rPr>
        <w:t xml:space="preserve"> </w:t>
      </w:r>
      <w:r>
        <w:rPr>
          <w:lang w:eastAsia="zh-TW"/>
        </w:rPr>
        <w:t xml:space="preserve">as a </w:t>
      </w:r>
      <w:r w:rsidR="00FA5D1B">
        <w:rPr>
          <w:lang w:eastAsia="zh-TW"/>
        </w:rPr>
        <w:t>more general term. It also suggests that part of the reason the song was written was because different religions compete by propagation (presumably by print).</w:t>
      </w:r>
      <w:r w:rsidR="00FA5D1B">
        <w:rPr>
          <w:rFonts w:hint="eastAsia"/>
          <w:lang w:eastAsia="zh-TW"/>
        </w:rPr>
        <w:t xml:space="preserve"> </w:t>
      </w:r>
      <w:r w:rsidR="00FA5D1B">
        <w:rPr>
          <w:rFonts w:hint="eastAsia"/>
          <w:lang w:eastAsia="zh-TW"/>
        </w:rPr>
        <w:t>各教競勝，勢力日伸</w:t>
      </w:r>
      <w:r w:rsidR="00FA5D1B">
        <w:rPr>
          <w:lang w:eastAsia="zh-TW"/>
        </w:rPr>
        <w:t xml:space="preserve">. The last bit says that the Qur’an was not created just for the Arabs. If someone dwelling in China, they can also study it in Chinese. The religion will thrive if it has more learned people who understand it. </w:t>
      </w:r>
      <w:r w:rsidR="00FA5D1B">
        <w:rPr>
          <w:rFonts w:hint="eastAsia"/>
          <w:lang w:eastAsia="zh-TW"/>
        </w:rPr>
        <w:t>人才蔚起，教自增榮</w:t>
      </w:r>
      <w:r w:rsidR="00FA5D1B">
        <w:rPr>
          <w:lang w:eastAsia="zh-TW"/>
        </w:rPr>
        <w:t>.</w:t>
      </w:r>
      <w:r w:rsidR="00FA5D1B">
        <w:rPr>
          <w:rFonts w:hint="eastAsia"/>
          <w:lang w:eastAsia="zh-TW"/>
        </w:rPr>
        <w:t xml:space="preserve"> </w:t>
      </w:r>
      <w:r w:rsidR="00FA5D1B">
        <w:rPr>
          <w:lang w:eastAsia="zh-TW"/>
        </w:rPr>
        <w:t>T</w:t>
      </w:r>
      <w:r w:rsidR="00FA5D1B">
        <w:rPr>
          <w:rFonts w:hint="eastAsia"/>
          <w:lang w:eastAsia="zh-TW"/>
        </w:rPr>
        <w:t>he</w:t>
      </w:r>
      <w:r w:rsidR="00FA5D1B">
        <w:rPr>
          <w:lang w:eastAsia="zh-TW"/>
        </w:rPr>
        <w:t xml:space="preserve"> booklet </w:t>
      </w:r>
      <w:r w:rsidR="00FA5D1B">
        <w:rPr>
          <w:rFonts w:hint="eastAsia"/>
          <w:lang w:eastAsia="zh-TW"/>
        </w:rPr>
        <w:t>wa</w:t>
      </w:r>
      <w:r w:rsidR="00FA5D1B">
        <w:rPr>
          <w:lang w:eastAsia="zh-TW"/>
        </w:rPr>
        <w:t>s printed on woodblock.</w:t>
      </w:r>
    </w:p>
    <w:p w14:paraId="26CFBC44" w14:textId="5193AC14" w:rsidR="00FA5D1B" w:rsidRDefault="00FA5D1B" w:rsidP="00FA5D1B">
      <w:pPr>
        <w:pStyle w:val="ListParagraph"/>
        <w:numPr>
          <w:ilvl w:val="0"/>
          <w:numId w:val="1"/>
        </w:numPr>
        <w:rPr>
          <w:lang w:eastAsia="zh-TW"/>
        </w:rPr>
      </w:pPr>
      <w:r>
        <w:rPr>
          <w:rFonts w:hint="eastAsia"/>
          <w:lang w:eastAsia="zh-TW"/>
        </w:rPr>
        <w:t>天方女子四字經</w:t>
      </w:r>
      <w:r>
        <w:rPr>
          <w:rFonts w:hint="eastAsia"/>
          <w:lang w:eastAsia="zh-TW"/>
        </w:rPr>
        <w:t xml:space="preserve">  </w:t>
      </w:r>
      <w:r>
        <w:rPr>
          <w:rFonts w:hint="eastAsia"/>
          <w:lang w:eastAsia="zh-TW"/>
        </w:rPr>
        <w:t>中華民國十六年二月（即齋月）出版</w:t>
      </w:r>
      <w:r>
        <w:rPr>
          <w:rFonts w:hint="eastAsia"/>
          <w:lang w:eastAsia="zh-TW"/>
        </w:rPr>
        <w:t xml:space="preserve"> </w:t>
      </w:r>
      <w:r>
        <w:rPr>
          <w:rFonts w:hint="eastAsia"/>
          <w:lang w:eastAsia="zh-TW"/>
        </w:rPr>
        <w:t>清真書報社發行</w:t>
      </w:r>
    </w:p>
    <w:p w14:paraId="6FB6FD62" w14:textId="26781A10" w:rsidR="00FA5D1B" w:rsidRDefault="00980058" w:rsidP="00FA5D1B">
      <w:pPr>
        <w:rPr>
          <w:lang w:eastAsia="zh-TW"/>
        </w:rPr>
      </w:pPr>
      <w:r>
        <w:rPr>
          <w:lang w:eastAsia="zh-TW"/>
        </w:rPr>
        <w:t>The content is a replication of</w:t>
      </w:r>
      <w:r>
        <w:rPr>
          <w:rFonts w:hint="eastAsia"/>
          <w:lang w:eastAsia="zh-TW"/>
        </w:rPr>
        <w:t>民國十三年冬月之《女子四字經》。</w:t>
      </w:r>
    </w:p>
    <w:p w14:paraId="4A2D43C6" w14:textId="7790B569" w:rsidR="00980058" w:rsidRDefault="00E21208" w:rsidP="00B71A71">
      <w:pPr>
        <w:pStyle w:val="ListParagraph"/>
        <w:numPr>
          <w:ilvl w:val="0"/>
          <w:numId w:val="1"/>
        </w:numPr>
        <w:rPr>
          <w:lang w:eastAsia="zh-TW"/>
        </w:rPr>
      </w:pPr>
      <w:r>
        <w:rPr>
          <w:rFonts w:hint="eastAsia"/>
          <w:lang w:eastAsia="zh-TW"/>
        </w:rPr>
        <w:t>天方奇異勸善錄</w:t>
      </w:r>
      <w:r>
        <w:rPr>
          <w:rFonts w:hint="eastAsia"/>
          <w:lang w:eastAsia="zh-TW"/>
        </w:rPr>
        <w:t xml:space="preserve"> </w:t>
      </w:r>
      <w:r>
        <w:rPr>
          <w:rFonts w:hint="eastAsia"/>
          <w:lang w:eastAsia="zh-TW"/>
        </w:rPr>
        <w:t>遷安（河北省）李廷相著</w:t>
      </w:r>
      <w:r>
        <w:rPr>
          <w:rFonts w:hint="eastAsia"/>
          <w:lang w:eastAsia="zh-TW"/>
        </w:rPr>
        <w:t xml:space="preserve"> </w:t>
      </w:r>
      <w:r>
        <w:rPr>
          <w:rFonts w:hint="eastAsia"/>
          <w:lang w:eastAsia="zh-TW"/>
        </w:rPr>
        <w:t>北京牛街萬全書局印</w:t>
      </w:r>
      <w:r>
        <w:rPr>
          <w:rFonts w:hint="eastAsia"/>
          <w:lang w:eastAsia="zh-TW"/>
        </w:rPr>
        <w:t xml:space="preserve"> </w:t>
      </w:r>
      <w:r>
        <w:rPr>
          <w:rFonts w:hint="eastAsia"/>
          <w:lang w:eastAsia="zh-TW"/>
        </w:rPr>
        <w:t>中華民國八年閏七月二十陸日出版</w:t>
      </w:r>
      <w:r>
        <w:rPr>
          <w:rFonts w:hint="eastAsia"/>
          <w:lang w:eastAsia="zh-TW"/>
        </w:rPr>
        <w:t xml:space="preserve">  </w:t>
      </w:r>
    </w:p>
    <w:p w14:paraId="2B5F7496" w14:textId="3A89760A" w:rsidR="00EB7FC0" w:rsidRDefault="00583F06" w:rsidP="00F51951">
      <w:pPr>
        <w:rPr>
          <w:lang w:val="en-GB" w:eastAsia="zh-TW"/>
        </w:rPr>
      </w:pPr>
      <w:r>
        <w:rPr>
          <w:lang w:eastAsia="zh-TW"/>
        </w:rPr>
        <w:t>L</w:t>
      </w:r>
      <w:r>
        <w:rPr>
          <w:rFonts w:hint="eastAsia"/>
          <w:lang w:eastAsia="zh-TW"/>
        </w:rPr>
        <w:t>i</w:t>
      </w:r>
      <w:r>
        <w:rPr>
          <w:lang w:eastAsia="zh-TW"/>
        </w:rPr>
        <w:t xml:space="preserve"> Tingxiang in the preface states that he compiled this book because common religious texts were losing interest among Muslims. He was compelled by those who consume novels, plays, and unofficial histories that were written in a way to draw the readers in by affect, drama and intense feelings. He therefore wrote this book of strange tales to blend religious morals with entertainment. Li, however, insists that even though the stories are strange and therefore intriguing, they come from authoritative histories.  </w:t>
      </w:r>
      <w:r w:rsidR="00B174DA">
        <w:rPr>
          <w:rFonts w:hint="eastAsia"/>
          <w:lang w:eastAsia="zh-TW"/>
        </w:rPr>
        <w:t>悉從大經正史而來，</w:t>
      </w:r>
      <w:r w:rsidR="00B71A71">
        <w:rPr>
          <w:rFonts w:hint="eastAsia"/>
          <w:lang w:eastAsia="zh-TW"/>
        </w:rPr>
        <w:t>雖</w:t>
      </w:r>
      <w:r w:rsidR="00B174DA">
        <w:rPr>
          <w:rFonts w:hint="eastAsia"/>
          <w:lang w:eastAsia="zh-TW"/>
        </w:rPr>
        <w:t>奇而正，雖異而常。</w:t>
      </w:r>
      <w:r w:rsidR="00F51951" w:rsidRPr="00F51951">
        <w:rPr>
          <w:lang w:eastAsia="zh-TW"/>
        </w:rPr>
        <w:t xml:space="preserve">The first story, for instance, is about a beautiful woman name </w:t>
      </w:r>
      <w:proofErr w:type="spellStart"/>
      <w:r w:rsidR="00F51951" w:rsidRPr="00F51951">
        <w:rPr>
          <w:lang w:eastAsia="zh-TW"/>
        </w:rPr>
        <w:t>Elao</w:t>
      </w:r>
      <w:proofErr w:type="spellEnd"/>
      <w:r w:rsidR="00F51951" w:rsidRPr="00F51951">
        <w:rPr>
          <w:lang w:eastAsia="zh-TW"/>
        </w:rPr>
        <w:t xml:space="preserve"> who married into a trader’s family in a city called Faris, Israel. However, the husband, Sharif, is engaged in long-distance trade and was absent for years. His younger brother covets Elao’s beauty and wants to have her after his parents passes away. </w:t>
      </w:r>
      <w:proofErr w:type="spellStart"/>
      <w:r w:rsidR="00F51951" w:rsidRPr="00F51951">
        <w:rPr>
          <w:lang w:eastAsia="zh-TW"/>
        </w:rPr>
        <w:t>Elao</w:t>
      </w:r>
      <w:proofErr w:type="spellEnd"/>
      <w:r w:rsidR="00F51951" w:rsidRPr="00F51951">
        <w:rPr>
          <w:lang w:eastAsia="zh-TW"/>
        </w:rPr>
        <w:t xml:space="preserve"> refuses and the younger brother, Zarif, schemes with tribal elders and sentences </w:t>
      </w:r>
      <w:proofErr w:type="spellStart"/>
      <w:r w:rsidR="00F51951" w:rsidRPr="00F51951">
        <w:rPr>
          <w:lang w:eastAsia="zh-TW"/>
        </w:rPr>
        <w:t>Elao</w:t>
      </w:r>
      <w:proofErr w:type="spellEnd"/>
      <w:r w:rsidR="00F51951" w:rsidRPr="00F51951">
        <w:rPr>
          <w:lang w:eastAsia="zh-TW"/>
        </w:rPr>
        <w:t xml:space="preserve"> to death by stoning. </w:t>
      </w:r>
      <w:proofErr w:type="spellStart"/>
      <w:r w:rsidR="00F51951" w:rsidRPr="00F51951">
        <w:rPr>
          <w:lang w:eastAsia="zh-TW"/>
        </w:rPr>
        <w:t>Elao</w:t>
      </w:r>
      <w:proofErr w:type="spellEnd"/>
      <w:r w:rsidR="00F51951" w:rsidRPr="00F51951">
        <w:rPr>
          <w:lang w:eastAsia="zh-TW"/>
        </w:rPr>
        <w:t xml:space="preserve"> is saved by God in a sandstorm and begins a journey of escape in which she is coveted by more evil men. Her steadfast devotion to God and chastity saves her multiple times.</w:t>
      </w:r>
      <w:r w:rsidR="00F51951">
        <w:rPr>
          <w:lang w:eastAsia="zh-TW"/>
        </w:rPr>
        <w:t xml:space="preserve"> </w:t>
      </w:r>
      <w:r w:rsidR="00B71A71">
        <w:rPr>
          <w:lang w:eastAsia="zh-TW"/>
        </w:rPr>
        <w:t>I</w:t>
      </w:r>
      <w:r w:rsidR="00B71A71">
        <w:rPr>
          <w:rFonts w:hint="eastAsia"/>
          <w:lang w:eastAsia="zh-TW"/>
        </w:rPr>
        <w:t>nt</w:t>
      </w:r>
      <w:r w:rsidR="00B71A71">
        <w:rPr>
          <w:lang w:eastAsia="zh-TW"/>
        </w:rPr>
        <w:t xml:space="preserve">erestingly, the movable type printed book was reprinted by woodblock in </w:t>
      </w:r>
      <w:r w:rsidR="00B71A71">
        <w:rPr>
          <w:rFonts w:hint="eastAsia"/>
          <w:lang w:eastAsia="zh-TW"/>
        </w:rPr>
        <w:t>民國十五年齋月</w:t>
      </w:r>
      <w:r w:rsidR="00B71A71">
        <w:rPr>
          <w:rFonts w:hint="eastAsia"/>
          <w:lang w:eastAsia="zh-TW"/>
        </w:rPr>
        <w:t xml:space="preserve">with </w:t>
      </w:r>
      <w:r w:rsidR="00B71A71">
        <w:rPr>
          <w:lang w:eastAsia="zh-TW"/>
        </w:rPr>
        <w:t xml:space="preserve">an abbreviated title </w:t>
      </w:r>
      <w:r w:rsidR="00B71A71">
        <w:rPr>
          <w:rFonts w:hint="eastAsia"/>
          <w:lang w:eastAsia="zh-TW"/>
        </w:rPr>
        <w:t>天方奇異錄</w:t>
      </w:r>
      <w:r w:rsidR="00B71A71">
        <w:rPr>
          <w:lang w:eastAsia="zh-TW"/>
        </w:rPr>
        <w:t xml:space="preserve">. </w:t>
      </w:r>
      <w:r w:rsidR="00B71A71">
        <w:rPr>
          <w:lang w:eastAsia="zh-TW"/>
        </w:rPr>
        <w:lastRenderedPageBreak/>
        <w:t xml:space="preserve">Tenri library has two identical copies of the woodblock printed copies (74 folios) in addition to the earlier (1919) movable </w:t>
      </w:r>
      <w:r w:rsidR="00B71A71">
        <w:rPr>
          <w:rFonts w:hint="eastAsia"/>
          <w:lang w:eastAsia="zh-TW"/>
        </w:rPr>
        <w:t>ty</w:t>
      </w:r>
      <w:r w:rsidR="00B71A71">
        <w:rPr>
          <w:lang w:eastAsia="zh-TW"/>
        </w:rPr>
        <w:t xml:space="preserve">pe printed copy (106 pages). </w:t>
      </w:r>
      <w:r w:rsidR="009D5E67">
        <w:rPr>
          <w:lang w:eastAsia="zh-TW"/>
        </w:rPr>
        <w:t xml:space="preserve">The different editions suggest that the book was quite popular among readers. The book also contains stories about saints, kings, believers who tame lions, birds and wild animals who repay those who save them. The </w:t>
      </w:r>
      <w:r w:rsidR="009D5E67">
        <w:rPr>
          <w:rFonts w:hint="eastAsia"/>
          <w:lang w:eastAsia="zh-TW"/>
        </w:rPr>
        <w:t>民國十五年</w:t>
      </w:r>
      <w:r w:rsidR="009D5E67">
        <w:rPr>
          <w:lang w:eastAsia="zh-TW"/>
        </w:rPr>
        <w:t xml:space="preserve"> edition carries an advertisement on the first page for </w:t>
      </w:r>
      <w:r w:rsidR="009D5E67">
        <w:rPr>
          <w:rFonts w:hint="eastAsia"/>
          <w:lang w:eastAsia="zh-TW"/>
        </w:rPr>
        <w:t>王靜齋</w:t>
      </w:r>
      <w:r w:rsidR="009D5E67">
        <w:rPr>
          <w:lang w:eastAsia="zh-TW"/>
        </w:rPr>
        <w:t xml:space="preserve">’s </w:t>
      </w:r>
      <w:r w:rsidR="009D5E67">
        <w:rPr>
          <w:rFonts w:hint="eastAsia"/>
          <w:lang w:eastAsia="zh-TW"/>
        </w:rPr>
        <w:t>《回耶辨真》。</w:t>
      </w:r>
    </w:p>
    <w:p w14:paraId="1867CD6A" w14:textId="77777777" w:rsidR="00F97FFD" w:rsidRDefault="00F97FFD" w:rsidP="00F51951">
      <w:pPr>
        <w:rPr>
          <w:lang w:val="en-GB" w:eastAsia="zh-TW"/>
        </w:rPr>
      </w:pPr>
    </w:p>
    <w:p w14:paraId="7396D3AE" w14:textId="3FC05630" w:rsidR="00F97FFD" w:rsidRDefault="00F97FFD" w:rsidP="00F51951">
      <w:pPr>
        <w:rPr>
          <w:lang w:val="en-GB" w:eastAsia="zh-TW"/>
        </w:rPr>
      </w:pPr>
      <w:r>
        <w:rPr>
          <w:lang w:eastAsia="zh-TW"/>
        </w:rPr>
        <w:t>Affect, Drama and E</w:t>
      </w:r>
      <w:r>
        <w:rPr>
          <w:lang w:val="en-GB" w:eastAsia="zh-TW"/>
        </w:rPr>
        <w:t>r</w:t>
      </w:r>
      <w:r>
        <w:rPr>
          <w:rFonts w:hint="eastAsia"/>
          <w:lang w:val="en-GB" w:eastAsia="zh-TW"/>
        </w:rPr>
        <w:t>ot</w:t>
      </w:r>
      <w:r>
        <w:rPr>
          <w:lang w:val="en-GB" w:eastAsia="zh-TW"/>
        </w:rPr>
        <w:t>ic Lure: M</w:t>
      </w:r>
      <w:r>
        <w:rPr>
          <w:rFonts w:hint="eastAsia"/>
          <w:lang w:val="en-GB" w:eastAsia="zh-TW"/>
        </w:rPr>
        <w:t>or</w:t>
      </w:r>
      <w:r>
        <w:rPr>
          <w:lang w:val="en-GB" w:eastAsia="zh-TW"/>
        </w:rPr>
        <w:t xml:space="preserve">al Tales </w:t>
      </w:r>
      <w:r w:rsidR="00E01A11">
        <w:rPr>
          <w:lang w:val="en-GB" w:eastAsia="zh-TW"/>
        </w:rPr>
        <w:t>and the Rise of a Popular</w:t>
      </w:r>
      <w:r>
        <w:rPr>
          <w:lang w:val="en-GB" w:eastAsia="zh-TW"/>
        </w:rPr>
        <w:t xml:space="preserve"> Muslim Print Culture</w:t>
      </w:r>
    </w:p>
    <w:p w14:paraId="50033888" w14:textId="52BF6F18" w:rsidR="00F97FFD" w:rsidRDefault="00F97FFD" w:rsidP="00F51951">
      <w:pPr>
        <w:rPr>
          <w:lang w:val="en-GB"/>
        </w:rPr>
      </w:pPr>
      <w:r>
        <w:rPr>
          <w:lang w:val="en-GB" w:eastAsia="zh-TW"/>
        </w:rPr>
        <w:t>I</w:t>
      </w:r>
      <w:r>
        <w:rPr>
          <w:rFonts w:hint="eastAsia"/>
          <w:lang w:val="en-GB" w:eastAsia="zh-TW"/>
        </w:rPr>
        <w:t>n 1919</w:t>
      </w:r>
      <w:r>
        <w:rPr>
          <w:lang w:val="en-GB" w:eastAsia="zh-TW"/>
        </w:rPr>
        <w:t>, a Hui M</w:t>
      </w:r>
      <w:r>
        <w:rPr>
          <w:rFonts w:hint="eastAsia"/>
          <w:lang w:val="en-GB" w:eastAsia="zh-TW"/>
        </w:rPr>
        <w:t>usli</w:t>
      </w:r>
      <w:r>
        <w:rPr>
          <w:lang w:val="en-GB" w:eastAsia="zh-TW"/>
        </w:rPr>
        <w:t xml:space="preserve">m writer in </w:t>
      </w:r>
      <w:r w:rsidR="00E01A11">
        <w:rPr>
          <w:lang w:val="en-GB" w:eastAsia="zh-TW"/>
        </w:rPr>
        <w:t xml:space="preserve">Hebei published a collection of bizarre tales that offer their readers delicious drama of seduction, attempted rape, burglary, and moral transgression, all in the name of </w:t>
      </w:r>
      <w:r w:rsidR="004F0F63">
        <w:rPr>
          <w:lang w:val="en-GB" w:eastAsia="zh-TW"/>
        </w:rPr>
        <w:t>education.</w:t>
      </w:r>
      <w:r w:rsidR="004F0F63">
        <w:rPr>
          <w:rFonts w:hint="eastAsia"/>
          <w:lang w:val="en-GB" w:eastAsia="zh-TW"/>
        </w:rPr>
        <w:t xml:space="preserve"> </w:t>
      </w:r>
      <w:r w:rsidR="004F0F63">
        <w:rPr>
          <w:lang w:val="en-GB" w:eastAsia="zh-TW"/>
        </w:rPr>
        <w:t>The author</w:t>
      </w:r>
      <w:r w:rsidR="004F0F63">
        <w:rPr>
          <w:rFonts w:hint="eastAsia"/>
          <w:lang w:val="en-GB" w:eastAsia="zh-TW"/>
        </w:rPr>
        <w:t xml:space="preserve"> </w:t>
      </w:r>
      <w:r w:rsidR="004F0F63">
        <w:rPr>
          <w:lang w:eastAsia="zh-TW"/>
        </w:rPr>
        <w:t>L</w:t>
      </w:r>
      <w:r w:rsidR="004F0F63">
        <w:rPr>
          <w:rFonts w:hint="eastAsia"/>
          <w:lang w:eastAsia="zh-TW"/>
        </w:rPr>
        <w:t>i</w:t>
      </w:r>
      <w:r w:rsidR="004F0F63">
        <w:rPr>
          <w:lang w:eastAsia="zh-TW"/>
        </w:rPr>
        <w:t xml:space="preserve"> Tingxiang in the preface stated that he compiled the book because common religious texts were losing the interest of Muslims. He was compelled by those who consume novels, plays, and unofficial histories </w:t>
      </w:r>
      <w:r w:rsidR="002E62B6">
        <w:rPr>
          <w:lang w:eastAsia="zh-TW"/>
        </w:rPr>
        <w:t>avariciously to conclude that</w:t>
      </w:r>
      <w:r w:rsidR="004F0F63">
        <w:rPr>
          <w:lang w:eastAsia="zh-TW"/>
        </w:rPr>
        <w:t xml:space="preserve"> readers</w:t>
      </w:r>
      <w:r w:rsidR="002E62B6">
        <w:rPr>
          <w:lang w:eastAsia="zh-TW"/>
        </w:rPr>
        <w:t xml:space="preserve"> could only be drawn</w:t>
      </w:r>
      <w:r w:rsidR="004F0F63">
        <w:rPr>
          <w:lang w:eastAsia="zh-TW"/>
        </w:rPr>
        <w:t xml:space="preserve"> in by affect and drama. He therefore wrote this book of strange tales to blend religious morals with entertainment. Li, however, insists that even though the stories are strange and intriguing, they come from authoritative histories. I</w:t>
      </w:r>
      <w:r w:rsidR="004F0F63">
        <w:rPr>
          <w:rFonts w:hint="eastAsia"/>
          <w:lang w:eastAsia="zh-TW"/>
        </w:rPr>
        <w:t>nt</w:t>
      </w:r>
      <w:r w:rsidR="004F0F63">
        <w:rPr>
          <w:lang w:eastAsia="zh-TW"/>
        </w:rPr>
        <w:t>erestingly, the movable</w:t>
      </w:r>
      <w:r w:rsidR="002E62B6">
        <w:rPr>
          <w:lang w:eastAsia="zh-TW"/>
        </w:rPr>
        <w:t xml:space="preserve">-type </w:t>
      </w:r>
      <w:r w:rsidR="004F0F63">
        <w:rPr>
          <w:lang w:eastAsia="zh-TW"/>
        </w:rPr>
        <w:t xml:space="preserve">printed book was reprinted by woodblock in 1926.  Many decades later, in the mid 1990s, a Gansu Muslim Abdullah Rashid Cheng </w:t>
      </w:r>
      <w:proofErr w:type="spellStart"/>
      <w:r w:rsidR="004F0F63">
        <w:rPr>
          <w:lang w:eastAsia="zh-TW"/>
        </w:rPr>
        <w:t>Halu</w:t>
      </w:r>
      <w:proofErr w:type="spellEnd"/>
      <w:r w:rsidR="004F0F63">
        <w:rPr>
          <w:lang w:eastAsia="zh-TW"/>
        </w:rPr>
        <w:t xml:space="preserve"> similarly compiled what he claim</w:t>
      </w:r>
      <w:r w:rsidR="002E62B6">
        <w:rPr>
          <w:lang w:eastAsia="zh-TW"/>
        </w:rPr>
        <w:t>ed</w:t>
      </w:r>
      <w:r w:rsidR="004F0F63">
        <w:rPr>
          <w:lang w:eastAsia="zh-TW"/>
        </w:rPr>
        <w:t xml:space="preserve"> to be a translation of “Islamic moral tales”</w:t>
      </w:r>
      <w:r w:rsidR="004F0F63">
        <w:rPr>
          <w:rFonts w:hint="eastAsia"/>
        </w:rPr>
        <w:t>伊斯兰劝善故事</w:t>
      </w:r>
      <w:r w:rsidR="004F0F63">
        <w:rPr>
          <w:rFonts w:hint="eastAsia"/>
          <w:lang w:eastAsia="zh-TW"/>
        </w:rPr>
        <w:t xml:space="preserve"> </w:t>
      </w:r>
      <w:proofErr w:type="spellStart"/>
      <w:r w:rsidR="004F0F63" w:rsidRPr="004F0F63">
        <w:rPr>
          <w:i/>
          <w:iCs/>
          <w:lang w:eastAsia="zh-TW"/>
        </w:rPr>
        <w:t>Yisilan</w:t>
      </w:r>
      <w:proofErr w:type="spellEnd"/>
      <w:r w:rsidR="004F0F63" w:rsidRPr="004F0F63">
        <w:rPr>
          <w:i/>
          <w:iCs/>
          <w:lang w:eastAsia="zh-TW"/>
        </w:rPr>
        <w:t xml:space="preserve"> </w:t>
      </w:r>
      <w:proofErr w:type="spellStart"/>
      <w:r w:rsidR="004F0F63" w:rsidRPr="004F0F63">
        <w:rPr>
          <w:i/>
          <w:iCs/>
          <w:lang w:eastAsia="zh-TW"/>
        </w:rPr>
        <w:t>quanshan</w:t>
      </w:r>
      <w:proofErr w:type="spellEnd"/>
      <w:r w:rsidR="004F0F63" w:rsidRPr="004F0F63">
        <w:rPr>
          <w:i/>
          <w:iCs/>
          <w:lang w:eastAsia="zh-TW"/>
        </w:rPr>
        <w:t xml:space="preserve"> </w:t>
      </w:r>
      <w:proofErr w:type="spellStart"/>
      <w:r w:rsidR="004F0F63" w:rsidRPr="004F0F63">
        <w:rPr>
          <w:i/>
          <w:iCs/>
          <w:lang w:eastAsia="zh-TW"/>
        </w:rPr>
        <w:t>gushi</w:t>
      </w:r>
      <w:proofErr w:type="spellEnd"/>
      <w:r w:rsidR="004F0F63">
        <w:rPr>
          <w:lang w:eastAsia="zh-TW"/>
        </w:rPr>
        <w:t xml:space="preserve">.  </w:t>
      </w:r>
      <w:r w:rsidR="004F0F63">
        <w:rPr>
          <w:lang w:val="en-GB" w:eastAsia="zh-TW"/>
        </w:rPr>
        <w:t>T</w:t>
      </w:r>
      <w:r w:rsidR="004F0F63">
        <w:rPr>
          <w:lang w:val="en-GB"/>
        </w:rPr>
        <w:t>his paper aims to write a synthetic historical account for the rise of popular M</w:t>
      </w:r>
      <w:r w:rsidR="004F0F63">
        <w:rPr>
          <w:rFonts w:hint="eastAsia"/>
          <w:lang w:val="en-GB"/>
        </w:rPr>
        <w:t>usli</w:t>
      </w:r>
      <w:r w:rsidR="004F0F63">
        <w:rPr>
          <w:lang w:val="en-GB"/>
        </w:rPr>
        <w:t>m print culture in the early and late 20</w:t>
      </w:r>
      <w:r w:rsidR="004F0F63" w:rsidRPr="004F0F63">
        <w:rPr>
          <w:vertAlign w:val="superscript"/>
          <w:lang w:val="en-GB"/>
        </w:rPr>
        <w:t>th</w:t>
      </w:r>
      <w:r w:rsidR="004F0F63">
        <w:rPr>
          <w:lang w:val="en-GB"/>
        </w:rPr>
        <w:t xml:space="preserve"> century,</w:t>
      </w:r>
      <w:r w:rsidR="002E62B6">
        <w:rPr>
          <w:lang w:val="en-GB"/>
        </w:rPr>
        <w:t xml:space="preserve"> respectively,</w:t>
      </w:r>
      <w:r w:rsidR="004F0F63">
        <w:rPr>
          <w:lang w:val="en-GB"/>
        </w:rPr>
        <w:t xml:space="preserve"> when momentous social changes in the larger Chinese society brought about a proliferation of print culture. Rather than seeing Islam and Islamic education as detached and antagonistic to the </w:t>
      </w:r>
      <w:r w:rsidR="002E62B6">
        <w:rPr>
          <w:lang w:val="en-GB"/>
        </w:rPr>
        <w:t>largely</w:t>
      </w:r>
      <w:r w:rsidR="004F0F63">
        <w:rPr>
          <w:lang w:val="en-GB"/>
        </w:rPr>
        <w:t xml:space="preserve"> secularist </w:t>
      </w:r>
      <w:r w:rsidR="002E62B6">
        <w:rPr>
          <w:lang w:val="en-GB"/>
        </w:rPr>
        <w:t>culture that embedded it, I argue that print culture was a pressure point that many among the Muslim intellectuals felt enticed and empowered by. T</w:t>
      </w:r>
      <w:r w:rsidR="002E62B6">
        <w:rPr>
          <w:rFonts w:hint="eastAsia"/>
          <w:lang w:val="en-GB"/>
        </w:rPr>
        <w:t>he pape</w:t>
      </w:r>
      <w:r w:rsidR="002E62B6">
        <w:rPr>
          <w:lang w:val="en-GB"/>
        </w:rPr>
        <w:t xml:space="preserve">r also uses those two cases as evidence to argue that a Muslim modernism, nevertheless, had to rely on an international source of legitimation and deflect accusations of heterodoxy by undermining the authors’ own authorial agency.   </w:t>
      </w:r>
    </w:p>
    <w:p w14:paraId="0699A5FC" w14:textId="77777777" w:rsidR="002E62B6" w:rsidRDefault="002E62B6" w:rsidP="00F51951">
      <w:pPr>
        <w:rPr>
          <w:lang w:val="en-GB"/>
        </w:rPr>
      </w:pPr>
    </w:p>
    <w:p w14:paraId="4A71418E" w14:textId="77777777" w:rsidR="002E62B6" w:rsidRDefault="002E62B6" w:rsidP="002E62B6">
      <w:pPr>
        <w:spacing w:before="100" w:beforeAutospacing="1" w:after="100" w:afterAutospacing="1" w:line="240" w:lineRule="auto"/>
        <w:outlineLvl w:val="2"/>
        <w:rPr>
          <w:rFonts w:ascii="Times New Roman" w:eastAsia="Times New Roman" w:hAnsi="Times New Roman"/>
          <w:kern w:val="0"/>
          <w14:ligatures w14:val="none"/>
        </w:rPr>
      </w:pPr>
      <w:r w:rsidRPr="002E62B6">
        <w:rPr>
          <w:rFonts w:ascii="Times New Roman" w:eastAsia="Times New Roman" w:hAnsi="Times New Roman"/>
          <w:kern w:val="0"/>
          <w14:ligatures w14:val="none"/>
        </w:rPr>
        <w:t>Affect, Drama, and Erotic Lure: Moral Tales and the Rise of a Popular Muslim Print Culture</w:t>
      </w:r>
    </w:p>
    <w:p w14:paraId="67A2AFE7" w14:textId="4C890240" w:rsidR="00AB6DFE" w:rsidRDefault="00AB6DFE" w:rsidP="00AB6DFE">
      <w:pPr>
        <w:spacing w:after="0" w:line="240" w:lineRule="auto"/>
        <w:outlineLvl w:val="2"/>
        <w:rPr>
          <w:rFonts w:ascii="Times New Roman" w:eastAsia="Times New Roman" w:hAnsi="Times New Roman"/>
          <w:kern w:val="0"/>
          <w14:ligatures w14:val="none"/>
        </w:rPr>
      </w:pPr>
      <w:r>
        <w:rPr>
          <w:rFonts w:ascii="Times New Roman" w:eastAsia="Times New Roman" w:hAnsi="Times New Roman"/>
          <w:kern w:val="0"/>
          <w14:ligatures w14:val="none"/>
        </w:rPr>
        <w:t>Peng Hai</w:t>
      </w:r>
    </w:p>
    <w:p w14:paraId="2B0BD967" w14:textId="14A2561B" w:rsidR="00AB6DFE" w:rsidRDefault="00AB6DFE" w:rsidP="00AB6DFE">
      <w:pPr>
        <w:spacing w:after="0" w:line="240" w:lineRule="auto"/>
        <w:outlineLvl w:val="2"/>
        <w:rPr>
          <w:rFonts w:ascii="Times New Roman" w:eastAsia="Times New Roman" w:hAnsi="Times New Roman"/>
          <w:kern w:val="0"/>
          <w14:ligatures w14:val="none"/>
        </w:rPr>
      </w:pPr>
      <w:r>
        <w:rPr>
          <w:rFonts w:ascii="Times New Roman" w:eastAsia="Times New Roman" w:hAnsi="Times New Roman"/>
          <w:kern w:val="0"/>
          <w14:ligatures w14:val="none"/>
        </w:rPr>
        <w:t>Assistant Professor of History</w:t>
      </w:r>
    </w:p>
    <w:p w14:paraId="2699D2BE" w14:textId="0E94E096" w:rsidR="00AB6DFE" w:rsidRDefault="00AB6DFE" w:rsidP="00AB6DFE">
      <w:pPr>
        <w:spacing w:after="0" w:line="240" w:lineRule="auto"/>
        <w:outlineLvl w:val="2"/>
        <w:rPr>
          <w:rFonts w:ascii="Times New Roman" w:eastAsia="Times New Roman" w:hAnsi="Times New Roman"/>
          <w:kern w:val="0"/>
          <w14:ligatures w14:val="none"/>
        </w:rPr>
      </w:pPr>
      <w:r>
        <w:rPr>
          <w:rFonts w:ascii="Times New Roman" w:eastAsia="Times New Roman" w:hAnsi="Times New Roman"/>
          <w:kern w:val="0"/>
          <w14:ligatures w14:val="none"/>
        </w:rPr>
        <w:t>University of Pittsburgh</w:t>
      </w:r>
    </w:p>
    <w:p w14:paraId="64A9683A" w14:textId="77777777" w:rsidR="00AB6DFE" w:rsidRPr="002E62B6" w:rsidRDefault="00AB6DFE" w:rsidP="00AB6DFE">
      <w:pPr>
        <w:spacing w:after="0" w:line="240" w:lineRule="auto"/>
        <w:outlineLvl w:val="2"/>
        <w:rPr>
          <w:rFonts w:ascii="Times New Roman" w:eastAsia="Times New Roman" w:hAnsi="Times New Roman"/>
          <w:kern w:val="0"/>
          <w:lang w:val="en-GB"/>
          <w14:ligatures w14:val="none"/>
        </w:rPr>
      </w:pPr>
    </w:p>
    <w:p w14:paraId="74FAC34B" w14:textId="38DF83FC" w:rsidR="002E62B6" w:rsidRPr="002E62B6" w:rsidRDefault="002E62B6" w:rsidP="00AB6DFE">
      <w:pPr>
        <w:spacing w:before="100" w:beforeAutospacing="1" w:after="100" w:afterAutospacing="1" w:line="240" w:lineRule="auto"/>
        <w:rPr>
          <w:rFonts w:ascii="Times New Roman" w:eastAsia="Times New Roman" w:hAnsi="Times New Roman"/>
          <w:kern w:val="0"/>
          <w14:ligatures w14:val="none"/>
        </w:rPr>
      </w:pPr>
      <w:r w:rsidRPr="002E62B6">
        <w:rPr>
          <w:rFonts w:ascii="Times New Roman" w:eastAsia="Times New Roman" w:hAnsi="Times New Roman"/>
          <w:kern w:val="0"/>
          <w14:ligatures w14:val="none"/>
        </w:rPr>
        <w:t xml:space="preserve">In 1919, a Hui Muslim writer from Hebei, Li Tingxiang, published a collection of “strange tales” that fused seduction, theft, and moral transgression with didactic purpose. In his preface, Li </w:t>
      </w:r>
      <w:r w:rsidRPr="002E62B6">
        <w:rPr>
          <w:rFonts w:ascii="Times New Roman" w:eastAsia="Times New Roman" w:hAnsi="Times New Roman"/>
          <w:kern w:val="0"/>
          <w14:ligatures w14:val="none"/>
        </w:rPr>
        <w:lastRenderedPageBreak/>
        <w:t>lamented that conventional religious texts no longer appealed to Muslim readers, who now devoured novels, plays, and unofficial histories. To win back their attention, he blended affect, drama, and moral exhortation</w:t>
      </w:r>
      <w:r w:rsidR="00AB6DFE">
        <w:rPr>
          <w:rFonts w:ascii="Times New Roman" w:eastAsia="Times New Roman" w:hAnsi="Times New Roman"/>
          <w:kern w:val="0"/>
          <w14:ligatures w14:val="none"/>
        </w:rPr>
        <w:t xml:space="preserve"> and </w:t>
      </w:r>
      <w:r w:rsidRPr="002E62B6">
        <w:rPr>
          <w:rFonts w:ascii="Times New Roman" w:eastAsia="Times New Roman" w:hAnsi="Times New Roman"/>
          <w:kern w:val="0"/>
          <w14:ligatures w14:val="none"/>
        </w:rPr>
        <w:t>assert</w:t>
      </w:r>
      <w:r w:rsidR="00AB6DFE">
        <w:rPr>
          <w:rFonts w:ascii="Times New Roman" w:eastAsia="Times New Roman" w:hAnsi="Times New Roman"/>
          <w:kern w:val="0"/>
          <w14:ligatures w14:val="none"/>
        </w:rPr>
        <w:t>ed</w:t>
      </w:r>
      <w:r w:rsidRPr="002E62B6">
        <w:rPr>
          <w:rFonts w:ascii="Times New Roman" w:eastAsia="Times New Roman" w:hAnsi="Times New Roman"/>
          <w:kern w:val="0"/>
          <w14:ligatures w14:val="none"/>
        </w:rPr>
        <w:t xml:space="preserve"> that his sensational stories were nonetheless grounded in authoritative histories. Tellingly, his movable-type publication was later reprinted using woodblocks in 1926, signaling</w:t>
      </w:r>
      <w:r w:rsidR="00AB6DFE">
        <w:rPr>
          <w:rFonts w:ascii="Times New Roman" w:eastAsia="Times New Roman" w:hAnsi="Times New Roman"/>
          <w:kern w:val="0"/>
          <w14:ligatures w14:val="none"/>
        </w:rPr>
        <w:t xml:space="preserve"> popular demand</w:t>
      </w:r>
      <w:r w:rsidRPr="002E62B6">
        <w:rPr>
          <w:rFonts w:ascii="Times New Roman" w:eastAsia="Times New Roman" w:hAnsi="Times New Roman"/>
          <w:kern w:val="0"/>
          <w14:ligatures w14:val="none"/>
        </w:rPr>
        <w:t>.</w:t>
      </w:r>
      <w:r w:rsidR="00AB6DFE">
        <w:rPr>
          <w:rFonts w:ascii="Times New Roman" w:eastAsia="Times New Roman" w:hAnsi="Times New Roman"/>
          <w:kern w:val="0"/>
          <w14:ligatures w14:val="none"/>
        </w:rPr>
        <w:t xml:space="preserve"> </w:t>
      </w:r>
      <w:r w:rsidRPr="002E62B6">
        <w:rPr>
          <w:rFonts w:ascii="Times New Roman" w:eastAsia="Times New Roman" w:hAnsi="Times New Roman"/>
          <w:kern w:val="0"/>
          <w14:ligatures w14:val="none"/>
        </w:rPr>
        <w:t xml:space="preserve">Several decades later, in the mid-1990s, the Gansu Muslim compiler Abdullah Rashid Cheng </w:t>
      </w:r>
      <w:proofErr w:type="spellStart"/>
      <w:r w:rsidRPr="002E62B6">
        <w:rPr>
          <w:rFonts w:ascii="Times New Roman" w:eastAsia="Times New Roman" w:hAnsi="Times New Roman"/>
          <w:kern w:val="0"/>
          <w14:ligatures w14:val="none"/>
        </w:rPr>
        <w:t>Halu</w:t>
      </w:r>
      <w:proofErr w:type="spellEnd"/>
      <w:r w:rsidRPr="002E62B6">
        <w:rPr>
          <w:rFonts w:ascii="Times New Roman" w:eastAsia="Times New Roman" w:hAnsi="Times New Roman"/>
          <w:kern w:val="0"/>
          <w14:ligatures w14:val="none"/>
        </w:rPr>
        <w:t xml:space="preserve"> published</w:t>
      </w:r>
      <w:r w:rsidR="00AB6DFE">
        <w:rPr>
          <w:rFonts w:ascii="Times New Roman" w:eastAsia="Times New Roman" w:hAnsi="Times New Roman"/>
          <w:kern w:val="0"/>
          <w14:ligatures w14:val="none"/>
        </w:rPr>
        <w:t xml:space="preserve"> </w:t>
      </w:r>
      <w:proofErr w:type="spellStart"/>
      <w:r w:rsidR="00AB6DFE" w:rsidRPr="00AB6DFE">
        <w:rPr>
          <w:rFonts w:ascii="Times New Roman" w:eastAsia="Times New Roman" w:hAnsi="Times New Roman"/>
          <w:i/>
          <w:iCs/>
          <w:kern w:val="0"/>
          <w14:ligatures w14:val="none"/>
        </w:rPr>
        <w:t>Shiliu</w:t>
      </w:r>
      <w:proofErr w:type="spellEnd"/>
      <w:r w:rsidR="00AB6DFE" w:rsidRPr="00AB6DFE">
        <w:rPr>
          <w:rFonts w:ascii="Times New Roman" w:eastAsia="Times New Roman" w:hAnsi="Times New Roman"/>
          <w:i/>
          <w:iCs/>
          <w:kern w:val="0"/>
          <w14:ligatures w14:val="none"/>
        </w:rPr>
        <w:t xml:space="preserve"> yuan</w:t>
      </w:r>
      <w:r w:rsidRPr="002E62B6">
        <w:rPr>
          <w:rFonts w:ascii="Times New Roman" w:eastAsia="Times New Roman" w:hAnsi="Times New Roman"/>
          <w:kern w:val="0"/>
          <w14:ligatures w14:val="none"/>
        </w:rPr>
        <w:t xml:space="preserve"> </w:t>
      </w:r>
      <w:r w:rsidR="00AB6DFE">
        <w:rPr>
          <w:rFonts w:ascii="Times New Roman" w:eastAsia="Times New Roman" w:hAnsi="Times New Roman"/>
          <w:kern w:val="0"/>
          <w14:ligatures w14:val="none"/>
        </w:rPr>
        <w:t xml:space="preserve">or </w:t>
      </w:r>
      <w:r w:rsidR="00AB6DFE" w:rsidRPr="00AB6DFE">
        <w:rPr>
          <w:rFonts w:ascii="Times New Roman" w:eastAsia="Times New Roman" w:hAnsi="Times New Roman"/>
          <w:i/>
          <w:iCs/>
          <w:kern w:val="0"/>
          <w14:ligatures w14:val="none"/>
        </w:rPr>
        <w:t>Pomegranate Orchard</w:t>
      </w:r>
      <w:r w:rsidR="00AB6DFE">
        <w:rPr>
          <w:rFonts w:ascii="Times New Roman" w:eastAsia="Times New Roman" w:hAnsi="Times New Roman"/>
          <w:kern w:val="0"/>
          <w14:ligatures w14:val="none"/>
        </w:rPr>
        <w:t xml:space="preserve"> (subtitled </w:t>
      </w:r>
      <w:proofErr w:type="spellStart"/>
      <w:r w:rsidRPr="002E62B6">
        <w:rPr>
          <w:rFonts w:ascii="Times New Roman" w:eastAsia="Times New Roman" w:hAnsi="Times New Roman"/>
          <w:i/>
          <w:iCs/>
          <w:kern w:val="0"/>
          <w14:ligatures w14:val="none"/>
        </w:rPr>
        <w:t>Yisilan</w:t>
      </w:r>
      <w:proofErr w:type="spellEnd"/>
      <w:r w:rsidRPr="002E62B6">
        <w:rPr>
          <w:rFonts w:ascii="Times New Roman" w:eastAsia="Times New Roman" w:hAnsi="Times New Roman"/>
          <w:i/>
          <w:iCs/>
          <w:kern w:val="0"/>
          <w14:ligatures w14:val="none"/>
        </w:rPr>
        <w:t xml:space="preserve"> </w:t>
      </w:r>
      <w:proofErr w:type="spellStart"/>
      <w:r w:rsidRPr="002E62B6">
        <w:rPr>
          <w:rFonts w:ascii="Times New Roman" w:eastAsia="Times New Roman" w:hAnsi="Times New Roman"/>
          <w:i/>
          <w:iCs/>
          <w:kern w:val="0"/>
          <w14:ligatures w14:val="none"/>
        </w:rPr>
        <w:t>quanshan</w:t>
      </w:r>
      <w:proofErr w:type="spellEnd"/>
      <w:r w:rsidRPr="002E62B6">
        <w:rPr>
          <w:rFonts w:ascii="Times New Roman" w:eastAsia="Times New Roman" w:hAnsi="Times New Roman"/>
          <w:i/>
          <w:iCs/>
          <w:kern w:val="0"/>
          <w14:ligatures w14:val="none"/>
        </w:rPr>
        <w:t xml:space="preserve"> </w:t>
      </w:r>
      <w:proofErr w:type="spellStart"/>
      <w:r w:rsidRPr="002E62B6">
        <w:rPr>
          <w:rFonts w:ascii="Times New Roman" w:eastAsia="Times New Roman" w:hAnsi="Times New Roman"/>
          <w:i/>
          <w:iCs/>
          <w:kern w:val="0"/>
          <w14:ligatures w14:val="none"/>
        </w:rPr>
        <w:t>gushi</w:t>
      </w:r>
      <w:proofErr w:type="spellEnd"/>
      <w:r w:rsidRPr="002E62B6">
        <w:rPr>
          <w:rFonts w:ascii="Times New Roman" w:eastAsia="Times New Roman" w:hAnsi="Times New Roman"/>
          <w:kern w:val="0"/>
          <w14:ligatures w14:val="none"/>
        </w:rPr>
        <w:t xml:space="preserve"> </w:t>
      </w:r>
      <w:r w:rsidRPr="002E62B6">
        <w:rPr>
          <w:rFonts w:asciiTheme="minorEastAsia" w:hAnsiTheme="minorEastAsia" w:cs="Batang" w:hint="eastAsia"/>
          <w:kern w:val="0"/>
          <w14:ligatures w14:val="none"/>
        </w:rPr>
        <w:t>伊斯</w:t>
      </w:r>
      <w:r w:rsidRPr="002E62B6">
        <w:rPr>
          <w:rFonts w:asciiTheme="minorEastAsia" w:hAnsiTheme="minorEastAsia" w:cs="PingFang TC" w:hint="eastAsia"/>
          <w:kern w:val="0"/>
          <w14:ligatures w14:val="none"/>
        </w:rPr>
        <w:t>兰劝</w:t>
      </w:r>
      <w:r w:rsidRPr="002E62B6">
        <w:rPr>
          <w:rFonts w:asciiTheme="minorEastAsia" w:hAnsiTheme="minorEastAsia" w:cs="Batang" w:hint="eastAsia"/>
          <w:kern w:val="0"/>
          <w14:ligatures w14:val="none"/>
        </w:rPr>
        <w:t>善故事</w:t>
      </w:r>
      <w:r w:rsidRPr="002E62B6">
        <w:rPr>
          <w:rFonts w:ascii="Times New Roman" w:eastAsia="Times New Roman" w:hAnsi="Times New Roman"/>
          <w:kern w:val="0"/>
          <w14:ligatures w14:val="none"/>
        </w:rPr>
        <w:t xml:space="preserve">), claiming to translate a body of “Islamic” </w:t>
      </w:r>
      <w:r w:rsidR="00AB6DFE">
        <w:rPr>
          <w:rFonts w:ascii="Times New Roman" w:eastAsia="Times New Roman" w:hAnsi="Times New Roman"/>
          <w:kern w:val="0"/>
          <w14:ligatures w14:val="none"/>
        </w:rPr>
        <w:t>moral tales</w:t>
      </w:r>
      <w:r w:rsidRPr="002E62B6">
        <w:rPr>
          <w:rFonts w:ascii="Times New Roman" w:eastAsia="Times New Roman" w:hAnsi="Times New Roman"/>
          <w:kern w:val="0"/>
          <w14:ligatures w14:val="none"/>
        </w:rPr>
        <w:t>. Like Li, Cheng negotiated the tension between religious authority and popular appeal, situating moral instruction within the affective and commercial logics of modern print culture.</w:t>
      </w:r>
      <w:r w:rsidR="00AB6DFE">
        <w:rPr>
          <w:rFonts w:ascii="Times New Roman" w:eastAsia="Times New Roman" w:hAnsi="Times New Roman"/>
          <w:kern w:val="0"/>
          <w14:ligatures w14:val="none"/>
        </w:rPr>
        <w:t xml:space="preserve"> </w:t>
      </w:r>
      <w:r w:rsidRPr="002E62B6">
        <w:rPr>
          <w:rFonts w:ascii="Times New Roman" w:eastAsia="Times New Roman" w:hAnsi="Times New Roman"/>
          <w:kern w:val="0"/>
          <w14:ligatures w14:val="none"/>
        </w:rPr>
        <w:t>This paper traces the emergence of a popular Muslim print culture in China across the early and late twentieth century</w:t>
      </w:r>
      <w:r w:rsidR="00AB6DFE">
        <w:rPr>
          <w:rFonts w:ascii="Times New Roman" w:eastAsia="Times New Roman" w:hAnsi="Times New Roman"/>
          <w:kern w:val="0"/>
          <w14:ligatures w14:val="none"/>
        </w:rPr>
        <w:t xml:space="preserve"> – two moments </w:t>
      </w:r>
      <w:r w:rsidR="00AB6DFE" w:rsidRPr="00AB6DFE">
        <w:rPr>
          <w:rFonts w:ascii="Times New Roman" w:hAnsi="Times New Roman"/>
          <w:lang w:val="en-GB"/>
        </w:rPr>
        <w:t>when momentous social changes in the larger Chinese society brought about a proliferation of print culture</w:t>
      </w:r>
      <w:r w:rsidRPr="002E62B6">
        <w:rPr>
          <w:rFonts w:ascii="Times New Roman" w:eastAsia="Times New Roman" w:hAnsi="Times New Roman"/>
          <w:kern w:val="0"/>
          <w14:ligatures w14:val="none"/>
        </w:rPr>
        <w:t xml:space="preserve">. </w:t>
      </w:r>
      <w:r w:rsidR="00AB6DFE" w:rsidRPr="00AB6DFE">
        <w:rPr>
          <w:rFonts w:ascii="Times New Roman" w:hAnsi="Times New Roman"/>
        </w:rPr>
        <w:t>Rather than viewing Islam and Islamic education as detached from or antagonistic to the secular culture that encompassed them, I argue that print culture became a dynamic site through which Muslim intellectuals were both enticed and empowered to reimagine religious expression</w:t>
      </w:r>
      <w:r w:rsidRPr="002E62B6">
        <w:rPr>
          <w:rFonts w:ascii="Times New Roman" w:eastAsia="Times New Roman" w:hAnsi="Times New Roman"/>
          <w:kern w:val="0"/>
          <w14:ligatures w14:val="none"/>
        </w:rPr>
        <w:t>. Yet their experiments in form and genre also exposed the fragility of Muslim modernism in China, which sought international legitimacy while curbing its own authorial agency to evade accusations of heterodoxy.</w:t>
      </w:r>
    </w:p>
    <w:p w14:paraId="32F93A6C" w14:textId="77777777" w:rsidR="002E62B6" w:rsidRPr="002E62B6" w:rsidRDefault="002E62B6" w:rsidP="00F51951"/>
    <w:sectPr w:rsidR="002E62B6" w:rsidRPr="002E6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83D0C"/>
    <w:multiLevelType w:val="hybridMultilevel"/>
    <w:tmpl w:val="192AA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B7143B"/>
    <w:multiLevelType w:val="hybridMultilevel"/>
    <w:tmpl w:val="192AAC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7088475">
    <w:abstractNumId w:val="0"/>
  </w:num>
  <w:num w:numId="2" w16cid:durableId="1602831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8E9"/>
    <w:rsid w:val="00077497"/>
    <w:rsid w:val="001218E9"/>
    <w:rsid w:val="001D2B9A"/>
    <w:rsid w:val="001E27B9"/>
    <w:rsid w:val="00201D27"/>
    <w:rsid w:val="002E62B6"/>
    <w:rsid w:val="0034222B"/>
    <w:rsid w:val="004F0F63"/>
    <w:rsid w:val="005614C2"/>
    <w:rsid w:val="00583F06"/>
    <w:rsid w:val="005E4EBD"/>
    <w:rsid w:val="0060109D"/>
    <w:rsid w:val="00604DA9"/>
    <w:rsid w:val="006358D3"/>
    <w:rsid w:val="00660F78"/>
    <w:rsid w:val="00695224"/>
    <w:rsid w:val="007B453F"/>
    <w:rsid w:val="008C0B35"/>
    <w:rsid w:val="00980058"/>
    <w:rsid w:val="009D5E67"/>
    <w:rsid w:val="00AB6DFE"/>
    <w:rsid w:val="00B174DA"/>
    <w:rsid w:val="00B347B2"/>
    <w:rsid w:val="00B71A71"/>
    <w:rsid w:val="00CE279F"/>
    <w:rsid w:val="00CE4A3C"/>
    <w:rsid w:val="00E01A11"/>
    <w:rsid w:val="00E21208"/>
    <w:rsid w:val="00EB7FC0"/>
    <w:rsid w:val="00F51951"/>
    <w:rsid w:val="00F97FFD"/>
    <w:rsid w:val="00FA5D1B"/>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ecimalSymbol w:val="."/>
  <w:listSeparator w:val=","/>
  <w14:docId w14:val="175A0886"/>
  <w15:chartTrackingRefBased/>
  <w15:docId w15:val="{B73B7489-F91E-524C-A5F8-9769AFE2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ug-C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121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1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1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1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1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1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1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1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1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1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1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8E9"/>
    <w:rPr>
      <w:rFonts w:eastAsiaTheme="majorEastAsia" w:cstheme="majorBidi"/>
      <w:color w:val="272727" w:themeColor="text1" w:themeTint="D8"/>
    </w:rPr>
  </w:style>
  <w:style w:type="paragraph" w:styleId="Title">
    <w:name w:val="Title"/>
    <w:basedOn w:val="Normal"/>
    <w:next w:val="Normal"/>
    <w:link w:val="TitleChar"/>
    <w:uiPriority w:val="10"/>
    <w:qFormat/>
    <w:rsid w:val="00121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8E9"/>
    <w:pPr>
      <w:spacing w:before="160"/>
      <w:jc w:val="center"/>
    </w:pPr>
    <w:rPr>
      <w:i/>
      <w:iCs/>
      <w:color w:val="404040" w:themeColor="text1" w:themeTint="BF"/>
    </w:rPr>
  </w:style>
  <w:style w:type="character" w:customStyle="1" w:styleId="QuoteChar">
    <w:name w:val="Quote Char"/>
    <w:basedOn w:val="DefaultParagraphFont"/>
    <w:link w:val="Quote"/>
    <w:uiPriority w:val="29"/>
    <w:rsid w:val="001218E9"/>
    <w:rPr>
      <w:rFonts w:cs="Times New Roman"/>
      <w:i/>
      <w:iCs/>
      <w:color w:val="404040" w:themeColor="text1" w:themeTint="BF"/>
    </w:rPr>
  </w:style>
  <w:style w:type="paragraph" w:styleId="ListParagraph">
    <w:name w:val="List Paragraph"/>
    <w:basedOn w:val="Normal"/>
    <w:uiPriority w:val="34"/>
    <w:qFormat/>
    <w:rsid w:val="001218E9"/>
    <w:pPr>
      <w:ind w:left="720"/>
      <w:contextualSpacing/>
    </w:pPr>
  </w:style>
  <w:style w:type="character" w:styleId="IntenseEmphasis">
    <w:name w:val="Intense Emphasis"/>
    <w:basedOn w:val="DefaultParagraphFont"/>
    <w:uiPriority w:val="21"/>
    <w:qFormat/>
    <w:rsid w:val="001218E9"/>
    <w:rPr>
      <w:i/>
      <w:iCs/>
      <w:color w:val="2F5496" w:themeColor="accent1" w:themeShade="BF"/>
    </w:rPr>
  </w:style>
  <w:style w:type="paragraph" w:styleId="IntenseQuote">
    <w:name w:val="Intense Quote"/>
    <w:basedOn w:val="Normal"/>
    <w:next w:val="Normal"/>
    <w:link w:val="IntenseQuoteChar"/>
    <w:uiPriority w:val="30"/>
    <w:qFormat/>
    <w:rsid w:val="00121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18E9"/>
    <w:rPr>
      <w:rFonts w:cs="Times New Roman"/>
      <w:i/>
      <w:iCs/>
      <w:color w:val="2F5496" w:themeColor="accent1" w:themeShade="BF"/>
    </w:rPr>
  </w:style>
  <w:style w:type="character" w:styleId="IntenseReference">
    <w:name w:val="Intense Reference"/>
    <w:basedOn w:val="DefaultParagraphFont"/>
    <w:uiPriority w:val="32"/>
    <w:qFormat/>
    <w:rsid w:val="001218E9"/>
    <w:rPr>
      <w:b/>
      <w:bCs/>
      <w:smallCaps/>
      <w:color w:val="2F5496" w:themeColor="accent1" w:themeShade="BF"/>
      <w:spacing w:val="5"/>
    </w:rPr>
  </w:style>
  <w:style w:type="character" w:styleId="Strong">
    <w:name w:val="Strong"/>
    <w:basedOn w:val="DefaultParagraphFont"/>
    <w:uiPriority w:val="22"/>
    <w:qFormat/>
    <w:rsid w:val="002E62B6"/>
    <w:rPr>
      <w:b/>
      <w:bCs/>
    </w:rPr>
  </w:style>
  <w:style w:type="paragraph" w:styleId="NormalWeb">
    <w:name w:val="Normal (Web)"/>
    <w:basedOn w:val="Normal"/>
    <w:uiPriority w:val="99"/>
    <w:semiHidden/>
    <w:unhideWhenUsed/>
    <w:rsid w:val="002E62B6"/>
    <w:pPr>
      <w:spacing w:before="100" w:beforeAutospacing="1" w:after="100" w:afterAutospacing="1" w:line="240" w:lineRule="auto"/>
    </w:pPr>
    <w:rPr>
      <w:rFonts w:ascii="Times New Roman" w:eastAsia="Times New Roman" w:hAnsi="Times New Roman"/>
      <w:kern w:val="0"/>
      <w14:ligatures w14:val="none"/>
    </w:rPr>
  </w:style>
  <w:style w:type="character" w:styleId="Emphasis">
    <w:name w:val="Emphasis"/>
    <w:basedOn w:val="DefaultParagraphFont"/>
    <w:uiPriority w:val="20"/>
    <w:qFormat/>
    <w:rsid w:val="002E62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1442</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Peng</dc:creator>
  <cp:keywords/>
  <dc:description/>
  <cp:lastModifiedBy>Hai, Peng</cp:lastModifiedBy>
  <cp:revision>6</cp:revision>
  <dcterms:created xsi:type="dcterms:W3CDTF">2025-06-18T04:54:00Z</dcterms:created>
  <dcterms:modified xsi:type="dcterms:W3CDTF">2025-12-05T14:40:00Z</dcterms:modified>
</cp:coreProperties>
</file>