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2BFC" w14:textId="77777777" w:rsidR="00DB6D14" w:rsidRDefault="00000000">
      <w:pPr>
        <w:pStyle w:val="aa"/>
        <w:spacing w:after="40"/>
        <w:jc w:val="center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4×4 Torus Gold Router 设计说明（确认版）</w:t>
      </w:r>
    </w:p>
    <w:p w14:paraId="521338B7" w14:textId="77777777" w:rsidR="00DB6D14" w:rsidRDefault="00000000">
      <w:pPr>
        <w:spacing w:line="240" w:lineRule="auto"/>
        <w:jc w:val="center"/>
        <w:rPr>
          <w:lang w:eastAsia="zh-CN"/>
        </w:rPr>
      </w:pPr>
      <w:r>
        <w:rPr>
          <w:color w:val="5A5A5A"/>
          <w:lang w:eastAsia="zh-CN"/>
        </w:rPr>
        <w:t>基于课程资料与当前已确认设计细节整理</w:t>
      </w:r>
    </w:p>
    <w:p w14:paraId="467399F9" w14:textId="77777777" w:rsidR="00DB6D14" w:rsidRDefault="00DB6D14">
      <w:pPr>
        <w:pBdr>
          <w:bottom w:val="single" w:sz="8" w:space="1" w:color="D9E2F3"/>
        </w:pBdr>
        <w:spacing w:after="240" w:line="240" w:lineRule="auto"/>
        <w:rPr>
          <w:lang w:eastAsia="zh-CN"/>
        </w:rPr>
      </w:pPr>
    </w:p>
    <w:p w14:paraId="5BE6C8F6" w14:textId="77777777" w:rsidR="00DB6D14" w:rsidRDefault="00000000">
      <w:pPr>
        <w:pStyle w:val="1"/>
        <w:spacing w:before="0" w:after="120" w:line="30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设计范围</w:t>
      </w:r>
    </w:p>
    <w:p w14:paraId="3FB86799" w14:textId="77777777" w:rsidR="00DB6D14" w:rsidRDefault="00000000">
      <w:pPr>
        <w:spacing w:after="160" w:line="307" w:lineRule="auto"/>
      </w:pPr>
      <w:r>
        <w:t>本次 gold router 面向 4×4 torus 路由网络，是在课程原始 gold router 设计思想基础上的二维扩展版本。它保留了原设计中的关键骨架，包括 64-bit fixed-size packet、2 个 virtual channels、input/output channel buffers、clocked synchronous router、ready/send 握手机制，以及 virtual cut-through 风格的逐跳转发。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DB6D14" w14:paraId="053A9659" w14:textId="77777777">
        <w:trPr>
          <w:jc w:val="center"/>
        </w:trPr>
        <w:tc>
          <w:tcPr>
            <w:tcW w:w="2268" w:type="dxa"/>
            <w:shd w:val="clear" w:color="auto" w:fill="EAF1FB"/>
            <w:vAlign w:val="center"/>
          </w:tcPr>
          <w:p w14:paraId="206B3772" w14:textId="77777777" w:rsidR="00DB6D14" w:rsidRDefault="00000000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拓扑</w:t>
            </w:r>
          </w:p>
        </w:tc>
        <w:tc>
          <w:tcPr>
            <w:tcW w:w="6350" w:type="dxa"/>
            <w:shd w:val="clear" w:color="auto" w:fill="F7FAFF"/>
            <w:vAlign w:val="center"/>
          </w:tcPr>
          <w:p w14:paraId="4C3AC23E" w14:textId="77777777" w:rsidR="00DB6D14" w:rsidRDefault="00000000">
            <w:pPr>
              <w:spacing w:line="276" w:lineRule="auto"/>
            </w:pPr>
            <w:r>
              <w:t>4×4 torus</w:t>
            </w:r>
          </w:p>
        </w:tc>
      </w:tr>
      <w:tr w:rsidR="00DB6D14" w14:paraId="3DCC75B9" w14:textId="77777777">
        <w:trPr>
          <w:jc w:val="center"/>
        </w:trPr>
        <w:tc>
          <w:tcPr>
            <w:tcW w:w="2268" w:type="dxa"/>
            <w:shd w:val="clear" w:color="auto" w:fill="EAF1FB"/>
            <w:vAlign w:val="center"/>
          </w:tcPr>
          <w:p w14:paraId="33A6954C" w14:textId="77777777" w:rsidR="00DB6D14" w:rsidRDefault="00000000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物理端口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18BA4A98" w14:textId="77777777" w:rsidR="00DB6D14" w:rsidRDefault="00000000">
            <w:pPr>
              <w:spacing w:line="276" w:lineRule="auto"/>
            </w:pPr>
            <w:r>
              <w:t>N / S / W / E / PE</w:t>
            </w:r>
          </w:p>
        </w:tc>
      </w:tr>
      <w:tr w:rsidR="00DB6D14" w14:paraId="3FDCBECD" w14:textId="77777777">
        <w:trPr>
          <w:jc w:val="center"/>
        </w:trPr>
        <w:tc>
          <w:tcPr>
            <w:tcW w:w="2268" w:type="dxa"/>
            <w:shd w:val="clear" w:color="auto" w:fill="EAF1FB"/>
            <w:vAlign w:val="center"/>
          </w:tcPr>
          <w:p w14:paraId="67CCFF24" w14:textId="77777777" w:rsidR="00DB6D14" w:rsidRDefault="00000000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Packet 宽度</w:t>
            </w:r>
          </w:p>
        </w:tc>
        <w:tc>
          <w:tcPr>
            <w:tcW w:w="6350" w:type="dxa"/>
            <w:shd w:val="clear" w:color="auto" w:fill="F7FAFF"/>
            <w:vAlign w:val="center"/>
          </w:tcPr>
          <w:p w14:paraId="3E64E61D" w14:textId="77777777" w:rsidR="00DB6D14" w:rsidRDefault="00000000">
            <w:pPr>
              <w:spacing w:line="276" w:lineRule="auto"/>
            </w:pPr>
            <w:r>
              <w:t>64 bit，其中高 32 bit 为 header</w:t>
            </w:r>
          </w:p>
        </w:tc>
      </w:tr>
      <w:tr w:rsidR="00DB6D14" w14:paraId="55A56937" w14:textId="77777777">
        <w:trPr>
          <w:jc w:val="center"/>
        </w:trPr>
        <w:tc>
          <w:tcPr>
            <w:tcW w:w="2268" w:type="dxa"/>
            <w:shd w:val="clear" w:color="auto" w:fill="EAF1FB"/>
            <w:vAlign w:val="center"/>
          </w:tcPr>
          <w:p w14:paraId="12909744" w14:textId="77777777" w:rsidR="00DB6D14" w:rsidRDefault="00000000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VC 数量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5007C88B" w14:textId="77777777" w:rsidR="00DB6D14" w:rsidRDefault="00000000">
            <w:pPr>
              <w:spacing w:line="276" w:lineRule="auto"/>
            </w:pPr>
            <w:r>
              <w:t>每个物理端口 2 个 VC</w:t>
            </w:r>
          </w:p>
        </w:tc>
      </w:tr>
      <w:tr w:rsidR="00DB6D14" w14:paraId="1DDC0E61" w14:textId="77777777">
        <w:trPr>
          <w:jc w:val="center"/>
        </w:trPr>
        <w:tc>
          <w:tcPr>
            <w:tcW w:w="2268" w:type="dxa"/>
            <w:shd w:val="clear" w:color="auto" w:fill="EAF1FB"/>
            <w:vAlign w:val="center"/>
          </w:tcPr>
          <w:p w14:paraId="45C25253" w14:textId="77777777" w:rsidR="00DB6D14" w:rsidRDefault="00000000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当前实现</w:t>
            </w:r>
          </w:p>
        </w:tc>
        <w:tc>
          <w:tcPr>
            <w:tcW w:w="6350" w:type="dxa"/>
            <w:shd w:val="clear" w:color="auto" w:fill="F7FAFF"/>
            <w:vAlign w:val="center"/>
          </w:tcPr>
          <w:p w14:paraId="4ADD10D8" w14:textId="77777777" w:rsidR="00DB6D14" w:rsidRDefault="00000000">
            <w:pPr>
              <w:spacing w:line="276" w:lineRule="auto"/>
            </w:pPr>
            <w:r>
              <w:t>single-slot VC buffer 版本</w:t>
            </w:r>
          </w:p>
        </w:tc>
      </w:tr>
    </w:tbl>
    <w:p w14:paraId="1E2065E6" w14:textId="77777777" w:rsidR="00DB6D14" w:rsidRDefault="00000000">
      <w:pPr>
        <w:pStyle w:val="1"/>
        <w:spacing w:before="200" w:after="100" w:line="300" w:lineRule="auto"/>
      </w:pPr>
      <w:r>
        <w:rPr>
          <w:rFonts w:ascii="Noto Sans CJK SC" w:eastAsia="Noto Sans CJK SC" w:hAnsi="Noto Sans CJK SC"/>
        </w:rPr>
        <w:t>拓扑与端口</w:t>
      </w:r>
    </w:p>
    <w:p w14:paraId="5BF1E70B" w14:textId="77777777" w:rsidR="00DB6D14" w:rsidRDefault="00000000">
      <w:pPr>
        <w:spacing w:after="160" w:line="307" w:lineRule="auto"/>
      </w:pPr>
      <w:r>
        <w:t>每个 router 具有 5 个物理端口：N、S、W、E、PE。其中 PE 用于与本地 processor element 或 NIC 交互，其余四个方向端口用于连接相邻 router。当前确认的连接方式是同名 side 对接，也就是 N input 连接邻居的 N output，S/W/E 方向同理。因此，一个 packet 若要继续沿某个方向前进，在 router 内部通常表现为“同方向输入到同方向输出”，例如沿 E 方向继续前进时是 E_in → E_out，而不是对穿式转发。</w:t>
      </w:r>
    </w:p>
    <w:p w14:paraId="6A397D91" w14:textId="77777777" w:rsidR="00DB6D14" w:rsidRDefault="00000000">
      <w:pPr>
        <w:pStyle w:val="1"/>
        <w:spacing w:before="200" w:after="100" w:line="300" w:lineRule="auto"/>
      </w:pPr>
      <w:r>
        <w:rPr>
          <w:rFonts w:ascii="Noto Sans CJK SC" w:eastAsia="Noto Sans CJK SC" w:hAnsi="Noto Sans CJK SC"/>
        </w:rPr>
        <w:t>数据包与 Header</w:t>
      </w:r>
    </w:p>
    <w:p w14:paraId="3A930515" w14:textId="77777777" w:rsidR="00DB6D14" w:rsidRDefault="00000000">
      <w:pPr>
        <w:spacing w:after="160" w:line="307" w:lineRule="auto"/>
        <w:rPr>
          <w:lang w:eastAsia="zh-CN"/>
        </w:rPr>
      </w:pPr>
      <w:r>
        <w:t>当前确认的 packet 为固定 64 bit，其中高 32 bit 为 header，低 32 bit 作为 payload。32-bit header 定义如下：header[31] 为 vc，header[30] 为 dirx，header[29] 为 diry，header[28:25] 为 hops_x，header[24:21] 为 hops_y，header[20:17] 为 source_x，header[16:13] 为 source_y，header[12:9] 为 dest_x，header[8:5] 为 dest_y，header[4:0] 为 reserved。</w:t>
      </w:r>
      <w:r>
        <w:rPr>
          <w:lang w:eastAsia="zh-CN"/>
        </w:rPr>
        <w:t>dirx 编码为 0=E、1=W，diry 编码为 0=S、1=N。source_x/source_y 与 dest_x/dest_y 主要用于调试、波形分析和 testbench 检查。</w:t>
      </w:r>
    </w:p>
    <w:p w14:paraId="3536D590" w14:textId="77777777" w:rsidR="00DB6D14" w:rsidRDefault="00000000">
      <w:pPr>
        <w:pStyle w:val="1"/>
        <w:spacing w:before="200" w:after="100" w:line="30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路由算法</w:t>
      </w:r>
    </w:p>
    <w:p w14:paraId="13ABD479" w14:textId="77777777" w:rsidR="00DB6D14" w:rsidRDefault="00000000">
      <w:pPr>
        <w:spacing w:after="160" w:line="307" w:lineRule="auto"/>
        <w:rPr>
          <w:lang w:eastAsia="zh-CN"/>
        </w:rPr>
      </w:pPr>
      <w:r>
        <w:rPr>
          <w:lang w:eastAsia="zh-CN"/>
        </w:rPr>
        <w:t>当前 router 采用 deterministic minimal routing、source routing 与 dimension-order routing 的组合。路径由 NIC 在 packet 注入前预先计算好，router 本身不重新计算整条路径，而只依据 header 中的剩余跳数和方向逐跳转发。整体顺序固定为先 X 后 Y：当 hops_x 大于 0 时，packet 处于 X phase，根据 dirx 请求 E_out 或 W_out，并在内部 forwarding 成功时将 hops_x 减一；当 hops_x 等于 0 且 hops_y 大于 0 时，packet 进入 Y phase，根据 diry 请求 N_out 或 S_out，并在内部 forwarding 成功时将 hops_y 减一；当 hops_x 和 hops_y 都为 0 时，packet 到达目的节点，请求 PE_out。方向选择采用最短路径规则，其中 X 维若两侧距离相等则固定选 E，Y 维若两侧距离相等则固定选 S。</w:t>
      </w:r>
    </w:p>
    <w:p w14:paraId="4202F3A8" w14:textId="77777777" w:rsidR="00DB6D14" w:rsidRDefault="00000000">
      <w:pPr>
        <w:pStyle w:val="1"/>
        <w:spacing w:before="200" w:after="100" w:line="300" w:lineRule="auto"/>
      </w:pPr>
      <w:r>
        <w:rPr>
          <w:rFonts w:ascii="Noto Sans CJK SC" w:eastAsia="Noto Sans CJK SC" w:hAnsi="Noto Sans CJK SC"/>
        </w:rPr>
        <w:lastRenderedPageBreak/>
        <w:t>Virtual Channel 规则</w:t>
      </w:r>
    </w:p>
    <w:p w14:paraId="064A5BBC" w14:textId="77777777" w:rsidR="00DB6D14" w:rsidRDefault="00000000">
      <w:pPr>
        <w:spacing w:after="160" w:line="307" w:lineRule="auto"/>
        <w:rPr>
          <w:lang w:eastAsia="zh-CN"/>
        </w:rPr>
      </w:pPr>
      <w:r>
        <w:t>每个物理端口包含 2 个 VC，但在 header 中只保留 1 bit 的 vc 字段。这里的 vc 不是固定历史标签，而是“当前下一跳要使用的 VC bit”。逻辑上的通道类别顺序定义为 X0 &lt; X1 &lt; Y0 &lt; Y1：在 X phase 中，vc=0/1 分别表示 X0/X1；在 Y phase 中，vc=0/1 分别表示 Y0/Y1。</w:t>
      </w:r>
      <w:r>
        <w:rPr>
          <w:lang w:eastAsia="zh-CN"/>
        </w:rPr>
        <w:t>因此，在 X→Y 切换点，vc 可以从 1 改回 0，这表示合法的 X1→Y0 转换，而不是违规回退。这个 1-bit VC 方案成立的关键前提是，VC 选择逻辑不仅依赖 header，也依赖当前 packet 所在的输入端口，因为输入端口身份在 router 结构上天然已知。</w:t>
      </w:r>
    </w:p>
    <w:p w14:paraId="6DADFDC1" w14:textId="77777777" w:rsidR="00DB6D14" w:rsidRDefault="00000000">
      <w:pPr>
        <w:pStyle w:val="1"/>
        <w:spacing w:before="200" w:after="100" w:line="30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Dateline 与 VC 更新</w:t>
      </w:r>
    </w:p>
    <w:p w14:paraId="46ECD9BC" w14:textId="77777777" w:rsidR="00DB6D14" w:rsidRDefault="00000000">
      <w:pPr>
        <w:spacing w:after="160" w:line="307" w:lineRule="auto"/>
        <w:rPr>
          <w:lang w:eastAsia="zh-CN"/>
        </w:rPr>
      </w:pPr>
      <w:r>
        <w:rPr>
          <w:lang w:eastAsia="zh-CN"/>
        </w:rPr>
        <w:t>为避免 torus 中由环形依赖引起的死锁，当前设计引入 dateline 规则。在 X 维上，若 dirx=E 且 local_x=3，或者 dirx=W 且 local_x=0，则本跳跨越 X dateline；在 Y 维上，若 diry=S 且 local_y=3，或者 diry=N 且 local_y=0，则本跳跨越 Y dateline。VC 更新规则确认如下：在 X phase 中，next_vc = vc | cross_x_dl；在 Y phase 的第一跳，如果 packet 来自 E_in、W_in 或 PE_in，则 next_vc = cross_y_dl；在 Y phase 中继续前进时，如果 packet 来自 N_in 或 S_in，则 next_vc = vc | cross_y_dl。这样即可正确支持 X0→X1→Y0→Y1 的类别顺序。</w:t>
      </w:r>
    </w:p>
    <w:p w14:paraId="0769EE9F" w14:textId="77777777" w:rsidR="00DB6D14" w:rsidRDefault="00000000">
      <w:pPr>
        <w:pStyle w:val="1"/>
        <w:spacing w:before="200" w:after="100" w:line="30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Buffer 组织与内部结构</w:t>
      </w:r>
    </w:p>
    <w:p w14:paraId="05F3FDC4" w14:textId="77777777" w:rsidR="00DB6D14" w:rsidRDefault="00000000">
      <w:pPr>
        <w:spacing w:after="160" w:line="307" w:lineRule="auto"/>
        <w:rPr>
          <w:lang w:eastAsia="zh-CN"/>
        </w:rPr>
      </w:pPr>
      <w:r>
        <w:t>当前版本采用 single-slot VC buffer，也就是每个物理端口具有 2 个 input VC buffer 和 2 个 output VC buffer，但每个 VC buffer 深度只有 1，不实现更深的 FIFO。</w:t>
      </w:r>
      <w:r>
        <w:rPr>
          <w:lang w:eastAsia="zh-CN"/>
        </w:rPr>
        <w:t>这样做的好处是结构清晰、控制简单，也更贴近当前的握手时序和课程中的教学版节奏。逻辑上，router 可拆分为输入控制、路由计算、request 生成、输出控制、仲裁器，以及 input-to-output 的数据通路几部分。</w:t>
      </w:r>
    </w:p>
    <w:p w14:paraId="7C5AFDEC" w14:textId="77777777" w:rsidR="00DB6D14" w:rsidRDefault="00000000">
      <w:pPr>
        <w:pStyle w:val="1"/>
        <w:spacing w:before="200" w:after="100" w:line="30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输出口合法请求者与仲裁</w:t>
      </w:r>
    </w:p>
    <w:p w14:paraId="49CC5001" w14:textId="77777777" w:rsidR="00DB6D14" w:rsidRDefault="00000000">
      <w:pPr>
        <w:spacing w:after="160" w:line="307" w:lineRule="auto"/>
      </w:pPr>
      <w:r>
        <w:t>当前确认的 5 个输出口合法请求者集合如下：E_out 接受 {E_in, PE_in}；W_out 接受 {W_in, PE_in}；N_out 接受 {N_in, E_in, W_in, PE_in}；S_out 接受 {S_in, E_in, W_in, PE_in}；PE_out 接受 {N_in, S_in, E_in, W_in}。在此基础上，request legality 进一步定义为：E_out 只接受满足 hops_x &gt; 0 且 dirx=E 的 E_in 或 PE_in；W_out 只接受满足 hops_x &gt; 0 且 dirx=W 的 W_in 或 PE_in；N_out 接受满足 hops_x = 0、hops_y &gt; 0 且 diry=N 的 N_in/E_in/W_in/PE_in；S_out 接受满足 hops_x = 0、hops_y &gt; 0 且 diry=S 的 S_in/E_in/W_in/PE_in；PE_out 接受来自四个网络方向且满足 hops_x = 0、hops_y = 0 的 packet。仲裁采用 round-robin / circular rotating priority，并按每个 output port、每个 VC 独立维护优先级状态。当前确认的优先级顺序为：E_out 为 E_in → PE_in；W_out 为 W_in → PE_in；N_out 为 N_in → E_in → W_in → PE_in；S_out 为 S_in → E_in → W_in → PE_in；PE_out 为 N_in → E_in → S_in → W_in。</w:t>
      </w:r>
    </w:p>
    <w:p w14:paraId="3E260736" w14:textId="77777777" w:rsidR="00DB6D14" w:rsidRDefault="00000000">
      <w:pPr>
        <w:pStyle w:val="1"/>
        <w:spacing w:before="200" w:after="100" w:line="300" w:lineRule="auto"/>
      </w:pPr>
      <w:r>
        <w:rPr>
          <w:rFonts w:ascii="Noto Sans CJK SC" w:eastAsia="Noto Sans CJK SC" w:hAnsi="Noto Sans CJK SC"/>
        </w:rPr>
        <w:t>握手与时序</w:t>
      </w:r>
    </w:p>
    <w:p w14:paraId="53EF7C15" w14:textId="77777777" w:rsidR="00DB6D14" w:rsidRDefault="00000000">
      <w:pPr>
        <w:spacing w:after="160" w:line="307" w:lineRule="auto"/>
      </w:pPr>
      <w:r>
        <w:t>router-router 之间采用同步采样的数据传输与组合产生的 ready/send 信号。每个物理端口都具有 si/ri/di[63:0] 和 so/ro/do[63:0] 两组接口，并且全网共享 clk、reset 和 polarity。reset 采用 active-high synchronous reset；polarity 在 reset 时为 0，释放后每个周期翻转一次。当前确认采用 internal_vc = polarity、external_vc = ~polarity，也就是一个周期中 router 内部只处理一个 VC，而外部链路只传另一个 VC。ri 采用 Moore 风格，本质上表示当前 external_vc 对应的 input buffer 是否为空；so 采用 Mealy 风格，</w:t>
      </w:r>
      <w:r>
        <w:lastRenderedPageBreak/>
        <w:t>本质上表示当前 external_vc 的 output buffer 有效且对端 ready 为 1。一次成功的 router-router 发送不是纯异步电平触发，而是本周期组合逻辑满足发送条件，在该周期结束的时钟上升沿，接收端把 do 写入对应 input buffer，发送端清空对应 output buffer。无阻塞时，一个 packet 每经过一跳需要 2 个周期：1 个周期完成 router 内部 input→output forwarding，1 个周期完成 router→router 的外部传输。header 的更新，包括 hops_x/hops_y 递减以及 vc 更新，都在内部 forwarding 成功、写入 output buffer 的那个时钟沿完成。</w:t>
      </w:r>
    </w:p>
    <w:p w14:paraId="257806D3" w14:textId="77777777" w:rsidR="00DB6D14" w:rsidRDefault="00000000">
      <w:pPr>
        <w:pStyle w:val="1"/>
        <w:spacing w:before="200" w:after="100" w:line="300" w:lineRule="auto"/>
      </w:pPr>
      <w:r>
        <w:rPr>
          <w:rFonts w:ascii="Noto Sans CJK SC" w:eastAsia="Noto Sans CJK SC" w:hAnsi="Noto Sans CJK SC"/>
        </w:rPr>
        <w:t>当前实现状态</w:t>
      </w:r>
    </w:p>
    <w:p w14:paraId="08AA944A" w14:textId="77777777" w:rsidR="00DB6D14" w:rsidRDefault="00000000">
      <w:pPr>
        <w:spacing w:after="160" w:line="307" w:lineRule="auto"/>
      </w:pPr>
      <w:r>
        <w:t>基于以上已确认规格，当前 gold_router 采用的是 single-slot VC buffer 版本，设计重点放在功能正确、路由路径正确、VC 切换规则正确、握手时序正确以及仲裁逻辑正确，而不是先追求更深 buffer 带来的吞吐提升。后续如果需要，可以在不改变路由算法和 header 结构的前提下，把每个 VC buffer 从 1-entry 升级为更深的 FIFO，以进一步降低阻塞概率。</w:t>
      </w:r>
    </w:p>
    <w:p w14:paraId="130780E0" w14:textId="77777777" w:rsidR="00DB6D14" w:rsidRDefault="00000000">
      <w:pPr>
        <w:pStyle w:val="1"/>
        <w:spacing w:before="200" w:after="120" w:line="300" w:lineRule="auto"/>
      </w:pPr>
      <w:r>
        <w:rPr>
          <w:rFonts w:ascii="Noto Sans CJK SC" w:eastAsia="Noto Sans CJK SC" w:hAnsi="Noto Sans CJK SC"/>
        </w:rPr>
        <w:t>关键确认项速览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</w:tblGrid>
      <w:tr w:rsidR="00DB6D14" w14:paraId="70B67EE5" w14:textId="77777777" w:rsidTr="00A34498">
        <w:trPr>
          <w:jc w:val="center"/>
        </w:trPr>
        <w:tc>
          <w:tcPr>
            <w:tcW w:w="2268" w:type="dxa"/>
            <w:shd w:val="clear" w:color="auto" w:fill="D9E2F3"/>
          </w:tcPr>
          <w:p w14:paraId="21E7C860" w14:textId="77777777" w:rsidR="00DB6D14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输出口</w:t>
            </w:r>
          </w:p>
        </w:tc>
        <w:tc>
          <w:tcPr>
            <w:tcW w:w="2268" w:type="dxa"/>
            <w:shd w:val="clear" w:color="auto" w:fill="D9E2F3"/>
          </w:tcPr>
          <w:p w14:paraId="53FECACA" w14:textId="77777777" w:rsidR="00DB6D14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合法请求者集合</w:t>
            </w:r>
          </w:p>
        </w:tc>
      </w:tr>
      <w:tr w:rsidR="00DB6D14" w14:paraId="6672734C" w14:textId="77777777" w:rsidTr="00A34498">
        <w:trPr>
          <w:jc w:val="center"/>
        </w:trPr>
        <w:tc>
          <w:tcPr>
            <w:tcW w:w="2268" w:type="dxa"/>
            <w:vAlign w:val="center"/>
          </w:tcPr>
          <w:p w14:paraId="242F1D64" w14:textId="77777777" w:rsidR="00DB6D14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E_out</w:t>
            </w:r>
          </w:p>
        </w:tc>
        <w:tc>
          <w:tcPr>
            <w:tcW w:w="2268" w:type="dxa"/>
            <w:vAlign w:val="center"/>
          </w:tcPr>
          <w:p w14:paraId="3E874518" w14:textId="77777777" w:rsidR="00DB6D14" w:rsidRDefault="00000000">
            <w:pPr>
              <w:spacing w:line="264" w:lineRule="auto"/>
            </w:pPr>
            <w:r>
              <w:rPr>
                <w:sz w:val="20"/>
              </w:rPr>
              <w:t>{E_in, PE_in}</w:t>
            </w:r>
          </w:p>
        </w:tc>
      </w:tr>
      <w:tr w:rsidR="00DB6D14" w14:paraId="245E8965" w14:textId="77777777" w:rsidTr="00A34498">
        <w:trPr>
          <w:jc w:val="center"/>
        </w:trPr>
        <w:tc>
          <w:tcPr>
            <w:tcW w:w="2268" w:type="dxa"/>
            <w:vAlign w:val="center"/>
          </w:tcPr>
          <w:p w14:paraId="4FBE12AF" w14:textId="77777777" w:rsidR="00DB6D14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W_out</w:t>
            </w:r>
          </w:p>
        </w:tc>
        <w:tc>
          <w:tcPr>
            <w:tcW w:w="2268" w:type="dxa"/>
            <w:vAlign w:val="center"/>
          </w:tcPr>
          <w:p w14:paraId="49DFA8E1" w14:textId="77777777" w:rsidR="00DB6D14" w:rsidRDefault="00000000">
            <w:pPr>
              <w:spacing w:line="264" w:lineRule="auto"/>
            </w:pPr>
            <w:r>
              <w:rPr>
                <w:sz w:val="20"/>
              </w:rPr>
              <w:t>{W_in, PE_in}</w:t>
            </w:r>
          </w:p>
        </w:tc>
      </w:tr>
      <w:tr w:rsidR="00DB6D14" w14:paraId="309A2FB2" w14:textId="77777777" w:rsidTr="00A34498">
        <w:trPr>
          <w:jc w:val="center"/>
        </w:trPr>
        <w:tc>
          <w:tcPr>
            <w:tcW w:w="2268" w:type="dxa"/>
            <w:vAlign w:val="center"/>
          </w:tcPr>
          <w:p w14:paraId="59C9B05F" w14:textId="77777777" w:rsidR="00DB6D14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N_out</w:t>
            </w:r>
          </w:p>
        </w:tc>
        <w:tc>
          <w:tcPr>
            <w:tcW w:w="2268" w:type="dxa"/>
            <w:vAlign w:val="center"/>
          </w:tcPr>
          <w:p w14:paraId="29800DB2" w14:textId="77777777" w:rsidR="00DB6D14" w:rsidRDefault="00000000">
            <w:pPr>
              <w:spacing w:line="264" w:lineRule="auto"/>
            </w:pPr>
            <w:r>
              <w:rPr>
                <w:sz w:val="20"/>
              </w:rPr>
              <w:t>{N_in, E_in, W_in, PE_in}</w:t>
            </w:r>
          </w:p>
        </w:tc>
      </w:tr>
      <w:tr w:rsidR="00DB6D14" w14:paraId="763A2655" w14:textId="77777777" w:rsidTr="00A34498">
        <w:trPr>
          <w:jc w:val="center"/>
        </w:trPr>
        <w:tc>
          <w:tcPr>
            <w:tcW w:w="2268" w:type="dxa"/>
            <w:vAlign w:val="center"/>
          </w:tcPr>
          <w:p w14:paraId="262484D3" w14:textId="77777777" w:rsidR="00DB6D14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S_out</w:t>
            </w:r>
          </w:p>
        </w:tc>
        <w:tc>
          <w:tcPr>
            <w:tcW w:w="2268" w:type="dxa"/>
            <w:vAlign w:val="center"/>
          </w:tcPr>
          <w:p w14:paraId="62085F3A" w14:textId="77777777" w:rsidR="00DB6D14" w:rsidRDefault="00000000">
            <w:pPr>
              <w:spacing w:line="264" w:lineRule="auto"/>
            </w:pPr>
            <w:r>
              <w:rPr>
                <w:sz w:val="20"/>
              </w:rPr>
              <w:t>{S_in, E_in, W_in, PE_in}</w:t>
            </w:r>
          </w:p>
        </w:tc>
      </w:tr>
      <w:tr w:rsidR="00DB6D14" w14:paraId="1666AB41" w14:textId="77777777" w:rsidTr="00A34498">
        <w:trPr>
          <w:jc w:val="center"/>
        </w:trPr>
        <w:tc>
          <w:tcPr>
            <w:tcW w:w="2268" w:type="dxa"/>
            <w:vAlign w:val="center"/>
          </w:tcPr>
          <w:p w14:paraId="2FDD8B28" w14:textId="77777777" w:rsidR="00DB6D14" w:rsidRDefault="00000000">
            <w:pPr>
              <w:spacing w:line="264" w:lineRule="auto"/>
              <w:jc w:val="center"/>
            </w:pPr>
            <w:r>
              <w:rPr>
                <w:rFonts w:ascii="Noto Sans CJK SC" w:eastAsia="Noto Sans CJK SC" w:hAnsi="Noto Sans CJK SC"/>
                <w:b/>
                <w:sz w:val="20"/>
              </w:rPr>
              <w:t>PE_out</w:t>
            </w:r>
          </w:p>
        </w:tc>
        <w:tc>
          <w:tcPr>
            <w:tcW w:w="2268" w:type="dxa"/>
            <w:vAlign w:val="center"/>
          </w:tcPr>
          <w:p w14:paraId="6130562B" w14:textId="77777777" w:rsidR="00DB6D14" w:rsidRDefault="00000000">
            <w:pPr>
              <w:spacing w:line="264" w:lineRule="auto"/>
            </w:pPr>
            <w:r>
              <w:rPr>
                <w:sz w:val="20"/>
              </w:rPr>
              <w:t>{N_in, S_in, E_in, W_in}</w:t>
            </w:r>
          </w:p>
        </w:tc>
      </w:tr>
    </w:tbl>
    <w:p w14:paraId="7BC4AB36" w14:textId="77777777" w:rsidR="00FB51E3" w:rsidRPr="00A34498" w:rsidRDefault="00FB51E3">
      <w:pPr>
        <w:rPr>
          <w:rFonts w:eastAsia="宋体" w:hint="eastAsia"/>
          <w:lang w:eastAsia="zh-CN"/>
        </w:rPr>
      </w:pPr>
    </w:p>
    <w:sectPr w:rsidR="00FB51E3" w:rsidRPr="00A34498" w:rsidSect="00034616">
      <w:footerReference w:type="default" r:id="rId8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FF3F" w14:textId="77777777" w:rsidR="00FB51E3" w:rsidRDefault="00FB51E3">
      <w:pPr>
        <w:spacing w:after="0" w:line="240" w:lineRule="auto"/>
      </w:pPr>
      <w:r>
        <w:separator/>
      </w:r>
    </w:p>
  </w:endnote>
  <w:endnote w:type="continuationSeparator" w:id="0">
    <w:p w14:paraId="3D0D4AC3" w14:textId="77777777" w:rsidR="00FB51E3" w:rsidRDefault="00FB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1FC4" w14:textId="77777777" w:rsidR="00DB6D14" w:rsidRDefault="00000000">
    <w:pPr>
      <w:pStyle w:val="a7"/>
      <w:jc w:val="center"/>
    </w:pPr>
    <w:r>
      <w:rPr>
        <w:rFonts w:ascii="Noto Sans CJK SC" w:eastAsia="Noto Sans CJK SC" w:hAnsi="Noto Sans CJK SC"/>
        <w:color w:val="787878"/>
        <w:sz w:val="17"/>
      </w:rPr>
      <w:t>Gold Router Design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C300" w14:textId="77777777" w:rsidR="00FB51E3" w:rsidRDefault="00FB51E3">
      <w:pPr>
        <w:spacing w:after="0" w:line="240" w:lineRule="auto"/>
      </w:pPr>
      <w:r>
        <w:separator/>
      </w:r>
    </w:p>
  </w:footnote>
  <w:footnote w:type="continuationSeparator" w:id="0">
    <w:p w14:paraId="26A013A5" w14:textId="77777777" w:rsidR="00FB51E3" w:rsidRDefault="00FB5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314198">
    <w:abstractNumId w:val="8"/>
  </w:num>
  <w:num w:numId="2" w16cid:durableId="1926377192">
    <w:abstractNumId w:val="6"/>
  </w:num>
  <w:num w:numId="3" w16cid:durableId="107552490">
    <w:abstractNumId w:val="5"/>
  </w:num>
  <w:num w:numId="4" w16cid:durableId="1732345167">
    <w:abstractNumId w:val="4"/>
  </w:num>
  <w:num w:numId="5" w16cid:durableId="2036468230">
    <w:abstractNumId w:val="7"/>
  </w:num>
  <w:num w:numId="6" w16cid:durableId="847523709">
    <w:abstractNumId w:val="3"/>
  </w:num>
  <w:num w:numId="7" w16cid:durableId="924605673">
    <w:abstractNumId w:val="2"/>
  </w:num>
  <w:num w:numId="8" w16cid:durableId="1457987816">
    <w:abstractNumId w:val="1"/>
  </w:num>
  <w:num w:numId="9" w16cid:durableId="160117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498"/>
    <w:rsid w:val="00A41110"/>
    <w:rsid w:val="00AA1D8D"/>
    <w:rsid w:val="00B47730"/>
    <w:rsid w:val="00CB0664"/>
    <w:rsid w:val="00DB6D14"/>
    <w:rsid w:val="00FB51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3CE47"/>
  <w14:defaultImageDpi w14:val="300"/>
  <w15:docId w15:val="{BC704B71-DB9A-4F89-AF1D-E9639277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1485</Words>
  <Characters>2867</Characters>
  <Application>Microsoft Office Word</Application>
  <DocSecurity>0</DocSecurity>
  <Lines>73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4×4 Torus Gold Router 设计说明（确认版）</dc:title>
  <dc:subject>Gold Router Design Summary</dc:subject>
  <dc:creator>OpenAI</dc:creator>
  <cp:keywords/>
  <dc:description>Generated for the user</dc:description>
  <cp:lastModifiedBy>彦臣 张</cp:lastModifiedBy>
  <cp:revision>2</cp:revision>
  <dcterms:created xsi:type="dcterms:W3CDTF">2013-12-23T23:15:00Z</dcterms:created>
  <dcterms:modified xsi:type="dcterms:W3CDTF">2026-03-16T05:05:00Z</dcterms:modified>
  <cp:category/>
</cp:coreProperties>
</file>