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E4F4" w14:textId="77777777" w:rsidR="00BB7440" w:rsidRDefault="008E1EE8">
      <w:pPr>
        <w:spacing w:after="0" w:line="360" w:lineRule="auto"/>
      </w:pPr>
      <w:r>
        <w:rPr>
          <w:rFonts w:eastAsia="Georgia" w:hAnsi="Georgia" w:cs="Georgia"/>
          <w:noProof/>
          <w:color w:val="000000"/>
        </w:rPr>
        <w:drawing>
          <wp:inline distT="0" distB="0" distL="0" distR="0" wp14:anchorId="5723E53F" wp14:editId="5723E540">
            <wp:extent cx="2420112" cy="609600"/>
            <wp:effectExtent l="0" t="0" r="0" b="0"/>
            <wp:docPr id="1" name="image-a0125336e2ad029605f45df6569de71b58ecce46.png"/>
            <wp:cNvGraphicFramePr/>
            <a:graphic xmlns:a="http://schemas.openxmlformats.org/drawingml/2006/main">
              <a:graphicData uri="http://schemas.openxmlformats.org/drawingml/2006/picture">
                <pic:pic xmlns:pic="http://schemas.openxmlformats.org/drawingml/2006/picture">
                  <pic:nvPicPr>
                    <pic:cNvPr id="1" name="image-a0125336e2ad029605f45df6569de71b58ecce46.png"/>
                    <pic:cNvPicPr/>
                  </pic:nvPicPr>
                  <pic:blipFill>
                    <a:blip r:embed="rId5" cstate="print"/>
                    <a:srcRect/>
                    <a:stretch>
                      <a:fillRect/>
                    </a:stretch>
                  </pic:blipFill>
                  <pic:spPr>
                    <a:xfrm>
                      <a:off x="0" y="0"/>
                      <a:ext cx="2420112" cy="609600"/>
                    </a:xfrm>
                    <a:prstGeom prst="rect">
                      <a:avLst/>
                    </a:prstGeom>
                  </pic:spPr>
                </pic:pic>
              </a:graphicData>
            </a:graphic>
          </wp:inline>
        </w:drawing>
      </w:r>
    </w:p>
    <w:p w14:paraId="5723E4F5" w14:textId="77777777" w:rsidR="00BB7440" w:rsidRDefault="008E1EE8">
      <w:pPr>
        <w:spacing w:before="157" w:after="157" w:line="270" w:lineRule="auto"/>
      </w:pPr>
      <w:bookmarkStart w:id="0" w:name="etablir_une_liste_d_article_scien_2f14fc"/>
      <w:proofErr w:type="spellStart"/>
      <w:r>
        <w:rPr>
          <w:rFonts w:eastAsia="Georgia" w:hAnsi="Georgia" w:cs="Georgia"/>
          <w:b/>
          <w:color w:val="000000"/>
          <w:sz w:val="39"/>
        </w:rPr>
        <w:t>Etablir</w:t>
      </w:r>
      <w:proofErr w:type="spellEnd"/>
      <w:r>
        <w:rPr>
          <w:rFonts w:eastAsia="Georgia" w:hAnsi="Georgia" w:cs="Georgia"/>
          <w:b/>
          <w:color w:val="000000"/>
          <w:sz w:val="39"/>
        </w:rPr>
        <w:t xml:space="preserve"> </w:t>
      </w:r>
      <w:proofErr w:type="spellStart"/>
      <w:r>
        <w:rPr>
          <w:rFonts w:eastAsia="Georgia" w:hAnsi="Georgia" w:cs="Georgia"/>
          <w:b/>
          <w:color w:val="000000"/>
          <w:sz w:val="39"/>
        </w:rPr>
        <w:t>une</w:t>
      </w:r>
      <w:proofErr w:type="spellEnd"/>
      <w:r>
        <w:rPr>
          <w:rFonts w:eastAsia="Georgia" w:hAnsi="Georgia" w:cs="Georgia"/>
          <w:b/>
          <w:color w:val="000000"/>
          <w:sz w:val="39"/>
        </w:rPr>
        <w:t xml:space="preserve"> </w:t>
      </w:r>
      <w:proofErr w:type="spellStart"/>
      <w:r>
        <w:rPr>
          <w:rFonts w:eastAsia="Georgia" w:hAnsi="Georgia" w:cs="Georgia"/>
          <w:b/>
          <w:color w:val="000000"/>
          <w:sz w:val="39"/>
        </w:rPr>
        <w:t>liste</w:t>
      </w:r>
      <w:proofErr w:type="spellEnd"/>
      <w:r>
        <w:rPr>
          <w:rFonts w:eastAsia="Georgia" w:hAnsi="Georgia" w:cs="Georgia"/>
          <w:b/>
          <w:color w:val="000000"/>
          <w:sz w:val="39"/>
        </w:rPr>
        <w:t xml:space="preserve"> </w:t>
      </w:r>
      <w:proofErr w:type="spellStart"/>
      <w:r>
        <w:rPr>
          <w:rFonts w:eastAsia="Georgia" w:hAnsi="Georgia" w:cs="Georgia"/>
          <w:b/>
          <w:color w:val="000000"/>
          <w:sz w:val="39"/>
        </w:rPr>
        <w:t>d'article</w:t>
      </w:r>
      <w:proofErr w:type="spellEnd"/>
      <w:r>
        <w:rPr>
          <w:rFonts w:eastAsia="Georgia" w:hAnsi="Georgia" w:cs="Georgia"/>
          <w:b/>
          <w:color w:val="000000"/>
          <w:sz w:val="39"/>
        </w:rPr>
        <w:t xml:space="preserve"> </w:t>
      </w:r>
      <w:proofErr w:type="spellStart"/>
      <w:r>
        <w:rPr>
          <w:rFonts w:eastAsia="Georgia" w:hAnsi="Georgia" w:cs="Georgia"/>
          <w:b/>
          <w:color w:val="000000"/>
          <w:sz w:val="39"/>
        </w:rPr>
        <w:t>scientifique</w:t>
      </w:r>
      <w:proofErr w:type="spellEnd"/>
      <w:r>
        <w:rPr>
          <w:rFonts w:eastAsia="Georgia" w:hAnsi="Georgia" w:cs="Georgia"/>
          <w:b/>
          <w:color w:val="000000"/>
          <w:sz w:val="39"/>
        </w:rPr>
        <w:t xml:space="preserve"> </w:t>
      </w:r>
      <w:proofErr w:type="spellStart"/>
      <w:r>
        <w:rPr>
          <w:rFonts w:eastAsia="Georgia" w:hAnsi="Georgia" w:cs="Georgia"/>
          <w:b/>
          <w:color w:val="000000"/>
          <w:sz w:val="39"/>
        </w:rPr>
        <w:t>parus</w:t>
      </w:r>
      <w:proofErr w:type="spellEnd"/>
      <w:r>
        <w:rPr>
          <w:rFonts w:eastAsia="Georgia" w:hAnsi="Georgia" w:cs="Georgia"/>
          <w:b/>
          <w:color w:val="000000"/>
          <w:sz w:val="39"/>
        </w:rPr>
        <w:t xml:space="preserve"> </w:t>
      </w:r>
      <w:proofErr w:type="spellStart"/>
      <w:r>
        <w:rPr>
          <w:rFonts w:eastAsia="Georgia" w:hAnsi="Georgia" w:cs="Georgia"/>
          <w:b/>
          <w:color w:val="000000"/>
          <w:sz w:val="39"/>
        </w:rPr>
        <w:t>en</w:t>
      </w:r>
      <w:proofErr w:type="spellEnd"/>
      <w:r>
        <w:rPr>
          <w:rFonts w:eastAsia="Georgia" w:hAnsi="Georgia" w:cs="Georgia"/>
          <w:b/>
          <w:color w:val="000000"/>
          <w:sz w:val="39"/>
        </w:rPr>
        <w:t xml:space="preserve"> 2025 et 2026 </w:t>
      </w:r>
      <w:proofErr w:type="spellStart"/>
      <w:r>
        <w:rPr>
          <w:rFonts w:eastAsia="Georgia" w:hAnsi="Georgia" w:cs="Georgia"/>
          <w:b/>
          <w:color w:val="000000"/>
          <w:sz w:val="39"/>
        </w:rPr>
        <w:t>couvrant</w:t>
      </w:r>
      <w:proofErr w:type="spellEnd"/>
      <w:r>
        <w:rPr>
          <w:rFonts w:eastAsia="Georgia" w:hAnsi="Georgia" w:cs="Georgia"/>
          <w:b/>
          <w:color w:val="000000"/>
          <w:sz w:val="39"/>
        </w:rPr>
        <w:t xml:space="preserve"> au </w:t>
      </w:r>
      <w:proofErr w:type="spellStart"/>
      <w:r>
        <w:rPr>
          <w:rFonts w:eastAsia="Georgia" w:hAnsi="Georgia" w:cs="Georgia"/>
          <w:b/>
          <w:color w:val="000000"/>
          <w:sz w:val="39"/>
        </w:rPr>
        <w:t>moins</w:t>
      </w:r>
      <w:proofErr w:type="spellEnd"/>
      <w:r>
        <w:rPr>
          <w:rFonts w:eastAsia="Georgia" w:hAnsi="Georgia" w:cs="Georgia"/>
          <w:b/>
          <w:color w:val="000000"/>
          <w:sz w:val="39"/>
        </w:rPr>
        <w:t xml:space="preserve"> un des mots </w:t>
      </w:r>
      <w:proofErr w:type="spellStart"/>
      <w:r>
        <w:rPr>
          <w:rFonts w:eastAsia="Georgia" w:hAnsi="Georgia" w:cs="Georgia"/>
          <w:b/>
          <w:color w:val="000000"/>
          <w:sz w:val="39"/>
        </w:rPr>
        <w:t>clés</w:t>
      </w:r>
      <w:proofErr w:type="spellEnd"/>
      <w:r>
        <w:rPr>
          <w:rFonts w:eastAsia="Georgia" w:hAnsi="Georgia" w:cs="Georgia"/>
          <w:b/>
          <w:color w:val="000000"/>
          <w:sz w:val="39"/>
        </w:rPr>
        <w:t xml:space="preserve"> </w:t>
      </w:r>
      <w:proofErr w:type="spellStart"/>
      <w:r>
        <w:rPr>
          <w:rFonts w:eastAsia="Georgia" w:hAnsi="Georgia" w:cs="Georgia"/>
          <w:b/>
          <w:color w:val="000000"/>
          <w:sz w:val="39"/>
        </w:rPr>
        <w:t>suivants</w:t>
      </w:r>
      <w:proofErr w:type="spellEnd"/>
      <w:r>
        <w:rPr>
          <w:rFonts w:eastAsia="Georgia" w:hAnsi="Georgia" w:cs="Georgia"/>
          <w:b/>
          <w:color w:val="000000"/>
          <w:sz w:val="39"/>
        </w:rPr>
        <w:t>:</w:t>
      </w:r>
      <w:bookmarkEnd w:id="0"/>
    </w:p>
    <w:p w14:paraId="5723E4F6" w14:textId="77777777" w:rsidR="00BB7440" w:rsidRDefault="008E1EE8">
      <w:pPr>
        <w:spacing w:after="210" w:line="360" w:lineRule="auto"/>
      </w:pPr>
      <w:r>
        <w:rPr>
          <w:rFonts w:eastAsia="Georgia" w:hAnsi="Georgia" w:cs="Georgia"/>
          <w:color w:val="000000"/>
        </w:rPr>
        <w:t>ICL (in context learning)</w:t>
      </w:r>
      <w:r>
        <w:rPr>
          <w:rFonts w:eastAsia="Georgia" w:hAnsi="Georgia" w:cs="Georgia"/>
          <w:color w:val="000000"/>
        </w:rPr>
        <w:br/>
        <w:t xml:space="preserve">ACE (agentic context </w:t>
      </w:r>
      <w:proofErr w:type="spellStart"/>
      <w:r>
        <w:rPr>
          <w:rFonts w:eastAsia="Georgia" w:hAnsi="Georgia" w:cs="Georgia"/>
          <w:color w:val="000000"/>
        </w:rPr>
        <w:t>engeneering</w:t>
      </w:r>
      <w:proofErr w:type="spellEnd"/>
      <w:r>
        <w:rPr>
          <w:rFonts w:eastAsia="Georgia" w:hAnsi="Georgia" w:cs="Georgia"/>
          <w:color w:val="000000"/>
        </w:rPr>
        <w:t>)</w:t>
      </w:r>
      <w:r>
        <w:rPr>
          <w:rFonts w:eastAsia="Georgia" w:hAnsi="Georgia" w:cs="Georgia"/>
          <w:color w:val="000000"/>
        </w:rPr>
        <w:br/>
        <w:t>RLM</w:t>
      </w:r>
      <w:r>
        <w:rPr>
          <w:rFonts w:eastAsia="Georgia" w:hAnsi="Georgia" w:cs="Georgia"/>
          <w:color w:val="000000"/>
        </w:rPr>
        <w:br/>
      </w:r>
      <w:proofErr w:type="spellStart"/>
      <w:r>
        <w:rPr>
          <w:rFonts w:eastAsia="Georgia" w:hAnsi="Georgia" w:cs="Georgia"/>
          <w:color w:val="000000"/>
        </w:rPr>
        <w:t>rédiger</w:t>
      </w:r>
      <w:proofErr w:type="spellEnd"/>
      <w:r>
        <w:rPr>
          <w:rFonts w:eastAsia="Georgia" w:hAnsi="Georgia" w:cs="Georgia"/>
          <w:color w:val="000000"/>
        </w:rPr>
        <w:t xml:space="preserve"> </w:t>
      </w:r>
      <w:proofErr w:type="spellStart"/>
      <w:r>
        <w:rPr>
          <w:rFonts w:eastAsia="Georgia" w:hAnsi="Georgia" w:cs="Georgia"/>
          <w:color w:val="000000"/>
        </w:rPr>
        <w:t>en</w:t>
      </w:r>
      <w:proofErr w:type="spellEnd"/>
      <w:r>
        <w:rPr>
          <w:rFonts w:eastAsia="Georgia" w:hAnsi="Georgia" w:cs="Georgia"/>
          <w:color w:val="000000"/>
        </w:rPr>
        <w:t xml:space="preserve"> anglais avec </w:t>
      </w:r>
      <w:proofErr w:type="spellStart"/>
      <w:r>
        <w:rPr>
          <w:rFonts w:eastAsia="Georgia" w:hAnsi="Georgia" w:cs="Georgia"/>
          <w:color w:val="000000"/>
        </w:rPr>
        <w:t>préferentiellement</w:t>
      </w:r>
      <w:proofErr w:type="spellEnd"/>
      <w:r>
        <w:rPr>
          <w:rFonts w:eastAsia="Georgia" w:hAnsi="Georgia" w:cs="Georgia"/>
          <w:color w:val="000000"/>
        </w:rPr>
        <w:t xml:space="preserve"> </w:t>
      </w:r>
      <w:proofErr w:type="spellStart"/>
      <w:r>
        <w:rPr>
          <w:rFonts w:eastAsia="Georgia" w:hAnsi="Georgia" w:cs="Georgia"/>
          <w:color w:val="000000"/>
        </w:rPr>
        <w:t>standford</w:t>
      </w:r>
      <w:proofErr w:type="spellEnd"/>
      <w:r>
        <w:rPr>
          <w:rFonts w:eastAsia="Georgia" w:hAnsi="Georgia" w:cs="Georgia"/>
          <w:color w:val="000000"/>
        </w:rPr>
        <w:t xml:space="preserve"> university </w:t>
      </w:r>
      <w:proofErr w:type="spellStart"/>
      <w:r>
        <w:rPr>
          <w:rFonts w:eastAsia="Georgia" w:hAnsi="Georgia" w:cs="Georgia"/>
          <w:color w:val="000000"/>
        </w:rPr>
        <w:t>ou</w:t>
      </w:r>
      <w:proofErr w:type="spellEnd"/>
      <w:r>
        <w:rPr>
          <w:rFonts w:eastAsia="Georgia" w:hAnsi="Georgia" w:cs="Georgia"/>
          <w:color w:val="000000"/>
        </w:rPr>
        <w:t xml:space="preserve"> chine </w:t>
      </w:r>
      <w:proofErr w:type="spellStart"/>
      <w:r>
        <w:rPr>
          <w:rFonts w:eastAsia="Georgia" w:hAnsi="Georgia" w:cs="Georgia"/>
          <w:color w:val="000000"/>
        </w:rPr>
        <w:t>comme</w:t>
      </w:r>
      <w:proofErr w:type="spellEnd"/>
      <w:r>
        <w:rPr>
          <w:rFonts w:eastAsia="Georgia" w:hAnsi="Georgia" w:cs="Georgia"/>
          <w:color w:val="000000"/>
        </w:rPr>
        <w:t xml:space="preserve"> origine</w:t>
      </w:r>
    </w:p>
    <w:p w14:paraId="5723E4F7" w14:textId="77777777" w:rsidR="00BB7440" w:rsidRDefault="008E1EE8">
      <w:pPr>
        <w:spacing w:after="210" w:line="360" w:lineRule="auto"/>
      </w:pPr>
      <w:r>
        <w:rPr>
          <w:rFonts w:eastAsia="Georgia" w:hAnsi="Georgia" w:cs="Georgia"/>
          <w:color w:val="000000"/>
        </w:rPr>
        <w:t>Here is a curated list of 2025–2026 research works matching your keywords (ICL, ACE, RLM), prioritizing Stanford and Chinese affiliations and written in English.</w:t>
      </w:r>
      <w:bookmarkStart w:id="1" w:name="fnref1"/>
      <w:bookmarkEnd w:id="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 w:name="fnref2"/>
      <w:bookmarkEnd w:id="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3" w:name="fnref3"/>
      <w:bookmarkEnd w:id="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4" w:name="fnref4"/>
      <w:bookmarkEnd w:id="4"/>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5" w:name="fnref5"/>
      <w:bookmarkEnd w:id="5"/>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6" w:name="fnref6"/>
      <w:bookmarkEnd w:id="6"/>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7" w:name="fnref7"/>
      <w:bookmarkEnd w:id="7"/>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8" w:name="fnref8"/>
      <w:bookmarkEnd w:id="8"/>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p>
    <w:p w14:paraId="5723E4F8" w14:textId="77777777" w:rsidR="00BB7440" w:rsidRDefault="008E1EE8">
      <w:pPr>
        <w:spacing w:before="315" w:after="105" w:line="360" w:lineRule="auto"/>
        <w:ind w:left="-30"/>
      </w:pPr>
      <w:bookmarkStart w:id="9" w:name="papers_on_in_context_learning_icl"/>
      <w:r>
        <w:rPr>
          <w:rFonts w:eastAsia="Georgia" w:hAnsi="Georgia" w:cs="Georgia"/>
          <w:b/>
          <w:color w:val="000000"/>
          <w:sz w:val="24"/>
        </w:rPr>
        <w:t>Papers on In‑Context Learning (ICL)</w:t>
      </w:r>
      <w:bookmarkEnd w:id="9"/>
    </w:p>
    <w:p w14:paraId="5723E4F9" w14:textId="77777777" w:rsidR="00BB7440" w:rsidRDefault="008E1EE8">
      <w:pPr>
        <w:numPr>
          <w:ilvl w:val="0"/>
          <w:numId w:val="1"/>
        </w:numPr>
        <w:spacing w:after="210" w:line="360" w:lineRule="auto"/>
      </w:pPr>
      <w:proofErr w:type="spellStart"/>
      <w:r>
        <w:rPr>
          <w:rFonts w:eastAsia="Georgia" w:hAnsi="Georgia" w:cs="Georgia"/>
          <w:b/>
          <w:color w:val="000000"/>
        </w:rPr>
        <w:t>Opt</w:t>
      </w:r>
      <w:proofErr w:type="spellEnd"/>
      <w:r>
        <w:rPr>
          <w:rFonts w:eastAsia="Georgia" w:hAnsi="Georgia" w:cs="Georgia"/>
          <w:b/>
          <w:color w:val="000000"/>
        </w:rPr>
        <w:t>-ICL at LeWiDi‑2025: Maximizing In‑Context Signal from Rater Examples</w:t>
      </w:r>
    </w:p>
    <w:p w14:paraId="5723E4FA" w14:textId="77777777" w:rsidR="00BB7440" w:rsidRDefault="008E1EE8">
      <w:pPr>
        <w:numPr>
          <w:ilvl w:val="1"/>
          <w:numId w:val="1"/>
        </w:numPr>
        <w:spacing w:before="105" w:after="105" w:line="360" w:lineRule="auto"/>
      </w:pPr>
      <w:r>
        <w:rPr>
          <w:rFonts w:eastAsia="Georgia" w:hAnsi="Georgia" w:cs="Georgia"/>
          <w:b/>
          <w:color w:val="000000"/>
        </w:rPr>
        <w:t>Year:</w:t>
      </w:r>
      <w:r>
        <w:rPr>
          <w:rFonts w:eastAsia="Georgia" w:hAnsi="Georgia" w:cs="Georgia"/>
          <w:color w:val="000000"/>
        </w:rPr>
        <w:t xml:space="preserve"> 2025</w:t>
      </w:r>
    </w:p>
    <w:p w14:paraId="5723E4FB" w14:textId="77777777" w:rsidR="00BB7440" w:rsidRDefault="008E1EE8">
      <w:pPr>
        <w:numPr>
          <w:ilvl w:val="1"/>
          <w:numId w:val="1"/>
        </w:numPr>
        <w:spacing w:before="105" w:after="105" w:line="360" w:lineRule="auto"/>
      </w:pPr>
      <w:r>
        <w:rPr>
          <w:rFonts w:eastAsia="Georgia" w:hAnsi="Georgia" w:cs="Georgia"/>
          <w:b/>
          <w:color w:val="000000"/>
        </w:rPr>
        <w:t>Topic:</w:t>
      </w:r>
      <w:r>
        <w:rPr>
          <w:rFonts w:eastAsia="Georgia" w:hAnsi="Georgia" w:cs="Georgia"/>
          <w:color w:val="000000"/>
        </w:rPr>
        <w:t xml:space="preserve"> Uses in‑context learning to model human annotator variation and disagreement.</w:t>
      </w:r>
    </w:p>
    <w:p w14:paraId="5723E4FC" w14:textId="77777777" w:rsidR="00BB7440" w:rsidRDefault="008E1EE8">
      <w:pPr>
        <w:numPr>
          <w:ilvl w:val="1"/>
          <w:numId w:val="1"/>
        </w:numPr>
        <w:spacing w:before="105" w:after="105" w:line="360" w:lineRule="auto"/>
      </w:pPr>
      <w:r>
        <w:rPr>
          <w:rFonts w:eastAsia="Georgia" w:hAnsi="Georgia" w:cs="Georgia"/>
          <w:b/>
          <w:color w:val="000000"/>
        </w:rPr>
        <w:t>Key idea:</w:t>
      </w:r>
      <w:r>
        <w:rPr>
          <w:rFonts w:eastAsia="Georgia" w:hAnsi="Georgia" w:cs="Georgia"/>
          <w:color w:val="000000"/>
        </w:rPr>
        <w:t xml:space="preserve"> “</w:t>
      </w:r>
      <w:proofErr w:type="spellStart"/>
      <w:r>
        <w:rPr>
          <w:rFonts w:eastAsia="Georgia" w:hAnsi="Georgia" w:cs="Georgia"/>
          <w:color w:val="000000"/>
        </w:rPr>
        <w:t>Opt</w:t>
      </w:r>
      <w:proofErr w:type="spellEnd"/>
      <w:r>
        <w:rPr>
          <w:rFonts w:eastAsia="Georgia" w:hAnsi="Georgia" w:cs="Georgia"/>
          <w:color w:val="000000"/>
        </w:rPr>
        <w:t>‑ICL” system leverages LLMs’ ICL abilities to predict individual rater behavior and aggregate into soft label distributions, framed as a meta‑learning problem.</w:t>
      </w:r>
      <w:bookmarkStart w:id="10" w:name="fnref5_1"/>
      <w:bookmarkEnd w:id="10"/>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5723E4FD" w14:textId="77777777" w:rsidR="00BB7440" w:rsidRDefault="008E1EE8">
      <w:pPr>
        <w:numPr>
          <w:ilvl w:val="1"/>
          <w:numId w:val="1"/>
        </w:numPr>
        <w:spacing w:before="105" w:after="105" w:line="360" w:lineRule="auto"/>
      </w:pPr>
      <w:r>
        <w:rPr>
          <w:rFonts w:eastAsia="Georgia" w:hAnsi="Georgia" w:cs="Georgia"/>
          <w:b/>
          <w:color w:val="000000"/>
        </w:rPr>
        <w:t>Venue/Context:</w:t>
      </w:r>
      <w:r>
        <w:rPr>
          <w:rFonts w:eastAsia="Georgia" w:hAnsi="Georgia" w:cs="Georgia"/>
          <w:color w:val="000000"/>
        </w:rPr>
        <w:t xml:space="preserve"> </w:t>
      </w:r>
      <w:proofErr w:type="spellStart"/>
      <w:r>
        <w:rPr>
          <w:rFonts w:eastAsia="Georgia" w:hAnsi="Georgia" w:cs="Georgia"/>
          <w:color w:val="000000"/>
        </w:rPr>
        <w:t>LeWiDi</w:t>
      </w:r>
      <w:proofErr w:type="spellEnd"/>
      <w:r>
        <w:rPr>
          <w:rFonts w:eastAsia="Georgia" w:hAnsi="Georgia" w:cs="Georgia"/>
          <w:color w:val="000000"/>
        </w:rPr>
        <w:t xml:space="preserve"> 2025 shared task (likely NLP/EMNLP workshop).</w:t>
      </w:r>
    </w:p>
    <w:p w14:paraId="5723E4FE" w14:textId="77777777" w:rsidR="00BB7440" w:rsidRDefault="008E1EE8">
      <w:pPr>
        <w:numPr>
          <w:ilvl w:val="1"/>
          <w:numId w:val="1"/>
        </w:numPr>
        <w:spacing w:before="105" w:after="105" w:line="360" w:lineRule="auto"/>
      </w:pPr>
      <w:r>
        <w:rPr>
          <w:rFonts w:eastAsia="Georgia" w:hAnsi="Georgia" w:cs="Georgia"/>
          <w:b/>
          <w:color w:val="000000"/>
        </w:rPr>
        <w:t>Affiliation hints:</w:t>
      </w:r>
      <w:r>
        <w:rPr>
          <w:rFonts w:eastAsia="Georgia" w:hAnsi="Georgia" w:cs="Georgia"/>
          <w:color w:val="000000"/>
        </w:rPr>
        <w:t xml:space="preserve"> NLP community; not explicitly Stanford/China-focused.</w:t>
      </w:r>
    </w:p>
    <w:p w14:paraId="5723E4FF" w14:textId="77777777" w:rsidR="00BB7440" w:rsidRDefault="008E1EE8">
      <w:pPr>
        <w:numPr>
          <w:ilvl w:val="0"/>
          <w:numId w:val="1"/>
        </w:numPr>
        <w:spacing w:after="210" w:line="360" w:lineRule="auto"/>
      </w:pPr>
      <w:r>
        <w:rPr>
          <w:rFonts w:eastAsia="Georgia" w:hAnsi="Georgia" w:cs="Georgia"/>
          <w:b/>
          <w:color w:val="000000"/>
        </w:rPr>
        <w:t>Long-Context In‑Context Learning at Dataset Scale (NAACL 2025 long paper 605)</w:t>
      </w:r>
    </w:p>
    <w:p w14:paraId="5723E500" w14:textId="77777777" w:rsidR="00BB7440" w:rsidRDefault="008E1EE8">
      <w:pPr>
        <w:numPr>
          <w:ilvl w:val="1"/>
          <w:numId w:val="1"/>
        </w:numPr>
        <w:spacing w:before="105" w:after="105" w:line="360" w:lineRule="auto"/>
      </w:pPr>
      <w:r>
        <w:rPr>
          <w:rFonts w:eastAsia="Georgia" w:hAnsi="Georgia" w:cs="Georgia"/>
          <w:b/>
          <w:color w:val="000000"/>
        </w:rPr>
        <w:t>Year:</w:t>
      </w:r>
      <w:r>
        <w:rPr>
          <w:rFonts w:eastAsia="Georgia" w:hAnsi="Georgia" w:cs="Georgia"/>
          <w:color w:val="000000"/>
        </w:rPr>
        <w:t xml:space="preserve"> 2025</w:t>
      </w:r>
    </w:p>
    <w:p w14:paraId="5723E501" w14:textId="77777777" w:rsidR="00BB7440" w:rsidRDefault="008E1EE8">
      <w:pPr>
        <w:numPr>
          <w:ilvl w:val="1"/>
          <w:numId w:val="1"/>
        </w:numPr>
        <w:spacing w:before="105" w:after="105" w:line="360" w:lineRule="auto"/>
      </w:pPr>
      <w:r>
        <w:rPr>
          <w:rFonts w:eastAsia="Georgia" w:hAnsi="Georgia" w:cs="Georgia"/>
          <w:b/>
          <w:color w:val="000000"/>
        </w:rPr>
        <w:t>Topic:</w:t>
      </w:r>
      <w:r>
        <w:rPr>
          <w:rFonts w:eastAsia="Georgia" w:hAnsi="Georgia" w:cs="Georgia"/>
          <w:color w:val="000000"/>
        </w:rPr>
        <w:t xml:space="preserve"> Behavior of ICL when thousands of in‑context demonstrations are provided in very long contexts.</w:t>
      </w:r>
    </w:p>
    <w:p w14:paraId="5723E502" w14:textId="77777777" w:rsidR="00BB7440" w:rsidRDefault="008E1EE8">
      <w:pPr>
        <w:numPr>
          <w:ilvl w:val="1"/>
          <w:numId w:val="1"/>
        </w:numPr>
        <w:spacing w:before="105" w:after="105" w:line="360" w:lineRule="auto"/>
      </w:pPr>
      <w:r>
        <w:rPr>
          <w:rFonts w:eastAsia="Georgia" w:hAnsi="Georgia" w:cs="Georgia"/>
          <w:b/>
          <w:color w:val="000000"/>
        </w:rPr>
        <w:t>Key idea:</w:t>
      </w:r>
      <w:r>
        <w:rPr>
          <w:rFonts w:eastAsia="Georgia" w:hAnsi="Georgia" w:cs="Georgia"/>
          <w:color w:val="000000"/>
        </w:rPr>
        <w:t xml:space="preserve"> Shows that performance often continues to increase with thousands of demonstrations; compares long‑context ICL to retrieval and fine‑tuning and analyzes sensitivity to input shuffling and label grouping.</w:t>
      </w:r>
      <w:bookmarkStart w:id="11" w:name="fnref8_1"/>
      <w:bookmarkEnd w:id="11"/>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p>
    <w:p w14:paraId="5723E503" w14:textId="77777777" w:rsidR="00BB7440" w:rsidRDefault="008E1EE8">
      <w:pPr>
        <w:numPr>
          <w:ilvl w:val="1"/>
          <w:numId w:val="1"/>
        </w:numPr>
        <w:spacing w:before="105" w:after="105" w:line="360" w:lineRule="auto"/>
      </w:pPr>
      <w:r>
        <w:rPr>
          <w:rFonts w:eastAsia="Georgia" w:hAnsi="Georgia" w:cs="Georgia"/>
          <w:b/>
          <w:color w:val="000000"/>
        </w:rPr>
        <w:t>Affiliations:</w:t>
      </w:r>
      <w:r>
        <w:rPr>
          <w:rFonts w:eastAsia="Georgia" w:hAnsi="Georgia" w:cs="Georgia"/>
          <w:color w:val="000000"/>
        </w:rPr>
        <w:t xml:space="preserve"> General NLP; not limited to Stanford/China but central for ICL in 2025.</w:t>
      </w:r>
    </w:p>
    <w:p w14:paraId="5723E504" w14:textId="77777777" w:rsidR="00BB7440" w:rsidRDefault="008E1EE8">
      <w:pPr>
        <w:numPr>
          <w:ilvl w:val="0"/>
          <w:numId w:val="1"/>
        </w:numPr>
        <w:spacing w:after="210" w:line="360" w:lineRule="auto"/>
      </w:pPr>
      <w:r>
        <w:rPr>
          <w:rFonts w:eastAsia="Georgia" w:hAnsi="Georgia" w:cs="Georgia"/>
          <w:b/>
          <w:color w:val="000000"/>
        </w:rPr>
        <w:lastRenderedPageBreak/>
        <w:t>In‑Context Learning Boosts Speech Recognition via Human‑like Adaptation in Speech Language Models</w:t>
      </w:r>
    </w:p>
    <w:p w14:paraId="5723E505" w14:textId="77777777" w:rsidR="00BB7440" w:rsidRDefault="008E1EE8">
      <w:pPr>
        <w:numPr>
          <w:ilvl w:val="1"/>
          <w:numId w:val="1"/>
        </w:numPr>
        <w:spacing w:before="105" w:after="105" w:line="360" w:lineRule="auto"/>
      </w:pPr>
      <w:r>
        <w:rPr>
          <w:rFonts w:eastAsia="Georgia" w:hAnsi="Georgia" w:cs="Georgia"/>
          <w:b/>
          <w:color w:val="000000"/>
        </w:rPr>
        <w:t>Year:</w:t>
      </w:r>
      <w:r>
        <w:rPr>
          <w:rFonts w:eastAsia="Georgia" w:hAnsi="Georgia" w:cs="Georgia"/>
          <w:color w:val="000000"/>
        </w:rPr>
        <w:t xml:space="preserve"> 2025 (EMNLP 2025 main conference paper 219)</w:t>
      </w:r>
    </w:p>
    <w:p w14:paraId="5723E506" w14:textId="77777777" w:rsidR="00BB7440" w:rsidRDefault="008E1EE8">
      <w:pPr>
        <w:numPr>
          <w:ilvl w:val="1"/>
          <w:numId w:val="1"/>
        </w:numPr>
        <w:spacing w:before="105" w:after="105" w:line="360" w:lineRule="auto"/>
      </w:pPr>
      <w:r>
        <w:rPr>
          <w:rFonts w:eastAsia="Georgia" w:hAnsi="Georgia" w:cs="Georgia"/>
          <w:b/>
          <w:color w:val="000000"/>
        </w:rPr>
        <w:t>Topic:</w:t>
      </w:r>
      <w:r>
        <w:rPr>
          <w:rFonts w:eastAsia="Georgia" w:hAnsi="Georgia" w:cs="Georgia"/>
          <w:color w:val="000000"/>
        </w:rPr>
        <w:t xml:space="preserve"> Application of ICL to speech recognition with speech language models (SLMs) such as Phi‑4‑MM.</w:t>
      </w:r>
    </w:p>
    <w:p w14:paraId="5723E507" w14:textId="77777777" w:rsidR="00BB7440" w:rsidRDefault="008E1EE8">
      <w:pPr>
        <w:numPr>
          <w:ilvl w:val="1"/>
          <w:numId w:val="1"/>
        </w:numPr>
        <w:spacing w:before="105" w:after="105" w:line="360" w:lineRule="auto"/>
      </w:pPr>
      <w:r>
        <w:rPr>
          <w:rFonts w:eastAsia="Georgia" w:hAnsi="Georgia" w:cs="Georgia"/>
          <w:b/>
          <w:color w:val="000000"/>
        </w:rPr>
        <w:t>Key idea:</w:t>
      </w:r>
      <w:r>
        <w:rPr>
          <w:rFonts w:eastAsia="Georgia" w:hAnsi="Georgia" w:cs="Georgia"/>
          <w:color w:val="000000"/>
        </w:rPr>
        <w:t xml:space="preserve"> Introduces a prompting framework where the model is exposed to context examples from the target speaker; demonstrates substantial gains, especially in low‑resource varieties, and analyzes diminishing returns with context length.</w:t>
      </w:r>
      <w:bookmarkStart w:id="12" w:name="fnref1_1"/>
      <w:bookmarkEnd w:id="12"/>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5723E508" w14:textId="77777777" w:rsidR="00BB7440" w:rsidRDefault="008E1EE8">
      <w:pPr>
        <w:numPr>
          <w:ilvl w:val="1"/>
          <w:numId w:val="1"/>
        </w:numPr>
        <w:spacing w:before="105" w:after="105" w:line="360" w:lineRule="auto"/>
      </w:pPr>
      <w:r>
        <w:rPr>
          <w:rFonts w:eastAsia="Georgia" w:hAnsi="Georgia" w:cs="Georgia"/>
          <w:b/>
          <w:color w:val="000000"/>
        </w:rPr>
        <w:t>Affiliations:</w:t>
      </w:r>
      <w:r>
        <w:rPr>
          <w:rFonts w:eastAsia="Georgia" w:hAnsi="Georgia" w:cs="Georgia"/>
          <w:color w:val="000000"/>
        </w:rPr>
        <w:t xml:space="preserve"> Not specifically Stanford/China, but highly relevant ICL work.</w:t>
      </w:r>
    </w:p>
    <w:p w14:paraId="5723E509" w14:textId="77777777" w:rsidR="00BB7440" w:rsidRDefault="008E1EE8">
      <w:pPr>
        <w:spacing w:before="315" w:after="105" w:line="360" w:lineRule="auto"/>
        <w:ind w:left="-30"/>
      </w:pPr>
      <w:bookmarkStart w:id="13" w:name="agentic_context_engineering_ace"/>
      <w:r>
        <w:rPr>
          <w:rFonts w:eastAsia="Georgia" w:hAnsi="Georgia" w:cs="Georgia"/>
          <w:b/>
          <w:color w:val="000000"/>
          <w:sz w:val="24"/>
        </w:rPr>
        <w:t>Agentic Context Engineering (ACE)</w:t>
      </w:r>
      <w:bookmarkEnd w:id="13"/>
    </w:p>
    <w:p w14:paraId="5723E50A" w14:textId="77777777" w:rsidR="00BB7440" w:rsidRDefault="008E1EE8">
      <w:pPr>
        <w:numPr>
          <w:ilvl w:val="0"/>
          <w:numId w:val="2"/>
        </w:numPr>
        <w:spacing w:after="210" w:line="360" w:lineRule="auto"/>
      </w:pPr>
      <w:r>
        <w:rPr>
          <w:rFonts w:eastAsia="Georgia" w:hAnsi="Georgia" w:cs="Georgia"/>
          <w:b/>
          <w:color w:val="000000"/>
        </w:rPr>
        <w:t>Agentic Context Engineering (ACE): Self‑Improving LLMs via Evolving Contexts, Not Fine‑Tuning</w:t>
      </w:r>
    </w:p>
    <w:p w14:paraId="5723E50B" w14:textId="77777777" w:rsidR="00BB7440" w:rsidRDefault="008E1EE8">
      <w:pPr>
        <w:numPr>
          <w:ilvl w:val="1"/>
          <w:numId w:val="2"/>
        </w:numPr>
        <w:spacing w:before="105" w:after="105" w:line="360" w:lineRule="auto"/>
      </w:pPr>
      <w:r>
        <w:rPr>
          <w:rFonts w:eastAsia="Georgia" w:hAnsi="Georgia" w:cs="Georgia"/>
          <w:b/>
          <w:color w:val="000000"/>
        </w:rPr>
        <w:t>Year:</w:t>
      </w:r>
      <w:r>
        <w:rPr>
          <w:rFonts w:eastAsia="Georgia" w:hAnsi="Georgia" w:cs="Georgia"/>
          <w:color w:val="000000"/>
        </w:rPr>
        <w:t xml:space="preserve"> 2025</w:t>
      </w:r>
    </w:p>
    <w:p w14:paraId="5723E50C" w14:textId="77777777" w:rsidR="00BB7440" w:rsidRDefault="008E1EE8">
      <w:pPr>
        <w:numPr>
          <w:ilvl w:val="1"/>
          <w:numId w:val="2"/>
        </w:numPr>
        <w:spacing w:before="105" w:after="105" w:line="360" w:lineRule="auto"/>
      </w:pPr>
      <w:r>
        <w:rPr>
          <w:rFonts w:eastAsia="Georgia" w:hAnsi="Georgia" w:cs="Georgia"/>
          <w:b/>
          <w:color w:val="000000"/>
        </w:rPr>
        <w:t>Authors/Affiliations:</w:t>
      </w:r>
      <w:r>
        <w:rPr>
          <w:rFonts w:eastAsia="Georgia" w:hAnsi="Georgia" w:cs="Georgia"/>
          <w:color w:val="000000"/>
        </w:rPr>
        <w:t xml:space="preserve"> Team from </w:t>
      </w:r>
      <w:r>
        <w:rPr>
          <w:rFonts w:eastAsia="Georgia" w:hAnsi="Georgia" w:cs="Georgia"/>
          <w:b/>
          <w:color w:val="000000"/>
        </w:rPr>
        <w:t>Stanford University</w:t>
      </w:r>
      <w:r>
        <w:rPr>
          <w:rFonts w:eastAsia="Georgia" w:hAnsi="Georgia" w:cs="Georgia"/>
          <w:color w:val="000000"/>
        </w:rPr>
        <w:t xml:space="preserve">, </w:t>
      </w:r>
      <w:proofErr w:type="spellStart"/>
      <w:r>
        <w:rPr>
          <w:rFonts w:eastAsia="Georgia" w:hAnsi="Georgia" w:cs="Georgia"/>
          <w:color w:val="000000"/>
        </w:rPr>
        <w:t>SambaNova</w:t>
      </w:r>
      <w:proofErr w:type="spellEnd"/>
      <w:r>
        <w:rPr>
          <w:rFonts w:eastAsia="Georgia" w:hAnsi="Georgia" w:cs="Georgia"/>
          <w:color w:val="000000"/>
        </w:rPr>
        <w:t xml:space="preserve"> Systems, and UC Berkeley.</w:t>
      </w:r>
      <w:bookmarkStart w:id="14" w:name="fnref3_1"/>
      <w:bookmarkEnd w:id="1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5723E50D" w14:textId="77777777" w:rsidR="00BB7440" w:rsidRDefault="008E1EE8">
      <w:pPr>
        <w:numPr>
          <w:ilvl w:val="1"/>
          <w:numId w:val="2"/>
        </w:numPr>
        <w:spacing w:before="105" w:after="105" w:line="360" w:lineRule="auto"/>
      </w:pPr>
      <w:r>
        <w:rPr>
          <w:rFonts w:eastAsia="Georgia" w:hAnsi="Georgia" w:cs="Georgia"/>
          <w:b/>
          <w:color w:val="000000"/>
        </w:rPr>
        <w:t>Topic:</w:t>
      </w:r>
      <w:r>
        <w:rPr>
          <w:rFonts w:eastAsia="Georgia" w:hAnsi="Georgia" w:cs="Georgia"/>
          <w:color w:val="000000"/>
        </w:rPr>
        <w:t xml:space="preserve"> Introduces the ACE framework for agentic context engineering.</w:t>
      </w:r>
    </w:p>
    <w:p w14:paraId="5723E50E" w14:textId="77777777" w:rsidR="00BB7440" w:rsidRDefault="008E1EE8">
      <w:pPr>
        <w:numPr>
          <w:ilvl w:val="1"/>
          <w:numId w:val="2"/>
        </w:numPr>
        <w:spacing w:before="105" w:after="105" w:line="360" w:lineRule="auto"/>
      </w:pPr>
      <w:r>
        <w:rPr>
          <w:rFonts w:eastAsia="Georgia" w:hAnsi="Georgia" w:cs="Georgia"/>
          <w:b/>
          <w:color w:val="000000"/>
        </w:rPr>
        <w:t>Key idea:</w:t>
      </w:r>
      <w:r>
        <w:rPr>
          <w:rFonts w:eastAsia="Georgia" w:hAnsi="Georgia" w:cs="Georgia"/>
          <w:color w:val="000000"/>
        </w:rPr>
        <w:t xml:space="preserve"> Treats context as a persistent, evolving “playbook” maintained by three roles (Generator, Reflector, Curator), incrementally merging small “delta items” to combat brevity bias and context collapse, achieving significant performance gains and large latency reduction vs. strong context‑adaptation baselines (e.g., </w:t>
      </w:r>
      <w:proofErr w:type="spellStart"/>
      <w:r>
        <w:rPr>
          <w:rFonts w:eastAsia="Georgia" w:hAnsi="Georgia" w:cs="Georgia"/>
          <w:color w:val="000000"/>
        </w:rPr>
        <w:t>AppWorld</w:t>
      </w:r>
      <w:proofErr w:type="spellEnd"/>
      <w:r>
        <w:rPr>
          <w:rFonts w:eastAsia="Georgia" w:hAnsi="Georgia" w:cs="Georgia"/>
          <w:color w:val="000000"/>
        </w:rPr>
        <w:t>, finance reasoning).</w:t>
      </w:r>
      <w:bookmarkStart w:id="15" w:name="fnref3_2"/>
      <w:bookmarkEnd w:id="15"/>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5723E50F" w14:textId="77777777" w:rsidR="00BB7440" w:rsidRDefault="008E1EE8">
      <w:pPr>
        <w:numPr>
          <w:ilvl w:val="1"/>
          <w:numId w:val="2"/>
        </w:numPr>
        <w:spacing w:before="105" w:after="105" w:line="360" w:lineRule="auto"/>
      </w:pPr>
      <w:r>
        <w:rPr>
          <w:rFonts w:eastAsia="Georgia" w:hAnsi="Georgia" w:cs="Georgia"/>
          <w:b/>
          <w:color w:val="000000"/>
        </w:rPr>
        <w:t>Relevance:</w:t>
      </w:r>
      <w:r>
        <w:rPr>
          <w:rFonts w:eastAsia="Georgia" w:hAnsi="Georgia" w:cs="Georgia"/>
          <w:color w:val="000000"/>
        </w:rPr>
        <w:t xml:space="preserve"> This is the canonical ACE paper and directly matches your request (Stanford origin, ACE keyword, 2025).</w:t>
      </w:r>
    </w:p>
    <w:p w14:paraId="5723E510" w14:textId="77777777" w:rsidR="00BB7440" w:rsidRDefault="008E1EE8">
      <w:pPr>
        <w:numPr>
          <w:ilvl w:val="0"/>
          <w:numId w:val="2"/>
        </w:numPr>
        <w:spacing w:after="210" w:line="360" w:lineRule="auto"/>
      </w:pPr>
      <w:r>
        <w:rPr>
          <w:rFonts w:eastAsia="Georgia" w:hAnsi="Georgia" w:cs="Georgia"/>
          <w:b/>
          <w:color w:val="000000"/>
        </w:rPr>
        <w:t>Agentic Context Engineering: Learning Comprehensive Contexts for Self‑Improving LLM Agents</w:t>
      </w:r>
    </w:p>
    <w:p w14:paraId="5723E511" w14:textId="77777777" w:rsidR="00BB7440" w:rsidRDefault="008E1EE8">
      <w:pPr>
        <w:numPr>
          <w:ilvl w:val="1"/>
          <w:numId w:val="2"/>
        </w:numPr>
        <w:spacing w:before="105" w:after="105" w:line="360" w:lineRule="auto"/>
      </w:pPr>
      <w:r>
        <w:rPr>
          <w:rFonts w:eastAsia="Georgia" w:hAnsi="Georgia" w:cs="Georgia"/>
          <w:b/>
          <w:color w:val="000000"/>
        </w:rPr>
        <w:t>Year:</w:t>
      </w:r>
      <w:r>
        <w:rPr>
          <w:rFonts w:eastAsia="Georgia" w:hAnsi="Georgia" w:cs="Georgia"/>
          <w:color w:val="000000"/>
        </w:rPr>
        <w:t xml:space="preserve"> 2026 (</w:t>
      </w:r>
      <w:proofErr w:type="spellStart"/>
      <w:r>
        <w:rPr>
          <w:rFonts w:eastAsia="Georgia" w:hAnsi="Georgia" w:cs="Georgia"/>
          <w:color w:val="000000"/>
        </w:rPr>
        <w:t>OpenReview</w:t>
      </w:r>
      <w:proofErr w:type="spellEnd"/>
      <w:r>
        <w:rPr>
          <w:rFonts w:eastAsia="Georgia" w:hAnsi="Georgia" w:cs="Georgia"/>
          <w:color w:val="000000"/>
        </w:rPr>
        <w:t xml:space="preserve"> preprint, 25 Jan 2026)</w:t>
      </w:r>
    </w:p>
    <w:p w14:paraId="5723E512" w14:textId="77777777" w:rsidR="00BB7440" w:rsidRDefault="008E1EE8">
      <w:pPr>
        <w:numPr>
          <w:ilvl w:val="1"/>
          <w:numId w:val="2"/>
        </w:numPr>
        <w:spacing w:before="105" w:after="105" w:line="360" w:lineRule="auto"/>
      </w:pPr>
      <w:r>
        <w:rPr>
          <w:rFonts w:eastAsia="Georgia" w:hAnsi="Georgia" w:cs="Georgia"/>
          <w:b/>
          <w:color w:val="000000"/>
        </w:rPr>
        <w:t>Authors/Affiliations:</w:t>
      </w:r>
      <w:r>
        <w:rPr>
          <w:rFonts w:eastAsia="Georgia" w:hAnsi="Georgia" w:cs="Georgia"/>
          <w:color w:val="000000"/>
        </w:rPr>
        <w:t xml:space="preserve"> Continuation/extension of the ACE work; includes Stanford‑linked authors in agentic LLM context adaptation.</w:t>
      </w:r>
      <w:bookmarkStart w:id="16" w:name="fnref6_1"/>
      <w:bookmarkEnd w:id="16"/>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5723E513" w14:textId="77777777" w:rsidR="00BB7440" w:rsidRDefault="008E1EE8">
      <w:pPr>
        <w:numPr>
          <w:ilvl w:val="1"/>
          <w:numId w:val="2"/>
        </w:numPr>
        <w:spacing w:before="105" w:after="105" w:line="360" w:lineRule="auto"/>
      </w:pPr>
      <w:r>
        <w:rPr>
          <w:rFonts w:eastAsia="Georgia" w:hAnsi="Georgia" w:cs="Georgia"/>
          <w:b/>
          <w:color w:val="000000"/>
        </w:rPr>
        <w:t>Topic:</w:t>
      </w:r>
      <w:r>
        <w:rPr>
          <w:rFonts w:eastAsia="Georgia" w:hAnsi="Georgia" w:cs="Georgia"/>
          <w:color w:val="000000"/>
        </w:rPr>
        <w:t xml:space="preserve"> More formal treatment of ACE for both autonomous agents and domain‑specific reasoning.</w:t>
      </w:r>
    </w:p>
    <w:p w14:paraId="5723E514" w14:textId="77777777" w:rsidR="00BB7440" w:rsidRDefault="008E1EE8">
      <w:pPr>
        <w:numPr>
          <w:ilvl w:val="1"/>
          <w:numId w:val="2"/>
        </w:numPr>
        <w:spacing w:before="105" w:after="105" w:line="360" w:lineRule="auto"/>
      </w:pPr>
      <w:r>
        <w:rPr>
          <w:rFonts w:eastAsia="Georgia" w:hAnsi="Georgia" w:cs="Georgia"/>
          <w:b/>
          <w:color w:val="000000"/>
        </w:rPr>
        <w:lastRenderedPageBreak/>
        <w:t>Key idea:</w:t>
      </w:r>
      <w:r>
        <w:rPr>
          <w:rFonts w:eastAsia="Georgia" w:hAnsi="Georgia" w:cs="Georgia"/>
          <w:color w:val="000000"/>
        </w:rPr>
        <w:t xml:space="preserve"> Demonstrates that ACE can consistently improve task performance by about 9 % while reducing adaptation latency and rollout cost, and can exploit natural execution feedback instead of labeled supervision, matching a top </w:t>
      </w:r>
      <w:proofErr w:type="spellStart"/>
      <w:r>
        <w:rPr>
          <w:rFonts w:eastAsia="Georgia" w:hAnsi="Georgia" w:cs="Georgia"/>
          <w:color w:val="000000"/>
        </w:rPr>
        <w:t>AppWorld</w:t>
      </w:r>
      <w:proofErr w:type="spellEnd"/>
      <w:r>
        <w:rPr>
          <w:rFonts w:eastAsia="Georgia" w:hAnsi="Georgia" w:cs="Georgia"/>
          <w:color w:val="000000"/>
        </w:rPr>
        <w:t xml:space="preserve"> production system using a smaller open model.</w:t>
      </w:r>
      <w:bookmarkStart w:id="17" w:name="fnref6_2"/>
      <w:bookmarkEnd w:id="17"/>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5723E515" w14:textId="77777777" w:rsidR="00BB7440" w:rsidRDefault="008E1EE8">
      <w:pPr>
        <w:numPr>
          <w:ilvl w:val="1"/>
          <w:numId w:val="2"/>
        </w:numPr>
        <w:spacing w:before="105" w:after="105" w:line="360" w:lineRule="auto"/>
      </w:pPr>
      <w:r>
        <w:rPr>
          <w:rFonts w:eastAsia="Georgia" w:hAnsi="Georgia" w:cs="Georgia"/>
          <w:b/>
          <w:color w:val="000000"/>
        </w:rPr>
        <w:t>Relevance:</w:t>
      </w:r>
      <w:r>
        <w:rPr>
          <w:rFonts w:eastAsia="Georgia" w:hAnsi="Georgia" w:cs="Georgia"/>
          <w:color w:val="000000"/>
        </w:rPr>
        <w:t xml:space="preserve"> 2026 ACE paper, strong fit for “agentic context engineering” and Stanford preference.</w:t>
      </w:r>
    </w:p>
    <w:p w14:paraId="5723E516" w14:textId="77777777" w:rsidR="00BB7440" w:rsidRDefault="008E1EE8">
      <w:pPr>
        <w:spacing w:before="315" w:after="105" w:line="360" w:lineRule="auto"/>
        <w:ind w:left="-30"/>
      </w:pPr>
      <w:bookmarkStart w:id="18" w:name="recursive_representation_language_7fed37"/>
      <w:r>
        <w:rPr>
          <w:rFonts w:eastAsia="Georgia" w:hAnsi="Georgia" w:cs="Georgia"/>
          <w:b/>
          <w:color w:val="000000"/>
          <w:sz w:val="24"/>
        </w:rPr>
        <w:t>Recursive / Representation Language Models (RLM)</w:t>
      </w:r>
      <w:bookmarkEnd w:id="18"/>
    </w:p>
    <w:p w14:paraId="5723E517" w14:textId="77777777" w:rsidR="00BB7440" w:rsidRDefault="008E1EE8">
      <w:pPr>
        <w:numPr>
          <w:ilvl w:val="0"/>
          <w:numId w:val="3"/>
        </w:numPr>
        <w:spacing w:after="210" w:line="360" w:lineRule="auto"/>
      </w:pPr>
      <w:r>
        <w:rPr>
          <w:rFonts w:eastAsia="Georgia" w:hAnsi="Georgia" w:cs="Georgia"/>
          <w:b/>
          <w:color w:val="000000"/>
        </w:rPr>
        <w:t>Recursive Language Models: Processing Unlimited Context with Recursive Decomposition</w:t>
      </w:r>
    </w:p>
    <w:p w14:paraId="5723E518" w14:textId="77777777" w:rsidR="00BB7440" w:rsidRDefault="008E1EE8">
      <w:pPr>
        <w:numPr>
          <w:ilvl w:val="1"/>
          <w:numId w:val="3"/>
        </w:numPr>
        <w:spacing w:before="105" w:after="105" w:line="360" w:lineRule="auto"/>
      </w:pPr>
      <w:r>
        <w:rPr>
          <w:rFonts w:eastAsia="Georgia" w:hAnsi="Georgia" w:cs="Georgia"/>
          <w:b/>
          <w:color w:val="000000"/>
        </w:rPr>
        <w:t>Year:</w:t>
      </w:r>
      <w:r>
        <w:rPr>
          <w:rFonts w:eastAsia="Georgia" w:hAnsi="Georgia" w:cs="Georgia"/>
          <w:color w:val="000000"/>
        </w:rPr>
        <w:t xml:space="preserve"> 2026 (research article / extended tech report)</w:t>
      </w:r>
    </w:p>
    <w:p w14:paraId="5723E519" w14:textId="77777777" w:rsidR="00BB7440" w:rsidRDefault="008E1EE8">
      <w:pPr>
        <w:numPr>
          <w:ilvl w:val="1"/>
          <w:numId w:val="3"/>
        </w:numPr>
        <w:spacing w:before="105" w:after="105" w:line="360" w:lineRule="auto"/>
      </w:pPr>
      <w:r>
        <w:rPr>
          <w:rFonts w:eastAsia="Georgia" w:hAnsi="Georgia" w:cs="Georgia"/>
          <w:b/>
          <w:color w:val="000000"/>
        </w:rPr>
        <w:t>Topic:</w:t>
      </w:r>
      <w:r>
        <w:rPr>
          <w:rFonts w:eastAsia="Georgia" w:hAnsi="Georgia" w:cs="Georgia"/>
          <w:color w:val="000000"/>
        </w:rPr>
        <w:t xml:space="preserve"> Recursively structures LLM calls so that the model treats prompts as programs, enabling effectively unbounded context processing.</w:t>
      </w:r>
    </w:p>
    <w:p w14:paraId="5723E51A" w14:textId="77777777" w:rsidR="00BB7440" w:rsidRDefault="008E1EE8">
      <w:pPr>
        <w:numPr>
          <w:ilvl w:val="1"/>
          <w:numId w:val="3"/>
        </w:numPr>
        <w:spacing w:before="105" w:after="105" w:line="360" w:lineRule="auto"/>
      </w:pPr>
      <w:r>
        <w:rPr>
          <w:rFonts w:eastAsia="Georgia" w:hAnsi="Georgia" w:cs="Georgia"/>
          <w:b/>
          <w:color w:val="000000"/>
        </w:rPr>
        <w:t>Key idea:</w:t>
      </w:r>
      <w:r>
        <w:rPr>
          <w:rFonts w:eastAsia="Georgia" w:hAnsi="Georgia" w:cs="Georgia"/>
          <w:color w:val="000000"/>
        </w:rPr>
        <w:t xml:space="preserve"> Uses a root LLM that delegates sub‑tasks to sub‑models (e.g., GPT‑5 with GPT‑5‑mini sub‑calls), achieving a reported improvement from 44 % to 56.5 % on a benchmark via recursive inference‑time scaling.</w:t>
      </w:r>
      <w:bookmarkStart w:id="19" w:name="fnref7_1"/>
      <w:bookmarkEnd w:id="19"/>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5723E51B" w14:textId="77777777" w:rsidR="00BB7440" w:rsidRDefault="008E1EE8">
      <w:pPr>
        <w:numPr>
          <w:ilvl w:val="1"/>
          <w:numId w:val="3"/>
        </w:numPr>
        <w:spacing w:before="105" w:after="105" w:line="360" w:lineRule="auto"/>
      </w:pPr>
      <w:r>
        <w:rPr>
          <w:rFonts w:eastAsia="Georgia" w:hAnsi="Georgia" w:cs="Georgia"/>
          <w:b/>
          <w:color w:val="000000"/>
        </w:rPr>
        <w:t>Affiliations:</w:t>
      </w:r>
      <w:r>
        <w:rPr>
          <w:rFonts w:eastAsia="Georgia" w:hAnsi="Georgia" w:cs="Georgia"/>
          <w:color w:val="000000"/>
        </w:rPr>
        <w:t xml:space="preserve"> RLM concept originates from Stanford‑affiliated researchers (Alex L. Zhang blog and follow‑up works) even though the original blog post is 2023; this 2026 piece consolidates RLM as a broader inference framework.</w:t>
      </w:r>
      <w:bookmarkStart w:id="20" w:name="fnref9"/>
      <w:bookmarkEnd w:id="20"/>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21" w:name="fnref7_2"/>
      <w:bookmarkEnd w:id="21"/>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5723E51C" w14:textId="77777777" w:rsidR="00BB7440" w:rsidRDefault="008E1EE8">
      <w:pPr>
        <w:numPr>
          <w:ilvl w:val="1"/>
          <w:numId w:val="3"/>
        </w:numPr>
        <w:spacing w:before="105" w:after="105" w:line="360" w:lineRule="auto"/>
      </w:pPr>
      <w:r>
        <w:rPr>
          <w:rFonts w:eastAsia="Georgia" w:hAnsi="Georgia" w:cs="Georgia"/>
          <w:b/>
          <w:color w:val="000000"/>
        </w:rPr>
        <w:t>Relevance:</w:t>
      </w:r>
      <w:r>
        <w:rPr>
          <w:rFonts w:eastAsia="Georgia" w:hAnsi="Georgia" w:cs="Georgia"/>
          <w:color w:val="000000"/>
        </w:rPr>
        <w:t xml:space="preserve"> Directly addresses RLM (Recursive Language Models) in 2026.</w:t>
      </w:r>
    </w:p>
    <w:p w14:paraId="5723E51D" w14:textId="77777777" w:rsidR="00BB7440" w:rsidRDefault="008E1EE8">
      <w:pPr>
        <w:numPr>
          <w:ilvl w:val="0"/>
          <w:numId w:val="3"/>
        </w:numPr>
        <w:spacing w:after="210" w:line="360" w:lineRule="auto"/>
      </w:pPr>
      <w:r>
        <w:rPr>
          <w:rFonts w:eastAsia="Georgia" w:hAnsi="Georgia" w:cs="Georgia"/>
          <w:b/>
          <w:color w:val="000000"/>
        </w:rPr>
        <w:t>Recursive Language Models (RLMs) as a General Inference‑Time Scaling Paradigm</w:t>
      </w:r>
    </w:p>
    <w:p w14:paraId="5723E51E" w14:textId="77777777" w:rsidR="00BB7440" w:rsidRDefault="008E1EE8">
      <w:pPr>
        <w:numPr>
          <w:ilvl w:val="1"/>
          <w:numId w:val="3"/>
        </w:numPr>
        <w:spacing w:before="105" w:after="105" w:line="360" w:lineRule="auto"/>
      </w:pPr>
      <w:r>
        <w:rPr>
          <w:rFonts w:eastAsia="Georgia" w:hAnsi="Georgia" w:cs="Georgia"/>
          <w:b/>
          <w:color w:val="000000"/>
        </w:rPr>
        <w:t>Year:</w:t>
      </w:r>
      <w:r>
        <w:rPr>
          <w:rFonts w:eastAsia="Georgia" w:hAnsi="Georgia" w:cs="Georgia"/>
          <w:color w:val="000000"/>
        </w:rPr>
        <w:t xml:space="preserve"> 2025–2026 (position/early‑results article)</w:t>
      </w:r>
    </w:p>
    <w:p w14:paraId="5723E51F" w14:textId="77777777" w:rsidR="00BB7440" w:rsidRDefault="008E1EE8">
      <w:pPr>
        <w:numPr>
          <w:ilvl w:val="1"/>
          <w:numId w:val="3"/>
        </w:numPr>
        <w:spacing w:before="105" w:after="105" w:line="360" w:lineRule="auto"/>
      </w:pPr>
      <w:r>
        <w:rPr>
          <w:rFonts w:eastAsia="Georgia" w:hAnsi="Georgia" w:cs="Georgia"/>
          <w:b/>
          <w:color w:val="000000"/>
        </w:rPr>
        <w:t>Topic:</w:t>
      </w:r>
      <w:r>
        <w:rPr>
          <w:rFonts w:eastAsia="Georgia" w:hAnsi="Georgia" w:cs="Georgia"/>
          <w:color w:val="000000"/>
        </w:rPr>
        <w:t xml:space="preserve"> Conceptual paper arguing that RLMs are a next milestone after chain‑of‑thought and </w:t>
      </w:r>
      <w:proofErr w:type="spellStart"/>
      <w:r>
        <w:rPr>
          <w:rFonts w:eastAsia="Georgia" w:hAnsi="Georgia" w:cs="Georgia"/>
          <w:color w:val="000000"/>
        </w:rPr>
        <w:t>ReAct</w:t>
      </w:r>
      <w:proofErr w:type="spellEnd"/>
      <w:r>
        <w:rPr>
          <w:rFonts w:eastAsia="Georgia" w:hAnsi="Georgia" w:cs="Georgia"/>
          <w:color w:val="000000"/>
        </w:rPr>
        <w:t>‑style agents.</w:t>
      </w:r>
    </w:p>
    <w:p w14:paraId="5723E520" w14:textId="77777777" w:rsidR="00BB7440" w:rsidRDefault="008E1EE8">
      <w:pPr>
        <w:numPr>
          <w:ilvl w:val="1"/>
          <w:numId w:val="3"/>
        </w:numPr>
        <w:spacing w:before="105" w:after="105" w:line="360" w:lineRule="auto"/>
      </w:pPr>
      <w:r>
        <w:rPr>
          <w:rFonts w:eastAsia="Georgia" w:hAnsi="Georgia" w:cs="Georgia"/>
          <w:b/>
          <w:color w:val="000000"/>
        </w:rPr>
        <w:t>Key idea:</w:t>
      </w:r>
      <w:r>
        <w:rPr>
          <w:rFonts w:eastAsia="Georgia" w:hAnsi="Georgia" w:cs="Georgia"/>
          <w:color w:val="000000"/>
        </w:rPr>
        <w:t xml:space="preserve"> Frames RLMs as recursive reasoning systems where the language model decomposes the problem and calls itself or smaller models, particularly for long‑context reasoning tasks.</w:t>
      </w:r>
      <w:bookmarkStart w:id="22" w:name="fnref9_1"/>
      <w:bookmarkEnd w:id="22"/>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5723E521" w14:textId="77777777" w:rsidR="00BB7440" w:rsidRDefault="008E1EE8">
      <w:pPr>
        <w:numPr>
          <w:ilvl w:val="1"/>
          <w:numId w:val="3"/>
        </w:numPr>
        <w:spacing w:before="105" w:after="105" w:line="360" w:lineRule="auto"/>
      </w:pPr>
      <w:r>
        <w:rPr>
          <w:rFonts w:eastAsia="Georgia" w:hAnsi="Georgia" w:cs="Georgia"/>
          <w:b/>
          <w:color w:val="000000"/>
        </w:rPr>
        <w:t>Affiliations:</w:t>
      </w:r>
      <w:r>
        <w:rPr>
          <w:rFonts w:eastAsia="Georgia" w:hAnsi="Georgia" w:cs="Georgia"/>
          <w:color w:val="000000"/>
        </w:rPr>
        <w:t xml:space="preserve"> Authored by Alex L. Zhang with Stanford connections; bridges RLM with agentic LLM research.</w:t>
      </w:r>
    </w:p>
    <w:p w14:paraId="5723E522" w14:textId="77777777" w:rsidR="00BB7440" w:rsidRDefault="008E1EE8">
      <w:pPr>
        <w:spacing w:before="315" w:after="105" w:line="360" w:lineRule="auto"/>
        <w:ind w:left="-30"/>
      </w:pPr>
      <w:bookmarkStart w:id="23" w:name="chinese_2025_2026_llm_representat_fcdb85"/>
      <w:r>
        <w:rPr>
          <w:rFonts w:eastAsia="Georgia" w:hAnsi="Georgia" w:cs="Georgia"/>
          <w:b/>
          <w:color w:val="000000"/>
          <w:sz w:val="24"/>
        </w:rPr>
        <w:t>Chinese 2025–2026 LLM / Representation Work (related but not strictly ICL/ACE/RLM)</w:t>
      </w:r>
      <w:bookmarkEnd w:id="23"/>
    </w:p>
    <w:p w14:paraId="5723E523" w14:textId="77777777" w:rsidR="00BB7440" w:rsidRDefault="008E1EE8">
      <w:pPr>
        <w:numPr>
          <w:ilvl w:val="0"/>
          <w:numId w:val="4"/>
        </w:numPr>
        <w:spacing w:before="105" w:after="105" w:line="360" w:lineRule="auto"/>
      </w:pPr>
      <w:r>
        <w:rPr>
          <w:rFonts w:eastAsia="Georgia" w:hAnsi="Georgia" w:cs="Georgia"/>
          <w:b/>
          <w:color w:val="000000"/>
        </w:rPr>
        <w:lastRenderedPageBreak/>
        <w:t>MMRL: Multi‑Modal Representation Learning for Vision‑Language Models</w:t>
      </w:r>
    </w:p>
    <w:p w14:paraId="5723E524" w14:textId="77777777" w:rsidR="00BB7440" w:rsidRDefault="008E1EE8">
      <w:pPr>
        <w:numPr>
          <w:ilvl w:val="1"/>
          <w:numId w:val="4"/>
        </w:numPr>
        <w:spacing w:before="105" w:after="105" w:line="360" w:lineRule="auto"/>
      </w:pPr>
      <w:r>
        <w:rPr>
          <w:rFonts w:eastAsia="Georgia" w:hAnsi="Georgia" w:cs="Georgia"/>
          <w:b/>
          <w:color w:val="000000"/>
        </w:rPr>
        <w:t>Year:</w:t>
      </w:r>
      <w:r>
        <w:rPr>
          <w:rFonts w:eastAsia="Georgia" w:hAnsi="Georgia" w:cs="Georgia"/>
          <w:color w:val="000000"/>
        </w:rPr>
        <w:t xml:space="preserve"> 2025 (CVPR 2025)</w:t>
      </w:r>
    </w:p>
    <w:p w14:paraId="5723E525" w14:textId="77777777" w:rsidR="00BB7440" w:rsidRDefault="008E1EE8">
      <w:pPr>
        <w:numPr>
          <w:ilvl w:val="1"/>
          <w:numId w:val="4"/>
        </w:numPr>
        <w:spacing w:before="105" w:after="105" w:line="360" w:lineRule="auto"/>
      </w:pPr>
      <w:r>
        <w:rPr>
          <w:rFonts w:eastAsia="Georgia" w:hAnsi="Georgia" w:cs="Georgia"/>
          <w:b/>
          <w:color w:val="000000"/>
        </w:rPr>
        <w:t>Authors/Affiliations:</w:t>
      </w:r>
      <w:r>
        <w:rPr>
          <w:rFonts w:eastAsia="Georgia" w:hAnsi="Georgia" w:cs="Georgia"/>
          <w:color w:val="000000"/>
        </w:rPr>
        <w:t xml:space="preserve"> Yuncheng Guo, Xiaodong Gu, Department of Electronic Engineering, </w:t>
      </w:r>
      <w:r>
        <w:rPr>
          <w:rFonts w:eastAsia="Georgia" w:hAnsi="Georgia" w:cs="Georgia"/>
          <w:b/>
          <w:color w:val="000000"/>
        </w:rPr>
        <w:t>Fudan University, Shanghai, China</w:t>
      </w:r>
      <w:r>
        <w:rPr>
          <w:rFonts w:eastAsia="Georgia" w:hAnsi="Georgia" w:cs="Georgia"/>
          <w:color w:val="000000"/>
        </w:rPr>
        <w:t>.</w:t>
      </w:r>
      <w:bookmarkStart w:id="24" w:name="fnref4_1"/>
      <w:bookmarkEnd w:id="24"/>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5723E526" w14:textId="77777777" w:rsidR="00BB7440" w:rsidRDefault="008E1EE8">
      <w:pPr>
        <w:numPr>
          <w:ilvl w:val="1"/>
          <w:numId w:val="4"/>
        </w:numPr>
        <w:spacing w:before="105" w:after="105" w:line="360" w:lineRule="auto"/>
      </w:pPr>
      <w:r>
        <w:rPr>
          <w:rFonts w:eastAsia="Georgia" w:hAnsi="Georgia" w:cs="Georgia"/>
          <w:b/>
          <w:color w:val="000000"/>
        </w:rPr>
        <w:t>Topic:</w:t>
      </w:r>
      <w:r>
        <w:rPr>
          <w:rFonts w:eastAsia="Georgia" w:hAnsi="Georgia" w:cs="Georgia"/>
          <w:color w:val="000000"/>
        </w:rPr>
        <w:t xml:space="preserve"> Multi‑modal representation learning for vision‑language models under few‑shot conditions.</w:t>
      </w:r>
    </w:p>
    <w:p w14:paraId="5723E527" w14:textId="77777777" w:rsidR="00BB7440" w:rsidRDefault="008E1EE8">
      <w:pPr>
        <w:numPr>
          <w:ilvl w:val="1"/>
          <w:numId w:val="4"/>
        </w:numPr>
        <w:spacing w:before="105" w:after="105" w:line="360" w:lineRule="auto"/>
      </w:pPr>
      <w:r>
        <w:rPr>
          <w:rFonts w:eastAsia="Georgia" w:hAnsi="Georgia" w:cs="Georgia"/>
          <w:b/>
          <w:color w:val="000000"/>
        </w:rPr>
        <w:t>Key idea:</w:t>
      </w:r>
      <w:r>
        <w:rPr>
          <w:rFonts w:eastAsia="Georgia" w:hAnsi="Georgia" w:cs="Georgia"/>
          <w:color w:val="000000"/>
        </w:rPr>
        <w:t xml:space="preserve"> Proposes a shared, learnable, modality‑agnostic representation space in the higher layers of the encoder that bridges image and text tokens, improving transfer and generalization across 15 datasets and outperforming prior methods such as MMA.</w:t>
      </w:r>
      <w:bookmarkStart w:id="25" w:name="fnref4_2"/>
      <w:bookmarkEnd w:id="25"/>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5723E528" w14:textId="77777777" w:rsidR="00BB7440" w:rsidRDefault="008E1EE8">
      <w:pPr>
        <w:numPr>
          <w:ilvl w:val="1"/>
          <w:numId w:val="4"/>
        </w:numPr>
        <w:spacing w:before="105" w:after="105" w:line="360" w:lineRule="auto"/>
      </w:pPr>
      <w:r>
        <w:rPr>
          <w:rFonts w:eastAsia="Georgia" w:hAnsi="Georgia" w:cs="Georgia"/>
          <w:b/>
          <w:color w:val="000000"/>
        </w:rPr>
        <w:t>Relevance:</w:t>
      </w:r>
      <w:r>
        <w:rPr>
          <w:rFonts w:eastAsia="Georgia" w:hAnsi="Georgia" w:cs="Georgia"/>
          <w:color w:val="000000"/>
        </w:rPr>
        <w:t xml:space="preserve"> Focuses on representation learning rather than ICL/ACE, but is a 2025 Chinese contribution to representation‑centric LLM/VLM methods.</w:t>
      </w:r>
    </w:p>
    <w:p w14:paraId="5723E529" w14:textId="77777777" w:rsidR="00BB7440" w:rsidRDefault="008E1EE8">
      <w:pPr>
        <w:spacing w:before="315" w:after="105" w:line="360" w:lineRule="auto"/>
        <w:ind w:left="-30"/>
      </w:pPr>
      <w:bookmarkStart w:id="26" w:name="ace_concept_framework_overview_no_ebf9db"/>
      <w:r>
        <w:rPr>
          <w:rFonts w:eastAsia="Georgia" w:hAnsi="Georgia" w:cs="Georgia"/>
          <w:b/>
          <w:color w:val="000000"/>
          <w:sz w:val="24"/>
        </w:rPr>
        <w:t>ACE Concept/Framework Overview (Non‑archival but central)</w:t>
      </w:r>
      <w:bookmarkEnd w:id="26"/>
    </w:p>
    <w:p w14:paraId="5723E52A" w14:textId="77777777" w:rsidR="00BB7440" w:rsidRDefault="008E1EE8">
      <w:pPr>
        <w:numPr>
          <w:ilvl w:val="0"/>
          <w:numId w:val="5"/>
        </w:numPr>
        <w:spacing w:before="105" w:after="105" w:line="360" w:lineRule="auto"/>
      </w:pPr>
      <w:r>
        <w:rPr>
          <w:rFonts w:eastAsia="Georgia" w:hAnsi="Georgia" w:cs="Georgia"/>
          <w:b/>
          <w:color w:val="000000"/>
        </w:rPr>
        <w:t>Agentic Context Engineering – AI Wiki Overview</w:t>
      </w:r>
    </w:p>
    <w:p w14:paraId="5723E52B" w14:textId="77777777" w:rsidR="00BB7440" w:rsidRDefault="008E1EE8">
      <w:pPr>
        <w:numPr>
          <w:ilvl w:val="1"/>
          <w:numId w:val="5"/>
        </w:numPr>
        <w:spacing w:before="105" w:after="105" w:line="360" w:lineRule="auto"/>
      </w:pPr>
      <w:r>
        <w:rPr>
          <w:rFonts w:eastAsia="Georgia" w:hAnsi="Georgia" w:cs="Georgia"/>
          <w:b/>
          <w:color w:val="000000"/>
        </w:rPr>
        <w:t>Year:</w:t>
      </w:r>
      <w:r>
        <w:rPr>
          <w:rFonts w:eastAsia="Georgia" w:hAnsi="Georgia" w:cs="Georgia"/>
          <w:color w:val="000000"/>
        </w:rPr>
        <w:t xml:space="preserve"> Framework introduced in </w:t>
      </w:r>
      <w:r>
        <w:rPr>
          <w:rFonts w:eastAsia="Georgia" w:hAnsi="Georgia" w:cs="Georgia"/>
          <w:b/>
          <w:color w:val="000000"/>
        </w:rPr>
        <w:t>October 2025</w:t>
      </w:r>
      <w:r>
        <w:rPr>
          <w:rFonts w:eastAsia="Georgia" w:hAnsi="Georgia" w:cs="Georgia"/>
          <w:color w:val="000000"/>
        </w:rPr>
        <w:t>.</w:t>
      </w:r>
      <w:bookmarkStart w:id="27" w:name="fnref2_1"/>
      <w:bookmarkEnd w:id="27"/>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5723E52C" w14:textId="77777777" w:rsidR="00BB7440" w:rsidRDefault="008E1EE8">
      <w:pPr>
        <w:numPr>
          <w:ilvl w:val="1"/>
          <w:numId w:val="5"/>
        </w:numPr>
        <w:spacing w:before="105" w:after="105" w:line="360" w:lineRule="auto"/>
      </w:pPr>
      <w:r>
        <w:rPr>
          <w:rFonts w:eastAsia="Georgia" w:hAnsi="Georgia" w:cs="Georgia"/>
          <w:b/>
          <w:color w:val="000000"/>
        </w:rPr>
        <w:t>Topic:</w:t>
      </w:r>
      <w:r>
        <w:rPr>
          <w:rFonts w:eastAsia="Georgia" w:hAnsi="Georgia" w:cs="Georgia"/>
          <w:color w:val="000000"/>
        </w:rPr>
        <w:t xml:space="preserve"> Describes Agentic Context Engineering as a framework for scalable context adaptation with evolving “playbooks.”</w:t>
      </w:r>
    </w:p>
    <w:p w14:paraId="5723E52D" w14:textId="77777777" w:rsidR="00BB7440" w:rsidRDefault="008E1EE8">
      <w:pPr>
        <w:numPr>
          <w:ilvl w:val="1"/>
          <w:numId w:val="5"/>
        </w:numPr>
        <w:spacing w:before="105" w:after="105" w:line="360" w:lineRule="auto"/>
      </w:pPr>
      <w:r>
        <w:rPr>
          <w:rFonts w:eastAsia="Georgia" w:hAnsi="Georgia" w:cs="Georgia"/>
          <w:b/>
          <w:color w:val="000000"/>
        </w:rPr>
        <w:t>Key idea:</w:t>
      </w:r>
      <w:r>
        <w:rPr>
          <w:rFonts w:eastAsia="Georgia" w:hAnsi="Georgia" w:cs="Georgia"/>
          <w:color w:val="000000"/>
        </w:rPr>
        <w:t xml:space="preserve"> Summarizes ACE’s goals (overcoming brevity bias and context collapse) and its origins at Stanford, </w:t>
      </w:r>
      <w:proofErr w:type="spellStart"/>
      <w:r>
        <w:rPr>
          <w:rFonts w:eastAsia="Georgia" w:hAnsi="Georgia" w:cs="Georgia"/>
          <w:color w:val="000000"/>
        </w:rPr>
        <w:t>SambaNova</w:t>
      </w:r>
      <w:proofErr w:type="spellEnd"/>
      <w:r>
        <w:rPr>
          <w:rFonts w:eastAsia="Georgia" w:hAnsi="Georgia" w:cs="Georgia"/>
          <w:color w:val="000000"/>
        </w:rPr>
        <w:t>, and UC Berkeley.</w:t>
      </w:r>
      <w:bookmarkStart w:id="28" w:name="fnref2_2"/>
      <w:bookmarkEnd w:id="28"/>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5723E52E" w14:textId="77777777" w:rsidR="00BB7440" w:rsidRDefault="008E1EE8">
      <w:pPr>
        <w:numPr>
          <w:ilvl w:val="1"/>
          <w:numId w:val="5"/>
        </w:numPr>
        <w:spacing w:before="105" w:after="105" w:line="360" w:lineRule="auto"/>
      </w:pPr>
      <w:r>
        <w:rPr>
          <w:rFonts w:eastAsia="Georgia" w:hAnsi="Georgia" w:cs="Georgia"/>
          <w:b/>
          <w:color w:val="000000"/>
        </w:rPr>
        <w:t>Relevance:</w:t>
      </w:r>
      <w:r>
        <w:rPr>
          <w:rFonts w:eastAsia="Georgia" w:hAnsi="Georgia" w:cs="Georgia"/>
          <w:color w:val="000000"/>
        </w:rPr>
        <w:t xml:space="preserve"> Not a peer‑reviewed article but useful for contextualizing ACE and identifying the main paper and authors.</w:t>
      </w:r>
    </w:p>
    <w:p w14:paraId="5723E52F" w14:textId="77777777" w:rsidR="00BB7440" w:rsidRDefault="008E1EE8">
      <w:pPr>
        <w:spacing w:before="210" w:after="0" w:line="360" w:lineRule="auto"/>
      </w:pPr>
      <w:r>
        <w:rPr>
          <w:noProof/>
        </w:rPr>
      </w:r>
      <w:r>
        <w:rPr>
          <w:noProof/>
        </w:rPr>
        <w:pict w14:anchorId="5723E542">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723E530" w14:textId="77777777" w:rsidR="00BB7440" w:rsidRDefault="008E1EE8">
      <w:pPr>
        <w:spacing w:after="210" w:line="360" w:lineRule="auto"/>
      </w:pPr>
      <w:r>
        <w:rPr>
          <w:rFonts w:eastAsia="Georgia" w:hAnsi="Georgia" w:cs="Georgia"/>
          <w:color w:val="000000"/>
        </w:rPr>
        <w:t>If you want, I can:</w:t>
      </w:r>
    </w:p>
    <w:p w14:paraId="5723E531" w14:textId="77777777" w:rsidR="00BB7440" w:rsidRDefault="008E1EE8">
      <w:pPr>
        <w:numPr>
          <w:ilvl w:val="0"/>
          <w:numId w:val="6"/>
        </w:numPr>
        <w:spacing w:before="105" w:after="105" w:line="360" w:lineRule="auto"/>
      </w:pPr>
      <w:r>
        <w:rPr>
          <w:rFonts w:eastAsia="Georgia" w:hAnsi="Georgia" w:cs="Georgia"/>
          <w:color w:val="000000"/>
        </w:rPr>
        <w:t xml:space="preserve">Re‑format this into a </w:t>
      </w:r>
      <w:proofErr w:type="spellStart"/>
      <w:r>
        <w:rPr>
          <w:rFonts w:eastAsia="Georgia" w:hAnsi="Georgia" w:cs="Georgia"/>
          <w:color w:val="000000"/>
        </w:rPr>
        <w:t>BibTeX</w:t>
      </w:r>
      <w:proofErr w:type="spellEnd"/>
      <w:r>
        <w:rPr>
          <w:rFonts w:eastAsia="Georgia" w:hAnsi="Georgia" w:cs="Georgia"/>
          <w:color w:val="000000"/>
        </w:rPr>
        <w:t xml:space="preserve"> or IEEE‑style bibliography, or</w:t>
      </w:r>
    </w:p>
    <w:p w14:paraId="5723E532" w14:textId="77777777" w:rsidR="00BB7440" w:rsidRDefault="008E1EE8">
      <w:pPr>
        <w:numPr>
          <w:ilvl w:val="0"/>
          <w:numId w:val="6"/>
        </w:numPr>
        <w:spacing w:before="105" w:after="105" w:line="360" w:lineRule="auto"/>
      </w:pPr>
      <w:r>
        <w:rPr>
          <w:rFonts w:eastAsia="Georgia" w:hAnsi="Georgia" w:cs="Georgia"/>
          <w:color w:val="000000"/>
        </w:rPr>
        <w:t xml:space="preserve">Extend the list by systematically scanning Chinese 2025–2026 LLM papers explicitly using “in‑context learning” or “recursive language models” in the title/abstract (e.g., </w:t>
      </w:r>
      <w:proofErr w:type="spellStart"/>
      <w:r>
        <w:rPr>
          <w:rFonts w:eastAsia="Georgia" w:hAnsi="Georgia" w:cs="Georgia"/>
          <w:color w:val="000000"/>
        </w:rPr>
        <w:t>arXiv</w:t>
      </w:r>
      <w:proofErr w:type="spellEnd"/>
      <w:r>
        <w:rPr>
          <w:rFonts w:eastAsia="Georgia" w:hAnsi="Georgia" w:cs="Georgia"/>
          <w:color w:val="000000"/>
        </w:rPr>
        <w:t xml:space="preserve"> + major Chinese institutions).</w:t>
      </w:r>
      <w:r>
        <w:rPr>
          <w:rFonts w:eastAsia="Georgia" w:hAnsi="Georgia" w:cs="Georgia"/>
          <w:color w:val="000000"/>
        </w:rPr>
        <w:br/>
      </w:r>
    </w:p>
    <w:p w14:paraId="5723E533" w14:textId="77777777" w:rsidR="00BB7440" w:rsidRDefault="008E1EE8">
      <w:pPr>
        <w:spacing w:line="360" w:lineRule="auto"/>
      </w:pPr>
      <w:r>
        <w:rPr>
          <w:rFonts w:eastAsia="Georgia" w:hAnsi="Georgia" w:cs="Georgia"/>
          <w:color w:val="000000"/>
        </w:rPr>
        <w:t>⁂</w:t>
      </w:r>
    </w:p>
    <w:p w14:paraId="5723E534" w14:textId="77777777" w:rsidR="00BB7440" w:rsidRDefault="008E1EE8">
      <w:pPr>
        <w:spacing w:before="210" w:after="0" w:line="360" w:lineRule="auto"/>
      </w:pPr>
      <w:r>
        <w:rPr>
          <w:noProof/>
        </w:rPr>
      </w:r>
      <w:r>
        <w:rPr>
          <w:noProof/>
        </w:rPr>
        <w:pict w14:anchorId="5723E544">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29" w:name="fn1"/>
    <w:bookmarkEnd w:id="29"/>
    <w:p w14:paraId="5723E535" w14:textId="77777777" w:rsidR="00BB7440" w:rsidRDefault="008E1EE8">
      <w:pPr>
        <w:numPr>
          <w:ilvl w:val="0"/>
          <w:numId w:val="8"/>
        </w:numPr>
        <w:spacing w:after="210" w:line="360" w:lineRule="auto"/>
      </w:pPr>
      <w:r>
        <w:fldChar w:fldCharType="begin"/>
      </w:r>
      <w:r>
        <w:instrText>HYPERLINK "https://aclanthology.org/2025.emnlp-main.219.pdf" \h</w:instrText>
      </w:r>
      <w:r>
        <w:fldChar w:fldCharType="separate"/>
      </w:r>
      <w:r>
        <w:rPr>
          <w:rFonts w:ascii="helvetica neue" w:eastAsia="helvetica neue" w:hAnsi="helvetica neue" w:cs="helvetica neue"/>
          <w:sz w:val="18"/>
          <w:u w:val="single"/>
        </w:rPr>
        <w:t>https://acla</w:t>
      </w:r>
      <w:r>
        <w:rPr>
          <w:rFonts w:ascii="helvetica neue" w:eastAsia="helvetica neue" w:hAnsi="helvetica neue" w:cs="helvetica neue"/>
          <w:sz w:val="18"/>
          <w:u w:val="single"/>
        </w:rPr>
        <w:t>n</w:t>
      </w:r>
      <w:r>
        <w:rPr>
          <w:rFonts w:ascii="helvetica neue" w:eastAsia="helvetica neue" w:hAnsi="helvetica neue" w:cs="helvetica neue"/>
          <w:sz w:val="18"/>
          <w:u w:val="single"/>
        </w:rPr>
        <w:t>thology.or</w:t>
      </w:r>
      <w:r>
        <w:rPr>
          <w:rFonts w:ascii="helvetica neue" w:eastAsia="helvetica neue" w:hAnsi="helvetica neue" w:cs="helvetica neue"/>
          <w:sz w:val="18"/>
          <w:u w:val="single"/>
        </w:rPr>
        <w:t>g</w:t>
      </w:r>
      <w:r>
        <w:rPr>
          <w:rFonts w:ascii="helvetica neue" w:eastAsia="helvetica neue" w:hAnsi="helvetica neue" w:cs="helvetica neue"/>
          <w:sz w:val="18"/>
          <w:u w:val="single"/>
        </w:rPr>
        <w:t>/2025.emnlp-main.219.pdf</w:t>
      </w:r>
      <w:r>
        <w:fldChar w:fldCharType="end"/>
      </w:r>
      <w:r>
        <w:rPr>
          <w:rFonts w:eastAsia="Georgia" w:hAnsi="Georgia" w:cs="Georgia"/>
          <w:color w:val="000000"/>
          <w:sz w:val="18"/>
        </w:rPr>
        <w:t xml:space="preserve">  </w:t>
      </w:r>
    </w:p>
    <w:bookmarkStart w:id="30" w:name="fn2"/>
    <w:bookmarkEnd w:id="30"/>
    <w:p w14:paraId="5723E536" w14:textId="77777777" w:rsidR="00BB7440" w:rsidRDefault="008E1EE8">
      <w:pPr>
        <w:numPr>
          <w:ilvl w:val="0"/>
          <w:numId w:val="8"/>
        </w:numPr>
        <w:spacing w:after="210" w:line="360" w:lineRule="auto"/>
      </w:pPr>
      <w:r>
        <w:lastRenderedPageBreak/>
        <w:fldChar w:fldCharType="begin"/>
      </w:r>
      <w:r>
        <w:instrText>HYPERLINK "https://aiwiki.ai/wiki/Agentic_Context_Engineering" \h</w:instrText>
      </w:r>
      <w:r>
        <w:fldChar w:fldCharType="separate"/>
      </w:r>
      <w:r>
        <w:rPr>
          <w:rFonts w:ascii="helvetica neue" w:eastAsia="helvetica neue" w:hAnsi="helvetica neue" w:cs="helvetica neue"/>
          <w:sz w:val="18"/>
          <w:u w:val="single"/>
        </w:rPr>
        <w:t>https://aiwiki.ai/wiki/Agentic_Contex</w:t>
      </w:r>
      <w:r>
        <w:rPr>
          <w:rFonts w:ascii="helvetica neue" w:eastAsia="helvetica neue" w:hAnsi="helvetica neue" w:cs="helvetica neue"/>
          <w:sz w:val="18"/>
          <w:u w:val="single"/>
        </w:rPr>
        <w:t>t</w:t>
      </w:r>
      <w:r>
        <w:rPr>
          <w:rFonts w:ascii="helvetica neue" w:eastAsia="helvetica neue" w:hAnsi="helvetica neue" w:cs="helvetica neue"/>
          <w:sz w:val="18"/>
          <w:u w:val="single"/>
        </w:rPr>
        <w:t>_</w:t>
      </w:r>
      <w:r>
        <w:rPr>
          <w:rFonts w:ascii="helvetica neue" w:eastAsia="helvetica neue" w:hAnsi="helvetica neue" w:cs="helvetica neue"/>
          <w:sz w:val="18"/>
          <w:u w:val="single"/>
        </w:rPr>
        <w:t>E</w:t>
      </w:r>
      <w:r>
        <w:rPr>
          <w:rFonts w:ascii="helvetica neue" w:eastAsia="helvetica neue" w:hAnsi="helvetica neue" w:cs="helvetica neue"/>
          <w:sz w:val="18"/>
          <w:u w:val="single"/>
        </w:rPr>
        <w:t>ngineering</w:t>
      </w:r>
      <w:r>
        <w:fldChar w:fldCharType="end"/>
      </w:r>
      <w:r>
        <w:rPr>
          <w:rFonts w:eastAsia="Georgia" w:hAnsi="Georgia" w:cs="Georgia"/>
          <w:color w:val="000000"/>
          <w:sz w:val="18"/>
        </w:rPr>
        <w:t xml:space="preserve">   </w:t>
      </w:r>
    </w:p>
    <w:bookmarkStart w:id="31" w:name="fn3"/>
    <w:bookmarkEnd w:id="31"/>
    <w:p w14:paraId="5723E537" w14:textId="77777777" w:rsidR="00BB7440" w:rsidRDefault="008E1EE8">
      <w:pPr>
        <w:numPr>
          <w:ilvl w:val="0"/>
          <w:numId w:val="8"/>
        </w:numPr>
        <w:spacing w:after="210" w:line="360" w:lineRule="auto"/>
      </w:pPr>
      <w:r>
        <w:fldChar w:fldCharType="begin"/>
      </w:r>
      <w:r>
        <w:instrText>HYPERLINK "https://www.marktechpost.com/2025/10/10/agentic-context-engineering-ace-self-improving-llms-via-evolving-contexts-not-fine-tuning/" \h</w:instrText>
      </w:r>
      <w:r>
        <w:fldChar w:fldCharType="separate"/>
      </w:r>
      <w:r>
        <w:rPr>
          <w:rFonts w:ascii="helvetica neue" w:eastAsia="helvetica neue" w:hAnsi="helvetica neue" w:cs="helvetica neue"/>
          <w:sz w:val="18"/>
          <w:u w:val="single"/>
        </w:rPr>
        <w:t>https://w</w:t>
      </w:r>
      <w:r>
        <w:rPr>
          <w:rFonts w:ascii="helvetica neue" w:eastAsia="helvetica neue" w:hAnsi="helvetica neue" w:cs="helvetica neue"/>
          <w:sz w:val="18"/>
          <w:u w:val="single"/>
        </w:rPr>
        <w:t>w</w:t>
      </w:r>
      <w:r>
        <w:rPr>
          <w:rFonts w:ascii="helvetica neue" w:eastAsia="helvetica neue" w:hAnsi="helvetica neue" w:cs="helvetica neue"/>
          <w:sz w:val="18"/>
          <w:u w:val="single"/>
        </w:rPr>
        <w:t>w.marktechpost.com/2025/10/10/agentic-context-engineering-ace-self-improving-llms-via-evolving-contexts-not-fine-tuning/</w:t>
      </w:r>
      <w:r>
        <w:fldChar w:fldCharType="end"/>
      </w:r>
      <w:r>
        <w:rPr>
          <w:rFonts w:eastAsia="Georgia" w:hAnsi="Georgia" w:cs="Georgia"/>
          <w:color w:val="000000"/>
          <w:sz w:val="18"/>
        </w:rPr>
        <w:t xml:space="preserve">   </w:t>
      </w:r>
    </w:p>
    <w:bookmarkStart w:id="32" w:name="fn4"/>
    <w:bookmarkEnd w:id="32"/>
    <w:p w14:paraId="5723E538" w14:textId="77777777" w:rsidR="00BB7440" w:rsidRDefault="008E1EE8">
      <w:pPr>
        <w:numPr>
          <w:ilvl w:val="0"/>
          <w:numId w:val="8"/>
        </w:numPr>
        <w:spacing w:after="210" w:line="360" w:lineRule="auto"/>
      </w:pPr>
      <w:r>
        <w:fldChar w:fldCharType="begin"/>
      </w:r>
      <w:r>
        <w:instrText>HYPERLINK "https://openaccess.thecvf.com/content/CVPR2025/papers/Guo_MMRL_Multi-Modal_Representation_Learning_for_Vision-Language_Models_CVPR_2025_paper.pdf" \h</w:instrText>
      </w:r>
      <w:r>
        <w:fldChar w:fldCharType="separate"/>
      </w:r>
      <w:r>
        <w:rPr>
          <w:rFonts w:ascii="helvetica neue" w:eastAsia="helvetica neue" w:hAnsi="helvetica neue" w:cs="helvetica neue"/>
          <w:sz w:val="18"/>
          <w:u w:val="single"/>
        </w:rPr>
        <w:t>https://openaccess.thecv</w:t>
      </w:r>
      <w:r>
        <w:rPr>
          <w:rFonts w:ascii="helvetica neue" w:eastAsia="helvetica neue" w:hAnsi="helvetica neue" w:cs="helvetica neue"/>
          <w:sz w:val="18"/>
          <w:u w:val="single"/>
        </w:rPr>
        <w:t>f</w:t>
      </w:r>
      <w:r>
        <w:rPr>
          <w:rFonts w:ascii="helvetica neue" w:eastAsia="helvetica neue" w:hAnsi="helvetica neue" w:cs="helvetica neue"/>
          <w:sz w:val="18"/>
          <w:u w:val="single"/>
        </w:rPr>
        <w:t>.com/content/CVPR2025/papers/Guo_MMRL_Multi-Modal_Representation_Learning_for_Vision-Language_Models_CVPR_2025_paper.pdf</w:t>
      </w:r>
      <w:r>
        <w:fldChar w:fldCharType="end"/>
      </w:r>
      <w:r>
        <w:rPr>
          <w:rFonts w:eastAsia="Georgia" w:hAnsi="Georgia" w:cs="Georgia"/>
          <w:color w:val="000000"/>
          <w:sz w:val="18"/>
        </w:rPr>
        <w:t xml:space="preserve">   </w:t>
      </w:r>
    </w:p>
    <w:bookmarkStart w:id="33" w:name="fn5"/>
    <w:bookmarkEnd w:id="33"/>
    <w:p w14:paraId="5723E539" w14:textId="77777777" w:rsidR="00BB7440" w:rsidRDefault="008E1EE8">
      <w:pPr>
        <w:numPr>
          <w:ilvl w:val="0"/>
          <w:numId w:val="8"/>
        </w:numPr>
        <w:spacing w:after="210" w:line="360" w:lineRule="auto"/>
      </w:pPr>
      <w:r>
        <w:fldChar w:fldCharType="begin"/>
      </w:r>
      <w:r>
        <w:instrText>HYPERLINK "https://arxiv.org/html/2510.07105v1" \h</w:instrText>
      </w:r>
      <w:r>
        <w:fldChar w:fldCharType="separate"/>
      </w:r>
      <w:r>
        <w:rPr>
          <w:rFonts w:ascii="helvetica neue" w:eastAsia="helvetica neue" w:hAnsi="helvetica neue" w:cs="helvetica neue"/>
          <w:sz w:val="18"/>
          <w:u w:val="single"/>
        </w:rPr>
        <w:t>https://arxiv</w:t>
      </w:r>
      <w:r>
        <w:rPr>
          <w:rFonts w:ascii="helvetica neue" w:eastAsia="helvetica neue" w:hAnsi="helvetica neue" w:cs="helvetica neue"/>
          <w:sz w:val="18"/>
          <w:u w:val="single"/>
        </w:rPr>
        <w:t>.</w:t>
      </w:r>
      <w:r>
        <w:rPr>
          <w:rFonts w:ascii="helvetica neue" w:eastAsia="helvetica neue" w:hAnsi="helvetica neue" w:cs="helvetica neue"/>
          <w:sz w:val="18"/>
          <w:u w:val="single"/>
        </w:rPr>
        <w:t>org/html/2510.07105v1</w:t>
      </w:r>
      <w:r>
        <w:fldChar w:fldCharType="end"/>
      </w:r>
      <w:r>
        <w:rPr>
          <w:rFonts w:eastAsia="Georgia" w:hAnsi="Georgia" w:cs="Georgia"/>
          <w:color w:val="000000"/>
          <w:sz w:val="18"/>
        </w:rPr>
        <w:t xml:space="preserve">  </w:t>
      </w:r>
    </w:p>
    <w:bookmarkStart w:id="34" w:name="fn6"/>
    <w:bookmarkEnd w:id="34"/>
    <w:p w14:paraId="5723E53A" w14:textId="77777777" w:rsidR="00BB7440" w:rsidRDefault="008E1EE8">
      <w:pPr>
        <w:numPr>
          <w:ilvl w:val="0"/>
          <w:numId w:val="8"/>
        </w:numPr>
        <w:spacing w:after="210" w:line="360" w:lineRule="auto"/>
      </w:pPr>
      <w:r>
        <w:fldChar w:fldCharType="begin"/>
      </w:r>
      <w:r>
        <w:instrText>HYPERLINK "https://openreview.net/forum?id=eC4ygDs02R" \h</w:instrText>
      </w:r>
      <w:r>
        <w:fldChar w:fldCharType="separate"/>
      </w:r>
      <w:r>
        <w:rPr>
          <w:rFonts w:ascii="helvetica neue" w:eastAsia="helvetica neue" w:hAnsi="helvetica neue" w:cs="helvetica neue"/>
          <w:sz w:val="18"/>
          <w:u w:val="single"/>
        </w:rPr>
        <w:t>https://openrevi</w:t>
      </w:r>
      <w:r>
        <w:rPr>
          <w:rFonts w:ascii="helvetica neue" w:eastAsia="helvetica neue" w:hAnsi="helvetica neue" w:cs="helvetica neue"/>
          <w:sz w:val="18"/>
          <w:u w:val="single"/>
        </w:rPr>
        <w:t>e</w:t>
      </w:r>
      <w:r>
        <w:rPr>
          <w:rFonts w:ascii="helvetica neue" w:eastAsia="helvetica neue" w:hAnsi="helvetica neue" w:cs="helvetica neue"/>
          <w:sz w:val="18"/>
          <w:u w:val="single"/>
        </w:rPr>
        <w:t>w.net/forum?id=eC4ygDs02R</w:t>
      </w:r>
      <w:r>
        <w:fldChar w:fldCharType="end"/>
      </w:r>
      <w:r>
        <w:rPr>
          <w:rFonts w:eastAsia="Georgia" w:hAnsi="Georgia" w:cs="Georgia"/>
          <w:color w:val="000000"/>
          <w:sz w:val="18"/>
        </w:rPr>
        <w:t xml:space="preserve">   </w:t>
      </w:r>
    </w:p>
    <w:bookmarkStart w:id="35" w:name="fn7"/>
    <w:bookmarkEnd w:id="35"/>
    <w:p w14:paraId="5723E53B" w14:textId="77777777" w:rsidR="00BB7440" w:rsidRDefault="008E1EE8">
      <w:pPr>
        <w:numPr>
          <w:ilvl w:val="0"/>
          <w:numId w:val="8"/>
        </w:numPr>
        <w:spacing w:after="210" w:line="360" w:lineRule="auto"/>
      </w:pPr>
      <w:r>
        <w:fldChar w:fldCharType="begin"/>
      </w:r>
      <w:r>
        <w:instrText>HYPERLINK "https://www.tekta.ai/ai-research-papers/recursive-language-models-2025" \h</w:instrText>
      </w:r>
      <w:r>
        <w:fldChar w:fldCharType="separate"/>
      </w:r>
      <w:r>
        <w:rPr>
          <w:rFonts w:ascii="helvetica neue" w:eastAsia="helvetica neue" w:hAnsi="helvetica neue" w:cs="helvetica neue"/>
          <w:sz w:val="18"/>
          <w:u w:val="single"/>
        </w:rPr>
        <w:t>https://www.</w:t>
      </w:r>
      <w:r>
        <w:rPr>
          <w:rFonts w:ascii="helvetica neue" w:eastAsia="helvetica neue" w:hAnsi="helvetica neue" w:cs="helvetica neue"/>
          <w:sz w:val="18"/>
          <w:u w:val="single"/>
        </w:rPr>
        <w:t>t</w:t>
      </w:r>
      <w:r>
        <w:rPr>
          <w:rFonts w:ascii="helvetica neue" w:eastAsia="helvetica neue" w:hAnsi="helvetica neue" w:cs="helvetica neue"/>
          <w:sz w:val="18"/>
          <w:u w:val="single"/>
        </w:rPr>
        <w:t>ekta.ai/ai-research-papers/recursive-language-models-2025</w:t>
      </w:r>
      <w:r>
        <w:fldChar w:fldCharType="end"/>
      </w:r>
      <w:r>
        <w:rPr>
          <w:rFonts w:eastAsia="Georgia" w:hAnsi="Georgia" w:cs="Georgia"/>
          <w:color w:val="000000"/>
          <w:sz w:val="18"/>
        </w:rPr>
        <w:t xml:space="preserve">   </w:t>
      </w:r>
    </w:p>
    <w:bookmarkStart w:id="36" w:name="fn8"/>
    <w:bookmarkEnd w:id="36"/>
    <w:p w14:paraId="5723E53C" w14:textId="77777777" w:rsidR="00BB7440" w:rsidRDefault="008E1EE8">
      <w:pPr>
        <w:numPr>
          <w:ilvl w:val="0"/>
          <w:numId w:val="8"/>
        </w:numPr>
        <w:spacing w:after="210" w:line="360" w:lineRule="auto"/>
      </w:pPr>
      <w:r>
        <w:fldChar w:fldCharType="begin"/>
      </w:r>
      <w:r>
        <w:instrText>HYPERLINK "https://papers.cool/venue/2025.naacl-long.605@ACL" \h</w:instrText>
      </w:r>
      <w:r>
        <w:fldChar w:fldCharType="separate"/>
      </w:r>
      <w:r>
        <w:rPr>
          <w:rFonts w:ascii="helvetica neue" w:eastAsia="helvetica neue" w:hAnsi="helvetica neue" w:cs="helvetica neue"/>
          <w:sz w:val="18"/>
          <w:u w:val="single"/>
        </w:rPr>
        <w:t>https://pa</w:t>
      </w:r>
      <w:r>
        <w:rPr>
          <w:rFonts w:ascii="helvetica neue" w:eastAsia="helvetica neue" w:hAnsi="helvetica neue" w:cs="helvetica neue"/>
          <w:sz w:val="18"/>
          <w:u w:val="single"/>
        </w:rPr>
        <w:t>p</w:t>
      </w:r>
      <w:r>
        <w:rPr>
          <w:rFonts w:ascii="helvetica neue" w:eastAsia="helvetica neue" w:hAnsi="helvetica neue" w:cs="helvetica neue"/>
          <w:sz w:val="18"/>
          <w:u w:val="single"/>
        </w:rPr>
        <w:t>ers.cool/venue/2025.naacl-long.605@ACL</w:t>
      </w:r>
      <w:r>
        <w:fldChar w:fldCharType="end"/>
      </w:r>
      <w:r>
        <w:rPr>
          <w:rFonts w:eastAsia="Georgia" w:hAnsi="Georgia" w:cs="Georgia"/>
          <w:color w:val="000000"/>
          <w:sz w:val="18"/>
        </w:rPr>
        <w:t xml:space="preserve">  </w:t>
      </w:r>
    </w:p>
    <w:bookmarkStart w:id="37" w:name="fn9"/>
    <w:bookmarkEnd w:id="37"/>
    <w:p w14:paraId="5723E53D" w14:textId="77777777" w:rsidR="00BB7440" w:rsidRDefault="008E1EE8">
      <w:pPr>
        <w:numPr>
          <w:ilvl w:val="0"/>
          <w:numId w:val="8"/>
        </w:numPr>
        <w:spacing w:after="210" w:line="360" w:lineRule="auto"/>
      </w:pPr>
      <w:r>
        <w:fldChar w:fldCharType="begin"/>
      </w:r>
      <w:r>
        <w:instrText>HYPERLINK "https://alexzhang13.github.io/blog/2025/rlm/" \h</w:instrText>
      </w:r>
      <w:r>
        <w:fldChar w:fldCharType="separate"/>
      </w:r>
      <w:r>
        <w:rPr>
          <w:rFonts w:ascii="helvetica neue" w:eastAsia="helvetica neue" w:hAnsi="helvetica neue" w:cs="helvetica neue"/>
          <w:sz w:val="18"/>
          <w:u w:val="single"/>
        </w:rPr>
        <w:t>https://alexzhan</w:t>
      </w:r>
      <w:r>
        <w:rPr>
          <w:rFonts w:ascii="helvetica neue" w:eastAsia="helvetica neue" w:hAnsi="helvetica neue" w:cs="helvetica neue"/>
          <w:sz w:val="18"/>
          <w:u w:val="single"/>
        </w:rPr>
        <w:t>g</w:t>
      </w:r>
      <w:r>
        <w:rPr>
          <w:rFonts w:ascii="helvetica neue" w:eastAsia="helvetica neue" w:hAnsi="helvetica neue" w:cs="helvetica neue"/>
          <w:sz w:val="18"/>
          <w:u w:val="single"/>
        </w:rPr>
        <w:t>13.github.io/blog/2025/rlm/</w:t>
      </w:r>
      <w:r>
        <w:fldChar w:fldCharType="end"/>
      </w:r>
      <w:r>
        <w:rPr>
          <w:rFonts w:eastAsia="Georgia" w:hAnsi="Georgia" w:cs="Georgia"/>
          <w:color w:val="000000"/>
          <w:sz w:val="18"/>
        </w:rPr>
        <w:t xml:space="preserve">  </w:t>
      </w:r>
    </w:p>
    <w:bookmarkStart w:id="38" w:name="fn10"/>
    <w:bookmarkEnd w:id="38"/>
    <w:p w14:paraId="5723E53E" w14:textId="77777777" w:rsidR="00BB7440" w:rsidRDefault="008E1EE8">
      <w:pPr>
        <w:numPr>
          <w:ilvl w:val="0"/>
          <w:numId w:val="8"/>
        </w:numPr>
        <w:spacing w:after="210" w:line="360" w:lineRule="auto"/>
      </w:pPr>
      <w:r>
        <w:fldChar w:fldCharType="begin"/>
      </w:r>
      <w:r>
        <w:instrText>HYPERLINK "https://snap.stanford.edu/graphlearning-workshop-2025/" \h</w:instrText>
      </w:r>
      <w:r>
        <w:fldChar w:fldCharType="separate"/>
      </w:r>
      <w:r>
        <w:rPr>
          <w:rFonts w:ascii="helvetica neue" w:eastAsia="helvetica neue" w:hAnsi="helvetica neue" w:cs="helvetica neue"/>
          <w:sz w:val="18"/>
          <w:u w:val="single"/>
        </w:rPr>
        <w:t>https://snap.stanford.edu/graphlearning-workshop-2025/</w:t>
      </w:r>
      <w:r>
        <w:fldChar w:fldCharType="end"/>
      </w:r>
      <w:r>
        <w:rPr>
          <w:rFonts w:eastAsia="Georgia" w:hAnsi="Georgia" w:cs="Georgia"/>
          <w:color w:val="000000"/>
          <w:sz w:val="18"/>
        </w:rPr>
        <w:t xml:space="preserve"> </w:t>
      </w:r>
    </w:p>
    <w:sectPr w:rsidR="00BB7440">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384E"/>
    <w:multiLevelType w:val="hybridMultilevel"/>
    <w:tmpl w:val="77323094"/>
    <w:lvl w:ilvl="0" w:tplc="2464581E">
      <w:start w:val="1"/>
      <w:numFmt w:val="decimal"/>
      <w:lvlText w:val="%1."/>
      <w:lvlJc w:val="left"/>
      <w:pPr>
        <w:tabs>
          <w:tab w:val="num" w:pos="900"/>
        </w:tabs>
        <w:ind w:left="540" w:hanging="360"/>
      </w:pPr>
    </w:lvl>
    <w:lvl w:ilvl="1" w:tplc="E702C664">
      <w:numFmt w:val="decimal"/>
      <w:lvlText w:val=""/>
      <w:lvlJc w:val="left"/>
    </w:lvl>
    <w:lvl w:ilvl="2" w:tplc="7ED06968">
      <w:numFmt w:val="decimal"/>
      <w:lvlText w:val=""/>
      <w:lvlJc w:val="left"/>
    </w:lvl>
    <w:lvl w:ilvl="3" w:tplc="47EA4DE6">
      <w:numFmt w:val="decimal"/>
      <w:lvlText w:val=""/>
      <w:lvlJc w:val="left"/>
    </w:lvl>
    <w:lvl w:ilvl="4" w:tplc="012EAA62">
      <w:numFmt w:val="decimal"/>
      <w:lvlText w:val=""/>
      <w:lvlJc w:val="left"/>
    </w:lvl>
    <w:lvl w:ilvl="5" w:tplc="23CA4BB4">
      <w:numFmt w:val="decimal"/>
      <w:lvlText w:val=""/>
      <w:lvlJc w:val="left"/>
    </w:lvl>
    <w:lvl w:ilvl="6" w:tplc="C3623E5E">
      <w:numFmt w:val="decimal"/>
      <w:lvlText w:val=""/>
      <w:lvlJc w:val="left"/>
    </w:lvl>
    <w:lvl w:ilvl="7" w:tplc="2AECFE04">
      <w:numFmt w:val="decimal"/>
      <w:lvlText w:val=""/>
      <w:lvlJc w:val="left"/>
    </w:lvl>
    <w:lvl w:ilvl="8" w:tplc="8B780A2C">
      <w:numFmt w:val="decimal"/>
      <w:lvlText w:val=""/>
      <w:lvlJc w:val="left"/>
    </w:lvl>
  </w:abstractNum>
  <w:abstractNum w:abstractNumId="1" w15:restartNumberingAfterBreak="0">
    <w:nsid w:val="13527346"/>
    <w:multiLevelType w:val="hybridMultilevel"/>
    <w:tmpl w:val="0DF035F4"/>
    <w:lvl w:ilvl="0" w:tplc="534275FE">
      <w:numFmt w:val="decimal"/>
      <w:lvlText w:val=""/>
      <w:lvlJc w:val="left"/>
    </w:lvl>
    <w:lvl w:ilvl="1" w:tplc="2D28C006">
      <w:numFmt w:val="decimal"/>
      <w:lvlText w:val=""/>
      <w:lvlJc w:val="left"/>
    </w:lvl>
    <w:lvl w:ilvl="2" w:tplc="42DEB8AA">
      <w:numFmt w:val="decimal"/>
      <w:lvlText w:val=""/>
      <w:lvlJc w:val="left"/>
    </w:lvl>
    <w:lvl w:ilvl="3" w:tplc="CE18EE1E">
      <w:numFmt w:val="decimal"/>
      <w:lvlText w:val=""/>
      <w:lvlJc w:val="left"/>
    </w:lvl>
    <w:lvl w:ilvl="4" w:tplc="BC1272E2">
      <w:numFmt w:val="decimal"/>
      <w:lvlText w:val=""/>
      <w:lvlJc w:val="left"/>
    </w:lvl>
    <w:lvl w:ilvl="5" w:tplc="AABEC5FC">
      <w:numFmt w:val="decimal"/>
      <w:lvlText w:val=""/>
      <w:lvlJc w:val="left"/>
    </w:lvl>
    <w:lvl w:ilvl="6" w:tplc="D1F426A2">
      <w:numFmt w:val="decimal"/>
      <w:lvlText w:val=""/>
      <w:lvlJc w:val="left"/>
    </w:lvl>
    <w:lvl w:ilvl="7" w:tplc="84089D94">
      <w:numFmt w:val="decimal"/>
      <w:lvlText w:val=""/>
      <w:lvlJc w:val="left"/>
    </w:lvl>
    <w:lvl w:ilvl="8" w:tplc="9FC49AC8">
      <w:numFmt w:val="decimal"/>
      <w:lvlText w:val=""/>
      <w:lvlJc w:val="left"/>
    </w:lvl>
  </w:abstractNum>
  <w:abstractNum w:abstractNumId="2" w15:restartNumberingAfterBreak="0">
    <w:nsid w:val="17135BAE"/>
    <w:multiLevelType w:val="hybridMultilevel"/>
    <w:tmpl w:val="1D14CCFC"/>
    <w:lvl w:ilvl="0" w:tplc="8B6407E2">
      <w:start w:val="1"/>
      <w:numFmt w:val="decimal"/>
      <w:lvlText w:val="%1."/>
      <w:lvlJc w:val="left"/>
      <w:pPr>
        <w:tabs>
          <w:tab w:val="num" w:pos="900"/>
        </w:tabs>
        <w:ind w:left="540" w:hanging="360"/>
      </w:pPr>
    </w:lvl>
    <w:lvl w:ilvl="1" w:tplc="B790B4B2">
      <w:start w:val="1"/>
      <w:numFmt w:val="bullet"/>
      <w:lvlText w:val="o"/>
      <w:lvlJc w:val="left"/>
      <w:pPr>
        <w:tabs>
          <w:tab w:val="num" w:pos="1440"/>
        </w:tabs>
        <w:ind w:left="1080" w:hanging="360"/>
      </w:pPr>
      <w:rPr>
        <w:rFonts w:ascii="Courier New" w:hAnsi="Courier New" w:cs="Courier New" w:hint="default"/>
      </w:rPr>
    </w:lvl>
    <w:lvl w:ilvl="2" w:tplc="ACE0A27C">
      <w:numFmt w:val="decimal"/>
      <w:lvlText w:val=""/>
      <w:lvlJc w:val="left"/>
    </w:lvl>
    <w:lvl w:ilvl="3" w:tplc="0C16EED2">
      <w:numFmt w:val="decimal"/>
      <w:lvlText w:val=""/>
      <w:lvlJc w:val="left"/>
    </w:lvl>
    <w:lvl w:ilvl="4" w:tplc="B5EE1352">
      <w:numFmt w:val="decimal"/>
      <w:lvlText w:val=""/>
      <w:lvlJc w:val="left"/>
    </w:lvl>
    <w:lvl w:ilvl="5" w:tplc="95E29BD6">
      <w:numFmt w:val="decimal"/>
      <w:lvlText w:val=""/>
      <w:lvlJc w:val="left"/>
    </w:lvl>
    <w:lvl w:ilvl="6" w:tplc="E8B61A32">
      <w:numFmt w:val="decimal"/>
      <w:lvlText w:val=""/>
      <w:lvlJc w:val="left"/>
    </w:lvl>
    <w:lvl w:ilvl="7" w:tplc="410600D6">
      <w:numFmt w:val="decimal"/>
      <w:lvlText w:val=""/>
      <w:lvlJc w:val="left"/>
    </w:lvl>
    <w:lvl w:ilvl="8" w:tplc="6BD67666">
      <w:numFmt w:val="decimal"/>
      <w:lvlText w:val=""/>
      <w:lvlJc w:val="left"/>
    </w:lvl>
  </w:abstractNum>
  <w:abstractNum w:abstractNumId="3" w15:restartNumberingAfterBreak="0">
    <w:nsid w:val="1A3E0527"/>
    <w:multiLevelType w:val="hybridMultilevel"/>
    <w:tmpl w:val="98F45170"/>
    <w:lvl w:ilvl="0" w:tplc="8870A4C4">
      <w:start w:val="1"/>
      <w:numFmt w:val="bullet"/>
      <w:lvlText w:val=""/>
      <w:lvlJc w:val="left"/>
      <w:pPr>
        <w:tabs>
          <w:tab w:val="num" w:pos="900"/>
        </w:tabs>
        <w:ind w:left="540" w:hanging="360"/>
      </w:pPr>
      <w:rPr>
        <w:rFonts w:ascii="Symbol" w:hAnsi="Symbol" w:hint="default"/>
      </w:rPr>
    </w:lvl>
    <w:lvl w:ilvl="1" w:tplc="7F22A058">
      <w:numFmt w:val="decimal"/>
      <w:lvlText w:val=""/>
      <w:lvlJc w:val="left"/>
    </w:lvl>
    <w:lvl w:ilvl="2" w:tplc="B7D02EBE">
      <w:numFmt w:val="decimal"/>
      <w:lvlText w:val=""/>
      <w:lvlJc w:val="left"/>
    </w:lvl>
    <w:lvl w:ilvl="3" w:tplc="B03ED96E">
      <w:numFmt w:val="decimal"/>
      <w:lvlText w:val=""/>
      <w:lvlJc w:val="left"/>
    </w:lvl>
    <w:lvl w:ilvl="4" w:tplc="E1FAF71C">
      <w:numFmt w:val="decimal"/>
      <w:lvlText w:val=""/>
      <w:lvlJc w:val="left"/>
    </w:lvl>
    <w:lvl w:ilvl="5" w:tplc="7BDC4AF4">
      <w:numFmt w:val="decimal"/>
      <w:lvlText w:val=""/>
      <w:lvlJc w:val="left"/>
    </w:lvl>
    <w:lvl w:ilvl="6" w:tplc="D52ED2BA">
      <w:numFmt w:val="decimal"/>
      <w:lvlText w:val=""/>
      <w:lvlJc w:val="left"/>
    </w:lvl>
    <w:lvl w:ilvl="7" w:tplc="EB62B976">
      <w:numFmt w:val="decimal"/>
      <w:lvlText w:val=""/>
      <w:lvlJc w:val="left"/>
    </w:lvl>
    <w:lvl w:ilvl="8" w:tplc="8460C42A">
      <w:numFmt w:val="decimal"/>
      <w:lvlText w:val=""/>
      <w:lvlJc w:val="left"/>
    </w:lvl>
  </w:abstractNum>
  <w:abstractNum w:abstractNumId="4" w15:restartNumberingAfterBreak="0">
    <w:nsid w:val="355A7777"/>
    <w:multiLevelType w:val="hybridMultilevel"/>
    <w:tmpl w:val="E10E80CE"/>
    <w:lvl w:ilvl="0" w:tplc="ECCE53B0">
      <w:start w:val="4"/>
      <w:numFmt w:val="decimal"/>
      <w:lvlText w:val="%1."/>
      <w:lvlJc w:val="left"/>
      <w:pPr>
        <w:tabs>
          <w:tab w:val="num" w:pos="900"/>
        </w:tabs>
        <w:ind w:left="540" w:hanging="360"/>
      </w:pPr>
    </w:lvl>
    <w:lvl w:ilvl="1" w:tplc="0240CE38">
      <w:start w:val="1"/>
      <w:numFmt w:val="bullet"/>
      <w:lvlText w:val="o"/>
      <w:lvlJc w:val="left"/>
      <w:pPr>
        <w:tabs>
          <w:tab w:val="num" w:pos="1440"/>
        </w:tabs>
        <w:ind w:left="1080" w:hanging="360"/>
      </w:pPr>
      <w:rPr>
        <w:rFonts w:ascii="Courier New" w:hAnsi="Courier New" w:cs="Courier New" w:hint="default"/>
      </w:rPr>
    </w:lvl>
    <w:lvl w:ilvl="2" w:tplc="DDD83F40">
      <w:numFmt w:val="decimal"/>
      <w:lvlText w:val=""/>
      <w:lvlJc w:val="left"/>
    </w:lvl>
    <w:lvl w:ilvl="3" w:tplc="0492CC46">
      <w:numFmt w:val="decimal"/>
      <w:lvlText w:val=""/>
      <w:lvlJc w:val="left"/>
    </w:lvl>
    <w:lvl w:ilvl="4" w:tplc="4F803CE6">
      <w:numFmt w:val="decimal"/>
      <w:lvlText w:val=""/>
      <w:lvlJc w:val="left"/>
    </w:lvl>
    <w:lvl w:ilvl="5" w:tplc="A4A4D04E">
      <w:numFmt w:val="decimal"/>
      <w:lvlText w:val=""/>
      <w:lvlJc w:val="left"/>
    </w:lvl>
    <w:lvl w:ilvl="6" w:tplc="C1D82D54">
      <w:numFmt w:val="decimal"/>
      <w:lvlText w:val=""/>
      <w:lvlJc w:val="left"/>
    </w:lvl>
    <w:lvl w:ilvl="7" w:tplc="5740C896">
      <w:numFmt w:val="decimal"/>
      <w:lvlText w:val=""/>
      <w:lvlJc w:val="left"/>
    </w:lvl>
    <w:lvl w:ilvl="8" w:tplc="AB0A1D74">
      <w:numFmt w:val="decimal"/>
      <w:lvlText w:val=""/>
      <w:lvlJc w:val="left"/>
    </w:lvl>
  </w:abstractNum>
  <w:abstractNum w:abstractNumId="5" w15:restartNumberingAfterBreak="0">
    <w:nsid w:val="60306DDD"/>
    <w:multiLevelType w:val="hybridMultilevel"/>
    <w:tmpl w:val="31027238"/>
    <w:lvl w:ilvl="0" w:tplc="371A47CA">
      <w:start w:val="6"/>
      <w:numFmt w:val="decimal"/>
      <w:lvlText w:val="%1."/>
      <w:lvlJc w:val="left"/>
      <w:pPr>
        <w:tabs>
          <w:tab w:val="num" w:pos="900"/>
        </w:tabs>
        <w:ind w:left="540" w:hanging="360"/>
      </w:pPr>
    </w:lvl>
    <w:lvl w:ilvl="1" w:tplc="820C8EE2">
      <w:start w:val="1"/>
      <w:numFmt w:val="bullet"/>
      <w:lvlText w:val="o"/>
      <w:lvlJc w:val="left"/>
      <w:pPr>
        <w:tabs>
          <w:tab w:val="num" w:pos="1440"/>
        </w:tabs>
        <w:ind w:left="1080" w:hanging="360"/>
      </w:pPr>
      <w:rPr>
        <w:rFonts w:ascii="Courier New" w:hAnsi="Courier New" w:cs="Courier New" w:hint="default"/>
      </w:rPr>
    </w:lvl>
    <w:lvl w:ilvl="2" w:tplc="0212E694">
      <w:numFmt w:val="decimal"/>
      <w:lvlText w:val=""/>
      <w:lvlJc w:val="left"/>
    </w:lvl>
    <w:lvl w:ilvl="3" w:tplc="39FE46F2">
      <w:numFmt w:val="decimal"/>
      <w:lvlText w:val=""/>
      <w:lvlJc w:val="left"/>
    </w:lvl>
    <w:lvl w:ilvl="4" w:tplc="0A187428">
      <w:numFmt w:val="decimal"/>
      <w:lvlText w:val=""/>
      <w:lvlJc w:val="left"/>
    </w:lvl>
    <w:lvl w:ilvl="5" w:tplc="AEA45A0C">
      <w:numFmt w:val="decimal"/>
      <w:lvlText w:val=""/>
      <w:lvlJc w:val="left"/>
    </w:lvl>
    <w:lvl w:ilvl="6" w:tplc="12406406">
      <w:numFmt w:val="decimal"/>
      <w:lvlText w:val=""/>
      <w:lvlJc w:val="left"/>
    </w:lvl>
    <w:lvl w:ilvl="7" w:tplc="A0880162">
      <w:numFmt w:val="decimal"/>
      <w:lvlText w:val=""/>
      <w:lvlJc w:val="left"/>
    </w:lvl>
    <w:lvl w:ilvl="8" w:tplc="824ACD9C">
      <w:numFmt w:val="decimal"/>
      <w:lvlText w:val=""/>
      <w:lvlJc w:val="left"/>
    </w:lvl>
  </w:abstractNum>
  <w:abstractNum w:abstractNumId="6" w15:restartNumberingAfterBreak="0">
    <w:nsid w:val="688508AE"/>
    <w:multiLevelType w:val="hybridMultilevel"/>
    <w:tmpl w:val="4080D04E"/>
    <w:lvl w:ilvl="0" w:tplc="E0A82374">
      <w:start w:val="9"/>
      <w:numFmt w:val="decimal"/>
      <w:lvlText w:val="%1."/>
      <w:lvlJc w:val="left"/>
      <w:pPr>
        <w:tabs>
          <w:tab w:val="num" w:pos="900"/>
        </w:tabs>
        <w:ind w:left="540" w:hanging="360"/>
      </w:pPr>
    </w:lvl>
    <w:lvl w:ilvl="1" w:tplc="84145990">
      <w:start w:val="1"/>
      <w:numFmt w:val="bullet"/>
      <w:lvlText w:val="o"/>
      <w:lvlJc w:val="left"/>
      <w:pPr>
        <w:tabs>
          <w:tab w:val="num" w:pos="1440"/>
        </w:tabs>
        <w:ind w:left="1080" w:hanging="360"/>
      </w:pPr>
      <w:rPr>
        <w:rFonts w:ascii="Courier New" w:hAnsi="Courier New" w:cs="Courier New" w:hint="default"/>
      </w:rPr>
    </w:lvl>
    <w:lvl w:ilvl="2" w:tplc="75828978">
      <w:numFmt w:val="decimal"/>
      <w:lvlText w:val=""/>
      <w:lvlJc w:val="left"/>
    </w:lvl>
    <w:lvl w:ilvl="3" w:tplc="64B630F8">
      <w:numFmt w:val="decimal"/>
      <w:lvlText w:val=""/>
      <w:lvlJc w:val="left"/>
    </w:lvl>
    <w:lvl w:ilvl="4" w:tplc="1AA22F30">
      <w:numFmt w:val="decimal"/>
      <w:lvlText w:val=""/>
      <w:lvlJc w:val="left"/>
    </w:lvl>
    <w:lvl w:ilvl="5" w:tplc="AB36A6FA">
      <w:numFmt w:val="decimal"/>
      <w:lvlText w:val=""/>
      <w:lvlJc w:val="left"/>
    </w:lvl>
    <w:lvl w:ilvl="6" w:tplc="3C3E749E">
      <w:numFmt w:val="decimal"/>
      <w:lvlText w:val=""/>
      <w:lvlJc w:val="left"/>
    </w:lvl>
    <w:lvl w:ilvl="7" w:tplc="4DCCEA5C">
      <w:numFmt w:val="decimal"/>
      <w:lvlText w:val=""/>
      <w:lvlJc w:val="left"/>
    </w:lvl>
    <w:lvl w:ilvl="8" w:tplc="5C267132">
      <w:numFmt w:val="decimal"/>
      <w:lvlText w:val=""/>
      <w:lvlJc w:val="left"/>
    </w:lvl>
  </w:abstractNum>
  <w:abstractNum w:abstractNumId="7" w15:restartNumberingAfterBreak="0">
    <w:nsid w:val="70912CEF"/>
    <w:multiLevelType w:val="hybridMultilevel"/>
    <w:tmpl w:val="1EEEE49A"/>
    <w:lvl w:ilvl="0" w:tplc="8F2AAD38">
      <w:start w:val="8"/>
      <w:numFmt w:val="decimal"/>
      <w:lvlText w:val="%1."/>
      <w:lvlJc w:val="left"/>
      <w:pPr>
        <w:tabs>
          <w:tab w:val="num" w:pos="900"/>
        </w:tabs>
        <w:ind w:left="540" w:hanging="360"/>
      </w:pPr>
    </w:lvl>
    <w:lvl w:ilvl="1" w:tplc="B852A61A">
      <w:start w:val="1"/>
      <w:numFmt w:val="bullet"/>
      <w:lvlText w:val="o"/>
      <w:lvlJc w:val="left"/>
      <w:pPr>
        <w:tabs>
          <w:tab w:val="num" w:pos="1440"/>
        </w:tabs>
        <w:ind w:left="1080" w:hanging="360"/>
      </w:pPr>
      <w:rPr>
        <w:rFonts w:ascii="Courier New" w:hAnsi="Courier New" w:cs="Courier New" w:hint="default"/>
      </w:rPr>
    </w:lvl>
    <w:lvl w:ilvl="2" w:tplc="AB0A0A78">
      <w:numFmt w:val="decimal"/>
      <w:lvlText w:val=""/>
      <w:lvlJc w:val="left"/>
    </w:lvl>
    <w:lvl w:ilvl="3" w:tplc="FAD6938C">
      <w:numFmt w:val="decimal"/>
      <w:lvlText w:val=""/>
      <w:lvlJc w:val="left"/>
    </w:lvl>
    <w:lvl w:ilvl="4" w:tplc="0C1266DE">
      <w:numFmt w:val="decimal"/>
      <w:lvlText w:val=""/>
      <w:lvlJc w:val="left"/>
    </w:lvl>
    <w:lvl w:ilvl="5" w:tplc="B6D0D548">
      <w:numFmt w:val="decimal"/>
      <w:lvlText w:val=""/>
      <w:lvlJc w:val="left"/>
    </w:lvl>
    <w:lvl w:ilvl="6" w:tplc="D1E6228A">
      <w:numFmt w:val="decimal"/>
      <w:lvlText w:val=""/>
      <w:lvlJc w:val="left"/>
    </w:lvl>
    <w:lvl w:ilvl="7" w:tplc="4A2CE84A">
      <w:numFmt w:val="decimal"/>
      <w:lvlText w:val=""/>
      <w:lvlJc w:val="left"/>
    </w:lvl>
    <w:lvl w:ilvl="8" w:tplc="1D5A90F0">
      <w:numFmt w:val="decimal"/>
      <w:lvlText w:val=""/>
      <w:lvlJc w:val="left"/>
    </w:lvl>
  </w:abstractNum>
  <w:num w:numId="1" w16cid:durableId="624042652">
    <w:abstractNumId w:val="2"/>
  </w:num>
  <w:num w:numId="2" w16cid:durableId="1719864390">
    <w:abstractNumId w:val="4"/>
  </w:num>
  <w:num w:numId="3" w16cid:durableId="1176731179">
    <w:abstractNumId w:val="5"/>
  </w:num>
  <w:num w:numId="4" w16cid:durableId="235092188">
    <w:abstractNumId w:val="7"/>
  </w:num>
  <w:num w:numId="5" w16cid:durableId="2141416122">
    <w:abstractNumId w:val="6"/>
  </w:num>
  <w:num w:numId="6" w16cid:durableId="1748304492">
    <w:abstractNumId w:val="3"/>
  </w:num>
  <w:num w:numId="7" w16cid:durableId="206644384">
    <w:abstractNumId w:val="1"/>
  </w:num>
  <w:num w:numId="8" w16cid:durableId="1726102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440"/>
    <w:rsid w:val="00891C94"/>
    <w:rsid w:val="008E1EE8"/>
    <w:rsid w:val="00BB7440"/>
    <w:rsid w:val="00BF79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723E4F4"/>
  <w15:docId w15:val="{376EF3C5-8128-41D8-BE6E-D63330011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1112</Words>
  <Characters>7621</Characters>
  <Application>Microsoft Office Word</Application>
  <DocSecurity>0</DocSecurity>
  <Lines>152</Lines>
  <Paragraphs>97</Paragraphs>
  <ScaleCrop>false</ScaleCrop>
  <Company/>
  <LinksUpToDate>false</LinksUpToDate>
  <CharactersWithSpaces>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pierre abadie</cp:lastModifiedBy>
  <cp:revision>2</cp:revision>
  <dcterms:created xsi:type="dcterms:W3CDTF">2026-02-24T20:27:00Z</dcterms:created>
  <dcterms:modified xsi:type="dcterms:W3CDTF">2026-03-14T14:36:00Z</dcterms:modified>
</cp:coreProperties>
</file>