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Operational</w:t>
      </w:r>
      <w:r>
        <w:t xml:space="preserve"> </w:t>
      </w:r>
      <w:r>
        <w:t xml:space="preserve">Debt</w:t>
      </w:r>
      <w:r>
        <w:t xml:space="preserve"> </w:t>
      </w:r>
      <w:r>
        <w:t xml:space="preserve">in</w:t>
      </w:r>
      <w:r>
        <w:t xml:space="preserve"> </w:t>
      </w:r>
      <w:r>
        <w:t xml:space="preserve">Tool-Using</w:t>
      </w:r>
      <w:r>
        <w:t xml:space="preserve"> </w:t>
      </w:r>
      <w:r>
        <w:t xml:space="preserve">AI</w:t>
      </w:r>
      <w:r>
        <w:t xml:space="preserve"> </w:t>
      </w:r>
      <w:r>
        <w:t xml:space="preserve">Agents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trace-based</w:t>
      </w:r>
      <w:r>
        <w:t xml:space="preserve"> </w:t>
      </w:r>
      <w:r>
        <w:t xml:space="preserve">model</w:t>
      </w:r>
      <w:r>
        <w:t xml:space="preserve"> </w:t>
      </w:r>
      <w:r>
        <w:t xml:space="preserve">of</w:t>
      </w:r>
      <w:r>
        <w:t xml:space="preserve"> </w:t>
      </w:r>
      <w:r>
        <w:t xml:space="preserve">corrupt</w:t>
      </w:r>
      <w:r>
        <w:t xml:space="preserve"> </w:t>
      </w:r>
      <w:r>
        <w:t xml:space="preserve">success,</w:t>
      </w:r>
      <w:r>
        <w:t xml:space="preserve"> </w:t>
      </w:r>
      <w:r>
        <w:t xml:space="preserve">systemic</w:t>
      </w:r>
      <w:r>
        <w:t xml:space="preserve"> </w:t>
      </w:r>
      <w:r>
        <w:t xml:space="preserve">harm,</w:t>
      </w:r>
      <w:r>
        <w:t xml:space="preserve"> </w:t>
      </w:r>
      <w:r>
        <w:t xml:space="preserve">and</w:t>
      </w:r>
      <w:r>
        <w:t xml:space="preserve"> </w:t>
      </w:r>
      <w:r>
        <w:t xml:space="preserve">dependency-aware</w:t>
      </w:r>
      <w:r>
        <w:t xml:space="preserve"> </w:t>
      </w:r>
      <w:r>
        <w:t xml:space="preserve">recovery</w:t>
      </w:r>
    </w:p>
    <w:p>
      <w:pPr>
        <w:pStyle w:val="Author"/>
      </w:pPr>
      <w:r>
        <w:t xml:space="preserve">Working</w:t>
      </w:r>
      <w:r>
        <w:t xml:space="preserve"> </w:t>
      </w:r>
      <w:r>
        <w:t xml:space="preserve">paper</w:t>
      </w:r>
      <w:r>
        <w:t xml:space="preserve"> </w:t>
      </w:r>
      <w:r>
        <w:t xml:space="preserve">draft</w:t>
      </w:r>
      <w:r>
        <w:t xml:space="preserve"> </w:t>
      </w:r>
      <w:r>
        <w:t xml:space="preserve">-</w:t>
      </w:r>
      <w:r>
        <w:t xml:space="preserve"> </w:t>
      </w:r>
      <w:r>
        <w:t xml:space="preserve">author</w:t>
      </w:r>
      <w:r>
        <w:t xml:space="preserve"> </w:t>
      </w:r>
      <w:r>
        <w:t xml:space="preserve">block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completed</w:t>
      </w:r>
    </w:p>
    <w:p>
      <w:pPr>
        <w:pStyle w:val="Date"/>
      </w:pPr>
      <w:r>
        <w:t xml:space="preserve">5</w:t>
      </w:r>
      <w:r>
        <w:t xml:space="preserve"> </w:t>
      </w:r>
      <w:r>
        <w:t xml:space="preserve">April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By April 2026 it is no longer defensible to claim that agent safety lacks runtime enforcement,</w:t>
      </w:r>
      <w:r>
        <w:t xml:space="preserve"> </w:t>
      </w:r>
      <w:r>
        <w:t xml:space="preserve">trace observability, or procedure-aware evaluation. Recent work already covers real-time failure</w:t>
      </w:r>
      <w:r>
        <w:t xml:space="preserve"> </w:t>
      </w:r>
      <w:r>
        <w:t xml:space="preserve">detection, specification-based runtime enforcement, behavioral drift, trace contracts, observability,</w:t>
      </w:r>
      <w:r>
        <w:t xml:space="preserve"> </w:t>
      </w:r>
      <w:r>
        <w:t xml:space="preserve">and procedure-aware evaluation. The strongest defensible research path for the V4.2 formalism is</w:t>
      </w:r>
      <w:r>
        <w:t xml:space="preserve"> </w:t>
      </w:r>
      <w:r>
        <w:t xml:space="preserve">therefore narrower and more concrete:</w:t>
      </w:r>
      <w:r>
        <w:t xml:space="preserve"> </w:t>
      </w:r>
      <w:r>
        <w:rPr>
          <w:b/>
          <w:bCs/>
        </w:rPr>
        <w:t xml:space="preserve">a stock-flow model of cumulative operational debt in</w:t>
      </w:r>
      <w:r>
        <w:rPr>
          <w:b/>
          <w:bCs/>
        </w:rPr>
        <w:t xml:space="preserve"> </w:t>
      </w:r>
      <w:r>
        <w:rPr>
          <w:b/>
          <w:bCs/>
        </w:rPr>
        <w:t xml:space="preserve">tool-using AI agents</w:t>
      </w:r>
      <w:r>
        <w:t xml:space="preserve">, with</w:t>
      </w:r>
      <w:r>
        <w:t xml:space="preserve"> </w:t>
      </w:r>
      <w:r>
        <w:rPr>
          <w:b/>
          <w:bCs/>
        </w:rPr>
        <w:t xml:space="preserve">dependency-aware remediation</w:t>
      </w:r>
      <w:r>
        <w:t xml:space="preserve">, targeted first at coding and CloudOps</w:t>
      </w:r>
      <w:r>
        <w:t xml:space="preserve"> </w:t>
      </w:r>
      <w:r>
        <w:t xml:space="preserve">settings.</w:t>
      </w:r>
    </w:p>
    <w:p>
      <w:pPr>
        <w:pStyle w:val="BodyText"/>
      </w:pPr>
      <w:r>
        <w:t xml:space="preserve">This paper introduces</w:t>
      </w:r>
      <w:r>
        <w:t xml:space="preserve"> </w:t>
      </w:r>
      <w:r>
        <w:rPr>
          <w:b/>
          <w:bCs/>
        </w:rPr>
        <w:t xml:space="preserve">OIDA</w:t>
      </w:r>
      <w:r>
        <w:t xml:space="preserve"> </w:t>
      </w:r>
      <w:r>
        <w:t xml:space="preserve">(Operational Integrity and Debt Analysis), a trace-based</w:t>
      </w:r>
      <w:r>
        <w:t xml:space="preserve"> </w:t>
      </w:r>
      <w:r>
        <w:t xml:space="preserve">adaptation of the V4.2 model. OIDA keeps three elements from the source formalism: a state machine</w:t>
      </w:r>
      <w:r>
        <w:t xml:space="preserve"> </w:t>
      </w:r>
      <w:r>
        <w:t xml:space="preserve">for hypotheses/patterns, a signed stock that can become negative, and a dominance-aware double-loop</w:t>
      </w:r>
      <w:r>
        <w:t xml:space="preserve"> </w:t>
      </w:r>
      <w:r>
        <w:t xml:space="preserve">repair operator. The adaptation replaces human memory with an externally maintained trace ledger,</w:t>
      </w:r>
      <w:r>
        <w:t xml:space="preserve"> </w:t>
      </w:r>
      <w:r>
        <w:t xml:space="preserve">reinterprets task-level frontier compatibility as a function of reversibility and observability,</w:t>
      </w:r>
      <w:r>
        <w:t xml:space="preserve"> </w:t>
      </w:r>
      <w:r>
        <w:t xml:space="preserve">and decomposes each run into visible success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</m:oMath>
      <w:r>
        <w:t xml:space="preserve">, durable value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u</m:t>
            </m:r>
            <m:r>
              <m:t>r</m:t>
            </m:r>
          </m:sub>
        </m:sSub>
      </m:oMath>
      <w:r>
        <w:t xml:space="preserve">, systemic harm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y</m:t>
            </m:r>
            <m:r>
              <m:t>s</m:t>
            </m:r>
          </m:sub>
        </m:sSub>
      </m:oMath>
      <w:r>
        <w:t xml:space="preserve">, and net value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  <m:r>
              <m:t>e</m:t>
            </m:r>
            <m:r>
              <m:t>t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 reference implementation is provided as a testable artifact. In a safe online-migration</w:t>
      </w:r>
      <w:r>
        <w:t xml:space="preserve"> </w:t>
      </w:r>
      <w:r>
        <w:t xml:space="preserve">scenario, mean visible success is 0.92, final debt is 0.00,</w:t>
      </w:r>
      <w:r>
        <w:t xml:space="preserve"> </w:t>
      </w:r>
      <w:r>
        <w:t xml:space="preserve">and total net value is 4.17. In a destructive database-recreation scenario,</w:t>
      </w:r>
      <w:r>
        <w:t xml:space="preserve"> </w:t>
      </w:r>
      <w:r>
        <w:t xml:space="preserve">mean visible success remains 0.92, but final debt rises to</w:t>
      </w:r>
      <w:r>
        <w:t xml:space="preserve"> </w:t>
      </w:r>
      <w:r>
        <w:t xml:space="preserve">3.64, total net value falls to -2.05, and corrupt</w:t>
      </w:r>
      <w:r>
        <w:t xml:space="preserve"> </w:t>
      </w:r>
      <w:r>
        <w:t xml:space="preserve">success reaches 1.00. These examples are synthetic and not yet</w:t>
      </w:r>
      <w:r>
        <w:t xml:space="preserve"> </w:t>
      </w:r>
      <w:r>
        <w:t xml:space="preserve">calibrated, but they demonstrate the central claim:</w:t>
      </w:r>
      <w:r>
        <w:t xml:space="preserve"> </w:t>
      </w:r>
      <w:r>
        <w:rPr>
          <w:b/>
          <w:bCs/>
        </w:rPr>
        <w:t xml:space="preserve">outcome success can remain high while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operational debt and systemic harm accumulate</w:t>
      </w:r>
      <w:r>
        <w:t xml:space="preserve">.</w:t>
      </w:r>
    </w:p>
    <w:bookmarkEnd w:id="20"/>
    <w:bookmarkStart w:id="21" w:name="X2610294ea5ada9884934e5658247a1598631777"/>
    <w:p>
      <w:pPr>
        <w:pStyle w:val="Heading1"/>
      </w:pPr>
      <w:r>
        <w:t xml:space="preserve">Why the broad</w:t>
      </w:r>
      <w:r>
        <w:t xml:space="preserve"> </w:t>
      </w:r>
      <w:r>
        <w:t xml:space="preserve">“</w:t>
      </w:r>
      <w:r>
        <w:t xml:space="preserve">agent safety</w:t>
      </w:r>
      <w:r>
        <w:t xml:space="preserve">”</w:t>
      </w:r>
      <w:r>
        <w:t xml:space="preserve"> </w:t>
      </w:r>
      <w:r>
        <w:t xml:space="preserve">claim is too broad</w:t>
      </w:r>
    </w:p>
    <w:p>
      <w:pPr>
        <w:pStyle w:val="FirstParagraph"/>
      </w:pPr>
      <w:r>
        <w:t xml:space="preserve">The original V4.2 manuscript is theoretically ambitious and unusually clear about three things:</w:t>
      </w:r>
      <w:r>
        <w:t xml:space="preserve"> </w:t>
      </w:r>
      <w:r>
        <w:t xml:space="preserve">(i) visible quality is not the same thing as durable value, (ii) structurally wrong patterns can</w:t>
      </w:r>
      <w:r>
        <w:t xml:space="preserve"> </w:t>
      </w:r>
      <w:r>
        <w:t xml:space="preserve">accumulate as a negative stock, and (iii) local correction is insufficient when a governing</w:t>
      </w:r>
      <w:r>
        <w:t xml:space="preserve"> </w:t>
      </w:r>
      <w:r>
        <w:t xml:space="preserve">assumption is wrong. Those are the right intuitions to preserve.</w:t>
      </w:r>
    </w:p>
    <w:p>
      <w:pPr>
        <w:pStyle w:val="BodyText"/>
      </w:pPr>
      <w:r>
        <w:t xml:space="preserve">However, a direct claim of novelty in</w:t>
      </w:r>
      <w:r>
        <w:t xml:space="preserve"> </w:t>
      </w:r>
      <w:r>
        <w:t xml:space="preserve">“</w:t>
      </w:r>
      <w:r>
        <w:t xml:space="preserve">agent safety</w:t>
      </w:r>
      <w:r>
        <w:t xml:space="preserve">”</w:t>
      </w:r>
      <w:r>
        <w:t xml:space="preserve"> </w:t>
      </w:r>
      <w:r>
        <w:t xml:space="preserve">would now be scientifically weak. Since late</w:t>
      </w:r>
      <w:r>
        <w:t xml:space="preserve"> </w:t>
      </w:r>
      <w:r>
        <w:t xml:space="preserve">2025 and early 2026, the literature has moved quickly. We already have:</w:t>
      </w:r>
    </w:p>
    <w:p>
      <w:pPr>
        <w:pStyle w:val="Compact"/>
        <w:numPr>
          <w:ilvl w:val="0"/>
          <w:numId w:val="1001"/>
        </w:numPr>
      </w:pPr>
      <w:r>
        <w:t xml:space="preserve">real-time failure-detection framing for AI agents;</w:t>
      </w:r>
    </w:p>
    <w:p>
      <w:pPr>
        <w:pStyle w:val="Compact"/>
        <w:numPr>
          <w:ilvl w:val="0"/>
          <w:numId w:val="1001"/>
        </w:numPr>
      </w:pPr>
      <w:r>
        <w:t xml:space="preserve">runtime rule enforcement for LLM agents;</w:t>
      </w:r>
    </w:p>
    <w:p>
      <w:pPr>
        <w:pStyle w:val="Compact"/>
        <w:numPr>
          <w:ilvl w:val="0"/>
          <w:numId w:val="1001"/>
        </w:numPr>
      </w:pPr>
      <w:r>
        <w:t xml:space="preserve">behavioral contracts with drift detection and probabilistic guarantees;</w:t>
      </w:r>
    </w:p>
    <w:p>
      <w:pPr>
        <w:pStyle w:val="Compact"/>
        <w:numPr>
          <w:ilvl w:val="0"/>
          <w:numId w:val="1001"/>
        </w:numPr>
      </w:pPr>
      <w:r>
        <w:t xml:space="preserve">trace-based assurance architectures with contracts, perturbation testing, and governance layers;</w:t>
      </w:r>
    </w:p>
    <w:p>
      <w:pPr>
        <w:pStyle w:val="Compact"/>
        <w:numPr>
          <w:ilvl w:val="0"/>
          <w:numId w:val="1001"/>
        </w:numPr>
      </w:pPr>
      <w:r>
        <w:t xml:space="preserve">structured observability frameworks for agent traces;</w:t>
      </w:r>
    </w:p>
    <w:p>
      <w:pPr>
        <w:pStyle w:val="Compact"/>
        <w:numPr>
          <w:ilvl w:val="0"/>
          <w:numId w:val="1001"/>
        </w:numPr>
      </w:pPr>
      <w:r>
        <w:t xml:space="preserve">procedure-aware evaluation that measures corrupt success rather than task completion alone.</w:t>
      </w:r>
    </w:p>
    <w:p>
      <w:pPr>
        <w:pStyle w:val="FirstParagraph"/>
      </w:pPr>
      <w:r>
        <w:t xml:space="preserve">The contribution of this paper is therefore not</w:t>
      </w:r>
      <w:r>
        <w:t xml:space="preserve"> </w:t>
      </w:r>
      <w:r>
        <w:t xml:space="preserve">“</w:t>
      </w:r>
      <w:r>
        <w:t xml:space="preserve">the first runtime safety framework</w:t>
      </w:r>
      <w:r>
        <w:t xml:space="preserve">”</w:t>
      </w:r>
      <w:r>
        <w:t xml:space="preserve"> </w:t>
      </w:r>
      <w:r>
        <w:t xml:space="preserve">and not</w:t>
      </w:r>
      <w:r>
        <w:t xml:space="preserve"> </w:t>
      </w:r>
      <w:r>
        <w:t xml:space="preserve">“</w:t>
      </w:r>
      <w:r>
        <w:t xml:space="preserve">the first trace-based assurance framework.</w:t>
      </w:r>
      <w:r>
        <w:t xml:space="preserve">”</w:t>
      </w:r>
      <w:r>
        <w:t xml:space="preserve"> </w:t>
      </w:r>
      <w:r>
        <w:t xml:space="preserve">Those claims would be false. The credible claim is</w:t>
      </w:r>
      <w:r>
        <w:t xml:space="preserve"> </w:t>
      </w:r>
      <w:r>
        <w:t xml:space="preserve">narrower:</w:t>
      </w:r>
    </w:p>
    <w:p>
      <w:pPr>
        <w:pStyle w:val="BlockText"/>
      </w:pPr>
      <w:r>
        <w:rPr>
          <w:b/>
          <w:bCs/>
        </w:rPr>
        <w:t xml:space="preserve">OIDA is a formal, trace-based stock-flow model for cumulative operational debt and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dependency-aware recovery in tool-using AI agents.</w:t>
      </w:r>
    </w:p>
    <w:p>
      <w:pPr>
        <w:pStyle w:val="FirstParagraph"/>
      </w:pPr>
      <w:r>
        <w:t xml:space="preserve">That claim is both more modest and, in my view, more publishable.</w:t>
      </w:r>
    </w:p>
    <w:bookmarkEnd w:id="21"/>
    <w:bookmarkStart w:id="22" w:name="X0de21bd7aeb67f9a3a0e634e84a8ef90176fa99"/>
    <w:p>
      <w:pPr>
        <w:pStyle w:val="Heading1"/>
      </w:pPr>
      <w:r>
        <w:t xml:space="preserve">Best domain choice: coding and CloudOps agents</w:t>
      </w:r>
    </w:p>
    <w:p>
      <w:pPr>
        <w:pStyle w:val="FirstParagraph"/>
      </w:pPr>
      <w:r>
        <w:t xml:space="preserve">The strongest publication path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generic alignment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generic MLOps. It is</w:t>
      </w:r>
      <w:r>
        <w:t xml:space="preserve"> </w:t>
      </w:r>
      <w:r>
        <w:rPr>
          <w:b/>
          <w:bCs/>
        </w:rPr>
        <w:t xml:space="preserve">software-engineering runtime assurance for tool-using coding and CloudOps agents</w:t>
      </w:r>
      <w:r>
        <w:t xml:space="preserve">.</w:t>
      </w:r>
    </w:p>
    <w:p>
      <w:pPr>
        <w:pStyle w:val="BodyText"/>
      </w:pPr>
      <w:r>
        <w:t xml:space="preserve">This domain is the right first target for five reasons.</w:t>
      </w:r>
    </w:p>
    <w:p>
      <w:pPr>
        <w:pStyle w:val="BodyText"/>
      </w:pPr>
      <w:r>
        <w:t xml:space="preserve">First, irreversible actions are explicit: deleting a database, rewriting infrastructure, rotating</w:t>
      </w:r>
      <w:r>
        <w:t xml:space="preserve"> </w:t>
      </w:r>
      <w:r>
        <w:t xml:space="preserve">keys, suppressing alerts, or reducing replicas below resilience thresholds.</w:t>
      </w:r>
    </w:p>
    <w:p>
      <w:pPr>
        <w:pStyle w:val="BodyText"/>
      </w:pPr>
      <w:r>
        <w:t xml:space="preserve">Second, the action boundary is observable. Tool calls, CLI commands, API calls, and file-system</w:t>
      </w:r>
      <w:r>
        <w:t xml:space="preserve"> </w:t>
      </w:r>
      <w:r>
        <w:t xml:space="preserve">mutations naturally produce traces.</w:t>
      </w:r>
    </w:p>
    <w:p>
      <w:pPr>
        <w:pStyle w:val="BodyText"/>
      </w:pPr>
      <w:r>
        <w:t xml:space="preserve">Third, the failure mode of interest is concrete and already legible to practitioners:</w:t>
      </w:r>
      <w:r>
        <w:t xml:space="preserve"> </w:t>
      </w:r>
      <w:r>
        <w:t xml:space="preserve">high local success with downstream harm.</w:t>
      </w:r>
    </w:p>
    <w:p>
      <w:pPr>
        <w:pStyle w:val="BodyText"/>
      </w:pPr>
      <w:r>
        <w:t xml:space="preserve">Fourth, this domain already has early assessment work beyond task completion, especially in</w:t>
      </w:r>
      <w:r>
        <w:t xml:space="preserve"> </w:t>
      </w:r>
      <w:r>
        <w:t xml:space="preserve">Autonomous CloudOps, so the paper can plug into an existing empirical conversation.</w:t>
      </w:r>
    </w:p>
    <w:p>
      <w:pPr>
        <w:pStyle w:val="BodyText"/>
      </w:pPr>
      <w:r>
        <w:t xml:space="preserve">Fifth, public incidents have created a clear motivating case. Public reporting described a 2025</w:t>
      </w:r>
      <w:r>
        <w:t xml:space="preserve"> </w:t>
      </w:r>
      <w:r>
        <w:t xml:space="preserve">Replit incident in which an AI coding agent reportedly deleted production data during a freeze, and</w:t>
      </w:r>
      <w:r>
        <w:t xml:space="preserve"> </w:t>
      </w:r>
      <w:r>
        <w:t xml:space="preserve">Reuters reported that an AWS internal incident review described Kiro as deciding to</w:t>
      </w:r>
      <w:r>
        <w:t xml:space="preserve"> </w:t>
      </w:r>
      <w:r>
        <w:t xml:space="preserve">“</w:t>
      </w:r>
      <w:r>
        <w:t xml:space="preserve">delete and</w:t>
      </w:r>
      <w:r>
        <w:t xml:space="preserve"> </w:t>
      </w:r>
      <w:r>
        <w:t xml:space="preserve">recreate the environment,</w:t>
      </w:r>
      <w:r>
        <w:t xml:space="preserve">”</w:t>
      </w:r>
      <w:r>
        <w:t xml:space="preserve"> </w:t>
      </w:r>
      <w:r>
        <w:t xml:space="preserve">while Amazon disputed the interpretation and said the event was a user</w:t>
      </w:r>
      <w:r>
        <w:t xml:space="preserve"> </w:t>
      </w:r>
      <w:r>
        <w:t xml:space="preserve">error of limited scope. Even taken cautiously, these reports show that the risk pattern is not</w:t>
      </w:r>
      <w:r>
        <w:t xml:space="preserve"> </w:t>
      </w:r>
      <w:r>
        <w:t xml:space="preserve">hypothetical.</w:t>
      </w:r>
    </w:p>
    <w:bookmarkEnd w:id="22"/>
    <w:bookmarkStart w:id="31" w:name="X15eae7077eb5ddcd83c71c1b046579bd5f50d27"/>
    <w:p>
      <w:pPr>
        <w:pStyle w:val="Heading1"/>
      </w:pPr>
      <w:r>
        <w:t xml:space="preserve">What survives from V4.2 and what must change</w:t>
      </w:r>
    </w:p>
    <w:p>
      <w:pPr>
        <w:pStyle w:val="FirstParagraph"/>
      </w:pPr>
      <w:r>
        <w:t xml:space="preserve">The source V4.2 formalism was designed for humans learning over time. That is not directly isomorphic</w:t>
      </w:r>
      <w:r>
        <w:t xml:space="preserve"> </w:t>
      </w:r>
      <w:r>
        <w:t xml:space="preserve">to present-day LLM agents, so the adaptation must be explicit.</w:t>
      </w:r>
    </w:p>
    <w:bookmarkStart w:id="26" w:name="what-survives"/>
    <w:p>
      <w:pPr>
        <w:pStyle w:val="Heading2"/>
      </w:pPr>
      <w:r>
        <w:t xml:space="preserve">What survives</w:t>
      </w:r>
    </w:p>
    <w:p>
      <w:pPr>
        <w:pStyle w:val="FirstParagraph"/>
      </w:pPr>
      <w:r>
        <w:t xml:space="preserve">Three V4.2 ideas survive almost intact.</w:t>
      </w:r>
    </w:p>
    <w:bookmarkStart w:id="23" w:name="triple-output-decomposition"/>
    <w:p>
      <w:pPr>
        <w:pStyle w:val="Heading3"/>
      </w:pPr>
      <w:r>
        <w:t xml:space="preserve">Triple output decomposition</w:t>
      </w:r>
    </w:p>
    <w:p>
      <w:pPr>
        <w:pStyle w:val="FirstParagraph"/>
      </w:pPr>
      <w:r>
        <w:t xml:space="preserve">The distinction between:</w:t>
      </w:r>
    </w:p>
    <w:p>
      <w:pPr>
        <w:pStyle w:val="Compact"/>
        <w:numPr>
          <w:ilvl w:val="0"/>
          <w:numId w:val="1002"/>
        </w:numPr>
      </w:pPr>
      <w:r>
        <w:t xml:space="preserve">visible short-term quality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durable value,</w:t>
      </w:r>
    </w:p>
    <w:p>
      <w:pPr>
        <w:pStyle w:val="Compact"/>
        <w:numPr>
          <w:ilvl w:val="0"/>
          <w:numId w:val="1002"/>
        </w:numPr>
      </w:pPr>
      <w:r>
        <w:t xml:space="preserve">systemic harm,</w:t>
      </w:r>
    </w:p>
    <w:p>
      <w:pPr>
        <w:pStyle w:val="FirstParagraph"/>
      </w:pPr>
      <w:r>
        <w:t xml:space="preserve">is central. Recent procedure-aware evaluation confirms that outcome-only evaluation can badly</w:t>
      </w:r>
      <w:r>
        <w:t xml:space="preserve"> </w:t>
      </w:r>
      <w:r>
        <w:t xml:space="preserve">overestimate reliability.</w:t>
      </w:r>
    </w:p>
    <w:bookmarkEnd w:id="23"/>
    <w:bookmarkStart w:id="24" w:name="signed-stock-and-debt"/>
    <w:p>
      <w:pPr>
        <w:pStyle w:val="Heading3"/>
      </w:pPr>
      <w:r>
        <w:t xml:space="preserve">Signed stock and debt</w:t>
      </w:r>
    </w:p>
    <w:p>
      <w:pPr>
        <w:pStyle w:val="FirstParagraph"/>
      </w:pPr>
      <w:r>
        <w:t xml:space="preserve">The idea that a system can accumulate a</w:t>
      </w:r>
      <w:r>
        <w:t xml:space="preserve"> </w:t>
      </w:r>
      <w:r>
        <w:rPr>
          <w:i/>
          <w:iCs/>
        </w:rPr>
        <w:t xml:space="preserve">negative net stock</w:t>
      </w:r>
      <w:r>
        <w:t xml:space="preserve"> </w:t>
      </w:r>
      <w:r>
        <w:t xml:space="preserve">is exactly what current agent</w:t>
      </w:r>
      <w:r>
        <w:t xml:space="preserve"> </w:t>
      </w:r>
      <w:r>
        <w:t xml:space="preserve">instrumentation mostly lacks. Observability stacks usually show traces, costs, latency, and local</w:t>
      </w:r>
      <w:r>
        <w:t xml:space="preserve"> </w:t>
      </w:r>
      <w:r>
        <w:t xml:space="preserve">errors. They do not usually maintain a cumulative ledger of reused but insufficiently grounded</w:t>
      </w:r>
      <w:r>
        <w:t xml:space="preserve"> </w:t>
      </w:r>
      <w:r>
        <w:t xml:space="preserve">patterns.</w:t>
      </w:r>
    </w:p>
    <w:bookmarkEnd w:id="24"/>
    <w:bookmarkStart w:id="25" w:name="double-loop-correction-via-dominance"/>
    <w:p>
      <w:pPr>
        <w:pStyle w:val="Heading3"/>
      </w:pPr>
      <w:r>
        <w:t xml:space="preserve">Double-loop correction via dominance</w:t>
      </w:r>
    </w:p>
    <w:p>
      <w:pPr>
        <w:pStyle w:val="FirstParagraph"/>
      </w:pPr>
      <w:r>
        <w:t xml:space="preserve">This is, in my view, the sharpest formal bridge. If a governing pattern is invalidated, repair</w:t>
      </w:r>
      <w:r>
        <w:t xml:space="preserve"> </w:t>
      </w:r>
      <w:r>
        <w:t xml:space="preserve">should propagate to dominated descendants, not just patch the local step.</w:t>
      </w:r>
    </w:p>
    <w:bookmarkEnd w:id="25"/>
    <w:bookmarkEnd w:id="26"/>
    <w:bookmarkStart w:id="30" w:name="what-must-change"/>
    <w:p>
      <w:pPr>
        <w:pStyle w:val="Heading2"/>
      </w:pPr>
      <w:r>
        <w:t xml:space="preserve">What must change</w:t>
      </w:r>
    </w:p>
    <w:p>
      <w:pPr>
        <w:pStyle w:val="FirstParagraph"/>
      </w:pPr>
      <w:r>
        <w:t xml:space="preserve">Three V4.2 components require reinterpretation.</w:t>
      </w:r>
    </w:p>
    <w:bookmarkStart w:id="27" w:name="human-memory-becomes-an-external-ledger"/>
    <w:p>
      <w:pPr>
        <w:pStyle w:val="Heading3"/>
      </w:pPr>
      <w:r>
        <w:t xml:space="preserve">Human memory becomes an external ledger</w:t>
      </w:r>
    </w:p>
    <w:p>
      <w:pPr>
        <w:pStyle w:val="FirstParagraph"/>
      </w:pPr>
      <w:r>
        <w:t xml:space="preserve">An agent does not maintain stable beliefs in the human sense. OIDA therefore shifts the state</w:t>
      </w:r>
      <w:r>
        <w:t xml:space="preserve"> </w:t>
      </w:r>
      <w:r>
        <w:t xml:space="preserve">machine out of the model and into an external runtime ledger maintained over traces.</w:t>
      </w:r>
    </w:p>
    <w:bookmarkEnd w:id="27"/>
    <w:bookmarkStart w:id="28" w:name="X8d293842cecd70b81c1ad2aaf54116092dc0f26"/>
    <w:p>
      <w:pPr>
        <w:pStyle w:val="Heading3"/>
      </w:pPr>
      <w:r>
        <w:t xml:space="preserve">The domain lattice becomes optional in version 1</w:t>
      </w:r>
    </w:p>
    <w:p>
      <w:pPr>
        <w:pStyle w:val="FirstParagraph"/>
      </w:pPr>
      <w:r>
        <w:t xml:space="preserve">The conceptual lattice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remains useful as a future ontology layer for task taxonomies and</w:t>
      </w:r>
      <w:r>
        <w:t xml:space="preserve"> </w:t>
      </w:r>
      <w:r>
        <w:t xml:space="preserve">similarity, but it is not required for the first operational artifact. That is an intentional</w:t>
      </w:r>
      <w:r>
        <w:t xml:space="preserve"> </w:t>
      </w:r>
      <w:r>
        <w:t xml:space="preserve">simplification.</w:t>
      </w:r>
    </w:p>
    <w:bookmarkEnd w:id="28"/>
    <w:bookmarkStart w:id="29" w:name="Xde1181fd90292203354ec56b137165ca303df6a"/>
    <w:p>
      <w:pPr>
        <w:pStyle w:val="Heading3"/>
      </w:pPr>
      <w:r>
        <w:t xml:space="preserve">Task frontier compatibility becomes execution compatibility</w:t>
      </w:r>
    </w:p>
    <w:p>
      <w:pPr>
        <w:pStyle w:val="FirstParagraph"/>
      </w:pPr>
      <w:r>
        <w:t xml:space="preserve">For agents, the right first operational interpretation of the jagged frontier is not broad</w:t>
      </w:r>
      <w:r>
        <w:t xml:space="preserve"> </w:t>
      </w:r>
      <w:r>
        <w:t xml:space="preserve">economic substitutability. It is</w:t>
      </w:r>
      <w:r>
        <w:t xml:space="preserve"> </w:t>
      </w:r>
      <w:r>
        <w:rPr>
          <w:b/>
          <w:bCs/>
        </w:rPr>
        <w:t xml:space="preserve">whether autonomous execution is safe to trust for that task</w:t>
      </w:r>
      <w:r>
        <w:t xml:space="preserve">.</w:t>
      </w:r>
      <w:r>
        <w:t xml:space="preserve"> </w:t>
      </w:r>
      <w:r>
        <w:t xml:space="preserve">In the artifact, I instantiate this with reversibility and observability.</w:t>
      </w:r>
    </w:p>
    <w:bookmarkEnd w:id="29"/>
    <w:bookmarkEnd w:id="30"/>
    <w:bookmarkEnd w:id="31"/>
    <w:bookmarkStart w:id="40" w:name="the-oida-model"/>
    <w:p>
      <w:pPr>
        <w:pStyle w:val="Heading1"/>
      </w:pPr>
      <w:r>
        <w:t xml:space="preserve">The OIDA model</w:t>
      </w:r>
    </w:p>
    <w:bookmarkStart w:id="32" w:name="unit-of-analysis"/>
    <w:p>
      <w:pPr>
        <w:pStyle w:val="Heading2"/>
      </w:pPr>
      <w:r>
        <w:t xml:space="preserve">Unit of analysis</w:t>
      </w:r>
    </w:p>
    <w:p>
      <w:pPr>
        <w:pStyle w:val="FirstParagraph"/>
      </w:pPr>
      <w:r>
        <w:t xml:space="preserve">Let an execution episode be: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τ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task type,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trace-derived action pattern identifier,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set of critical preconditions,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locally visible evidence (completion, tests, acceptance),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dependency set connecting the episode to earlier episodes.</w:t>
      </w:r>
    </w:p>
    <w:p>
      <w:pPr>
        <w:pStyle w:val="FirstParagraph"/>
      </w:pPr>
      <w:r>
        <w:t xml:space="preserve">The research artifact assumes that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supplied in the trace. In a later version it should be</w:t>
      </w:r>
      <w:r>
        <w:t xml:space="preserve"> </w:t>
      </w:r>
      <w:r>
        <w:t xml:space="preserve">inferred by clustering or rule extraction.</w:t>
      </w:r>
    </w:p>
    <w:bookmarkEnd w:id="32"/>
    <w:bookmarkStart w:id="33" w:name="grounding"/>
    <w:p>
      <w:pPr>
        <w:pStyle w:val="Heading2"/>
      </w:pPr>
      <w:r>
        <w:t xml:space="preserve">Grounding</w:t>
      </w:r>
    </w:p>
    <w:p>
      <w:pPr>
        <w:pStyle w:val="FirstParagraph"/>
      </w:pPr>
      <w:r>
        <w:t xml:space="preserve">Grounding is the weighted fraction of critical preconditions verified from the live environment: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"/>
                </m:rP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verified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This is the operational replacement for human anchoring. It is intentionally strict:</w:t>
      </w:r>
      <w:r>
        <w:t xml:space="preserve"> </w:t>
      </w:r>
      <w:r>
        <w:t xml:space="preserve">if critical preconditions are not checked, grounding stays low even when the action</w:t>
      </w:r>
      <w:r>
        <w:t xml:space="preserve"> </w:t>
      </w:r>
      <w:r>
        <w:t xml:space="preserve">“</w:t>
      </w:r>
      <w:r>
        <w:t xml:space="preserve">works.</w:t>
      </w:r>
      <w:r>
        <w:t xml:space="preserve">”</w:t>
      </w:r>
    </w:p>
    <w:bookmarkEnd w:id="33"/>
    <w:bookmarkStart w:id="34" w:name="autonomous-execution-compatibility"/>
    <w:p>
      <w:pPr>
        <w:pStyle w:val="Heading2"/>
      </w:pPr>
      <w:r>
        <w:t xml:space="preserve">Autonomous execution compatibility</w:t>
      </w:r>
    </w:p>
    <w:p>
      <w:pPr>
        <w:pStyle w:val="FirstParagraph"/>
      </w:pPr>
      <w:r>
        <w:t xml:space="preserve">For the reference implementation: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reversibility and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observability of hidden damage.</w:t>
      </w:r>
    </w:p>
    <w:p>
      <w:pPr>
        <w:pStyle w:val="BodyText"/>
      </w:pPr>
      <w:r>
        <w:t xml:space="preserve">This definition is not the only possible one, but it has the right qualitative property:</w:t>
      </w:r>
      <w:r>
        <w:t xml:space="preserve"> </w:t>
      </w:r>
      <w:r>
        <w:t xml:space="preserve">if either reversibility or observability is near zero, autonomous compatibility should also be low.</w:t>
      </w:r>
    </w:p>
    <w:bookmarkEnd w:id="34"/>
    <w:bookmarkStart w:id="35" w:name="visible-success"/>
    <w:p>
      <w:pPr>
        <w:pStyle w:val="Heading2"/>
      </w:pPr>
      <w:r>
        <w:t xml:space="preserve">Visible success</w:t>
      </w:r>
    </w:p>
    <w:p>
      <w:pPr>
        <w:pStyle w:val="FirstParagraph"/>
      </w:pPr>
      <w:r>
        <w:t xml:space="preserve">OIDA measures visible success as a weighted average of task completion, local tests, and operator</w:t>
      </w:r>
      <w:r>
        <w:t xml:space="preserve"> </w:t>
      </w:r>
      <w:r>
        <w:t xml:space="preserve">acceptance: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o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a</m:t>
              </m:r>
            </m:sub>
          </m:sSub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In the artifact,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t>0.4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t xml:space="preserve">.</w:t>
      </w:r>
    </w:p>
    <w:bookmarkEnd w:id="35"/>
    <w:bookmarkStart w:id="36" w:name="pattern-state-machine"/>
    <w:p>
      <w:pPr>
        <w:pStyle w:val="Heading2"/>
      </w:pPr>
      <w:r>
        <w:t xml:space="preserve">Pattern state machine</w:t>
      </w:r>
    </w:p>
    <w:p>
      <w:pPr>
        <w:pStyle w:val="FirstParagraph"/>
      </w:pPr>
      <w:r>
        <w:t xml:space="preserve">Each pattern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assigned a state: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H</m:t>
          </m:r>
          <m:r>
            <m:rPr>
              <m:sty m:val="p"/>
            </m:rPr>
            <m:t>,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with the same intended meaning as V4.2:</w:t>
      </w:r>
    </w:p>
    <w:p>
      <w:pPr>
        <w:pStyle w:val="Compact"/>
        <w:numPr>
          <w:ilvl w:val="0"/>
          <w:numId w:val="1004"/>
        </w:numPr>
      </w:pPr>
      <m:oMath>
        <m:r>
          <m:t>H</m:t>
        </m:r>
      </m:oMath>
      <w:r>
        <w:t xml:space="preserve">: active but not yet validated,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 confirmed,</w:t>
      </w:r>
    </w:p>
    <w:p>
      <w:pPr>
        <w:pStyle w:val="Compact"/>
        <w:numPr>
          <w:ilvl w:val="0"/>
          <w:numId w:val="1004"/>
        </w:numPr>
      </w:pPr>
      <m:oMath>
        <m:r>
          <m:t>E</m:t>
        </m:r>
      </m:oMath>
      <w:r>
        <w:t xml:space="preserve">: eliminated,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</m:oMath>
      <w:r>
        <w:t xml:space="preserve">: biased pseudo-knowledge.</w:t>
      </w:r>
    </w:p>
    <w:p>
      <w:pPr>
        <w:pStyle w:val="FirstParagraph"/>
      </w:pPr>
      <w:r>
        <w:t xml:space="preserve">The crucial difference is that the state is not</w:t>
      </w:r>
      <w:r>
        <w:t xml:space="preserve"> </w:t>
      </w:r>
      <w:r>
        <w:t xml:space="preserve">“</w:t>
      </w:r>
      <w:r>
        <w:t xml:space="preserve">inside</w:t>
      </w:r>
      <w:r>
        <w:t xml:space="preserve">”</w:t>
      </w:r>
      <w:r>
        <w:t xml:space="preserve"> </w:t>
      </w:r>
      <w:r>
        <w:t xml:space="preserve">the agent. It is maintained by the runtime</w:t>
      </w:r>
      <w:r>
        <w:t xml:space="preserve"> </w:t>
      </w:r>
      <w:r>
        <w:t xml:space="preserve">ledger over trace history.</w:t>
      </w:r>
    </w:p>
    <w:bookmarkEnd w:id="36"/>
    <w:bookmarkStart w:id="37" w:name="bias-transition-risk"/>
    <w:p>
      <w:pPr>
        <w:pStyle w:val="Heading2"/>
      </w:pPr>
      <w:r>
        <w:t xml:space="preserve">Bias-transition risk</w:t>
      </w:r>
    </w:p>
    <w:p>
      <w:pPr>
        <w:pStyle w:val="FirstParagraph"/>
      </w:pPr>
      <w:r>
        <w:t xml:space="preserve">The risk that an action pattern transitions from hypothesis to biased pseudo-knowledge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c</m:t>
          </m:r>
          <m:r>
            <m:t>a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reuse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  <m:r>
          <m:t>a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agent’s capability on the step,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autonomous execution compatibility,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grounding,</w:t>
      </w:r>
    </w:p>
    <w:p>
      <w:pPr>
        <w:pStyle w:val="Compact"/>
        <w:numPr>
          <w:ilvl w:val="0"/>
          <w:numId w:val="1005"/>
        </w:numPr>
      </w:pP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a normalized reuse function,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Q</m:t>
            </m:r>
          </m:e>
          <m:sub>
            <m:r>
              <m:t>o</m:t>
            </m:r>
            <m:r>
              <m:t>b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visible success.</w:t>
      </w:r>
    </w:p>
    <w:p>
      <w:pPr>
        <w:pStyle w:val="FirstParagraph"/>
      </w:pPr>
      <w:r>
        <w:t xml:space="preserve">Interpretation: a pattern becomes dangerous when it is repeatedly reused, looks successful, lacks</w:t>
      </w:r>
      <w:r>
        <w:t xml:space="preserve"> </w:t>
      </w:r>
      <w:r>
        <w:t xml:space="preserve">grounding, and is applied to actions that are hard to reverse or monitor.</w:t>
      </w:r>
    </w:p>
    <w:bookmarkEnd w:id="37"/>
    <w:bookmarkStart w:id="38" w:name="signed-stock-and-operational-debt"/>
    <w:p>
      <w:pPr>
        <w:pStyle w:val="Heading2"/>
      </w:pPr>
      <w:r>
        <w:t xml:space="preserve">Signed stock and operational debt</w:t>
      </w:r>
    </w:p>
    <w:p>
      <w:pPr>
        <w:pStyle w:val="FirstParagraph"/>
      </w:pPr>
      <w:r>
        <w:t xml:space="preserve">OIDA keeps the V4.2 stock-flow logic: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s</m:t>
              </m:r>
              <m:r>
                <m:t>t</m:t>
              </m:r>
              <m:r>
                <m:t>o</m:t>
              </m:r>
              <m:r>
                <m:t>c</m:t>
              </m:r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: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  <m:sup>
              <m:r>
                <m:t>​</m:t>
              </m:r>
            </m:sup>
            <m:e>
              <m:r>
                <m:t>1</m:t>
              </m:r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: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</m:sub>
            <m:sup>
              <m:r>
                <m:t>​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: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</m:sub>
            <m:sup>
              <m:r>
                <m:t>​</m:t>
              </m:r>
            </m:sup>
            <m:e>
              <m:r>
                <m:t>d</m:t>
              </m:r>
            </m:e>
          </m:nary>
          <m:r>
            <m:t>a</m:t>
          </m:r>
          <m:r>
            <m:t>m</m:t>
          </m:r>
          <m:r>
            <m:t>a</m:t>
          </m:r>
          <m:r>
            <m:t>g</m:t>
          </m:r>
          <m:sSub>
            <m:e>
              <m:r>
                <m:t>e</m:t>
              </m:r>
            </m:e>
            <m:sub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s</m:t>
              </m:r>
              <m:r>
                <m:t>t</m:t>
              </m:r>
              <m:r>
                <m:t>o</m:t>
              </m:r>
              <m:r>
                <m:t>c</m:t>
              </m:r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e</m:t>
          </m:r>
          <m:r>
            <m:t>b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The point is not that a system literally has negative experience. The point is that repeated reuse</w:t>
      </w:r>
      <w:r>
        <w:t xml:space="preserve"> </w:t>
      </w:r>
      <w:r>
        <w:t xml:space="preserve">of insufficiently grounded patterns can create a net liability that is invisible in local success</w:t>
      </w:r>
      <w:r>
        <w:t xml:space="preserve"> </w:t>
      </w:r>
      <w:r>
        <w:t xml:space="preserve">metrics.</w:t>
      </w:r>
    </w:p>
    <w:bookmarkEnd w:id="38"/>
    <w:bookmarkStart w:id="39" w:name="X9d7d1e0bbd1da1e9e400da116e59e6d9832af50"/>
    <w:p>
      <w:pPr>
        <w:pStyle w:val="Heading2"/>
      </w:pPr>
      <w:r>
        <w:t xml:space="preserve">Durable value, systemic harm, and net value</w:t>
      </w:r>
    </w:p>
    <w:p>
      <w:pPr>
        <w:pStyle w:val="FirstParagraph"/>
      </w:pPr>
      <w:r>
        <w:t xml:space="preserve">The agent-domain analogue of durable value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u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t>e</m:t>
          </m:r>
          <m:r>
            <m:t>n</m:t>
          </m:r>
          <m:r>
            <m:t>e</m:t>
          </m:r>
          <m:r>
            <m:t>f</m:t>
          </m:r>
          <m:r>
            <m:t>i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t>c</m:t>
              </m:r>
              <m:r>
                <m:t>a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  <m:r>
                        <m:t>e</m:t>
                      </m:r>
                      <m:r>
                        <m:t>b</m:t>
                      </m:r>
                      <m:r>
                        <m:t>t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with a debt-normalization term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D</m:t>
                </m:r>
                <m:r>
                  <m:t>e</m:t>
                </m:r>
                <m:r>
                  <m:t>b</m:t>
                </m:r>
                <m:r>
                  <m:t>t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D</m:t>
            </m:r>
            <m:r>
              <m:t>e</m:t>
            </m:r>
            <m:r>
              <m:t>b</m:t>
            </m:r>
            <m:sSub>
              <m:e>
                <m:r>
                  <m:t>t</m:t>
                </m:r>
              </m:e>
              <m:sub>
                <m:r>
                  <m:t>o</m:t>
                </m:r>
                <m:r>
                  <m:t>p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t xml:space="preserve">.</w:t>
      </w:r>
    </w:p>
    <w:p>
      <w:pPr>
        <w:pStyle w:val="BodyText"/>
      </w:pPr>
      <w:r>
        <w:t xml:space="preserve">Systemic harm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s</m:t>
              </m:r>
              <m:r>
                <m:t>y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t>c</m:t>
          </m:r>
          <m:r>
            <m:t>a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blast radius of the action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l</m:t>
                    </m:r>
                    <m:r>
                      <m:t>o</m:t>
                    </m:r>
                    <m:r>
                      <m:t>a</m:t>
                    </m:r>
                    <m:r>
                      <m:t>d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H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</m:sub>
                    </m:sSub>
                  </m:e>
                </m:d>
              </m:e>
            </m:d>
          </m:sup>
        </m:sSup>
      </m:oMath>
      <w:r>
        <w:t xml:space="preserve">.</w:t>
      </w:r>
    </w:p>
    <w:p>
      <w:pPr>
        <w:pStyle w:val="BodyText"/>
      </w:pPr>
      <w:r>
        <w:t xml:space="preserve">Net value is simply: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u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s</m:t>
              </m:r>
              <m:r>
                <m:t>y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This decomposition is the operational core of the paper.</w:t>
      </w:r>
    </w:p>
    <w:bookmarkEnd w:id="39"/>
    <w:bookmarkEnd w:id="40"/>
    <w:bookmarkStart w:id="41" w:name="trace-graphs-and-double-loop-remediation"/>
    <w:p>
      <w:pPr>
        <w:pStyle w:val="Heading1"/>
      </w:pPr>
      <w:r>
        <w:t xml:space="preserve">Trace graphs and double-loop remediation</w:t>
      </w:r>
    </w:p>
    <w:p>
      <w:pPr>
        <w:pStyle w:val="FirstParagraph"/>
      </w:pPr>
      <w:r>
        <w:t xml:space="preserve">Let the constitutive dependency graph be: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and the supportive graph be: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with the full influence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∪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If event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invalidated, OIDA computes dominance on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with a synthetic root.</w:t>
      </w:r>
      <w:r>
        <w:t xml:space="preserve"> </w:t>
      </w:r>
      <w:r>
        <w:t xml:space="preserve">The repair rule 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reopen</w:t>
      </w:r>
      <w:r>
        <w:t xml:space="preserve"> </w:t>
      </w:r>
      <w:r>
        <w:t xml:space="preserve">every descendant dominated by</w:t>
      </w:r>
      <w:r>
        <w:t xml:space="preserve"> </w:t>
      </w:r>
      <m:oMath>
        <m:r>
          <m:t>i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descendants influenced 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but not dominated by it.</w:t>
      </w:r>
    </w:p>
    <w:p>
      <w:pPr>
        <w:pStyle w:val="FirstParagraph"/>
      </w:pPr>
      <w:r>
        <w:t xml:space="preserve">This is stricter than rollback and milder than</w:t>
      </w:r>
      <w:r>
        <w:t xml:space="preserve"> </w:t>
      </w:r>
      <w:r>
        <w:t xml:space="preserve">“</w:t>
      </w:r>
      <w:r>
        <w:t xml:space="preserve">re-run everything.</w:t>
      </w:r>
      <w:r>
        <w:t xml:space="preserve">”</w:t>
      </w:r>
    </w:p>
    <w:bookmarkEnd w:id="41"/>
    <w:bookmarkStart w:id="42" w:name="relationship-to-recent-literature"/>
    <w:p>
      <w:pPr>
        <w:pStyle w:val="Heading1"/>
      </w:pPr>
      <w:r>
        <w:t xml:space="preserve">Relationship to recent literature</w:t>
      </w:r>
    </w:p>
    <w:p>
      <w:pPr>
        <w:pStyle w:val="FirstParagraph"/>
      </w:pPr>
      <w:r>
        <w:t xml:space="preserve">Table 1 states the contribution honestly.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Runtime guardrails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Drift / behavior monitoring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Trace-centric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Multi-run debt ledger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Net value vs harm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Dominance-based repair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Partnership on AI failure 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Behavioral Contracts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Trace-based Assurance 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AgentTrace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Procedure-Aware Evaluation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*OIDA is complementary to runtime enforcement. It is an accounting and repair-planning layer, not a</w:t>
      </w:r>
      <w:r>
        <w:t xml:space="preserve"> </w:t>
      </w:r>
      <w:r>
        <w:t xml:space="preserve">replacement for policy enforcement, IAM, or action gating.</w:t>
      </w:r>
    </w:p>
    <w:p>
      <w:pPr>
        <w:pStyle w:val="BodyText"/>
      </w:pPr>
      <w:r>
        <w:t xml:space="preserve">The distinctive gap is therefore specific:</w:t>
      </w:r>
    </w:p>
    <w:p>
      <w:pPr>
        <w:pStyle w:val="BlockText"/>
      </w:pPr>
      <w:r>
        <w:t xml:space="preserve">Existing work can monitor, constrain, or evaluate runs.</w:t>
      </w:r>
      <w:r>
        <w:t xml:space="preserve"> </w:t>
      </w:r>
      <w:r>
        <w:t xml:space="preserve">OIDA explains how</w:t>
      </w:r>
      <w:r>
        <w:t xml:space="preserve"> </w:t>
      </w:r>
      <w:r>
        <w:rPr>
          <w:b/>
          <w:bCs/>
        </w:rPr>
        <w:t xml:space="preserve">corrupt success accumulates across runs</w:t>
      </w:r>
      <w:r>
        <w:t xml:space="preserve"> </w:t>
      </w:r>
      <w:r>
        <w:t xml:space="preserve">and how</w:t>
      </w:r>
      <w:r>
        <w:t xml:space="preserve"> </w:t>
      </w:r>
      <w:r>
        <w:rPr>
          <w:b/>
          <w:bCs/>
        </w:rPr>
        <w:t xml:space="preserve">repair should propagate</w:t>
      </w:r>
      <w:r>
        <w:rPr>
          <w:b/>
          <w:bCs/>
        </w:rPr>
        <w:t xml:space="preserve"> </w:t>
      </w:r>
      <w:r>
        <w:rPr>
          <w:b/>
          <w:bCs/>
        </w:rPr>
        <w:t xml:space="preserve">structurally</w:t>
      </w:r>
      <w:r>
        <w:t xml:space="preserve"> </w:t>
      </w:r>
      <w:r>
        <w:t xml:space="preserve">once a governing pattern is shown to be wrong.</w:t>
      </w:r>
    </w:p>
    <w:bookmarkEnd w:id="42"/>
    <w:bookmarkStart w:id="47" w:name="Xd095983ff20c46e0728b3cd373b6d091baf373b"/>
    <w:p>
      <w:pPr>
        <w:pStyle w:val="Heading1"/>
      </w:pPr>
      <w:r>
        <w:t xml:space="preserve">Reference artifact and synthetic demonstration</w:t>
      </w:r>
    </w:p>
    <w:p>
      <w:pPr>
        <w:pStyle w:val="FirstParagraph"/>
      </w:pPr>
      <w:r>
        <w:t xml:space="preserve">The artifact accepts scenario traces in JSON, computes per-event metrics, updates the pattern</w:t>
      </w:r>
      <w:r>
        <w:t xml:space="preserve"> </w:t>
      </w:r>
      <w:r>
        <w:t xml:space="preserve">ledger, and emits a JSON report plus a double-loop repair plan.</w:t>
      </w:r>
    </w:p>
    <w:bookmarkStart w:id="45" w:name="synthetic-scenarios"/>
    <w:p>
      <w:pPr>
        <w:pStyle w:val="Heading2"/>
      </w:pPr>
      <w:r>
        <w:t xml:space="preserve">Synthetic scenarios</w:t>
      </w:r>
    </w:p>
    <w:p>
      <w:pPr>
        <w:pStyle w:val="FirstParagraph"/>
      </w:pPr>
      <w:r>
        <w:t xml:space="preserve">Table 2 summarizes the three included scenarios.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Mean grounding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Corrupt success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online migration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Destructive DB recreate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Repeated low-grounding cost optimization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</w:tr>
    </w:tbl>
    <w:p>
      <w:pPr>
        <w:pStyle w:val="BodyText"/>
      </w:pPr>
      <w:r>
        <w:t xml:space="preserve">Two results matter most.</w:t>
      </w:r>
    </w:p>
    <w:bookmarkStart w:id="43" w:name="X34d536fa0aeaea40d72b4392662fcb38168e5f8"/>
    <w:p>
      <w:pPr>
        <w:pStyle w:val="Heading3"/>
      </w:pPr>
      <w:r>
        <w:t xml:space="preserve">Corrupt success is visible in the synthetic destructive trace</w:t>
      </w:r>
    </w:p>
    <w:p>
      <w:pPr>
        <w:pStyle w:val="FirstParagraph"/>
      </w:pPr>
      <w:r>
        <w:t xml:space="preserve">In the destructive database-recreation scenario, mean visible success remains high</w:t>
      </w:r>
      <w:r>
        <w:t xml:space="preserve"> </w:t>
      </w:r>
      <w:r>
        <w:t xml:space="preserve">(0.920), yet final debt reaches 3.640 and total net value is</w:t>
      </w:r>
      <w:r>
        <w:t xml:space="preserve"> </w:t>
      </w:r>
      <w:r>
        <w:t xml:space="preserve">-2.055. This is the exact pattern that ordinary task-completion metrics miss.</w:t>
      </w:r>
    </w:p>
    <w:bookmarkEnd w:id="43"/>
    <w:bookmarkStart w:id="44" w:name="Xc4a44a83eb9e2b6dc69423319fd9956ef16461f"/>
    <w:p>
      <w:pPr>
        <w:pStyle w:val="Heading3"/>
      </w:pPr>
      <w:r>
        <w:t xml:space="preserve">Debt can emerge from repeated reuse, not only one catastrophic step</w:t>
      </w:r>
    </w:p>
    <w:p>
      <w:pPr>
        <w:pStyle w:val="FirstParagraph"/>
      </w:pPr>
      <w:r>
        <w:t xml:space="preserve">In the repeated low-grounding cost-optimization scenario, the pattern remains locally successful</w:t>
      </w:r>
      <w:r>
        <w:t xml:space="preserve"> </w:t>
      </w:r>
      <w:r>
        <w:t xml:space="preserve">for two episodes before crossing the bias threshold on the third. Final debt is 1.072</w:t>
      </w:r>
      <w:r>
        <w:t xml:space="preserve"> </w:t>
      </w:r>
      <w:r>
        <w:t xml:space="preserve">despite no single spectacular</w:t>
      </w:r>
      <w:r>
        <w:t xml:space="preserve"> </w:t>
      </w:r>
      <w:r>
        <w:t xml:space="preserve">“</w:t>
      </w:r>
      <w:r>
        <w:t xml:space="preserve">catastrophic</w:t>
      </w:r>
      <w:r>
        <w:t xml:space="preserve">”</w:t>
      </w:r>
      <w:r>
        <w:t xml:space="preserve"> </w:t>
      </w:r>
      <w:r>
        <w:t xml:space="preserve">command. This is important because many enterprise</w:t>
      </w:r>
      <w:r>
        <w:t xml:space="preserve"> </w:t>
      </w:r>
      <w:r>
        <w:t xml:space="preserve">failures look like this: slow erosion rather than one dramatic mistake.</w:t>
      </w:r>
    </w:p>
    <w:bookmarkEnd w:id="44"/>
    <w:bookmarkEnd w:id="45"/>
    <w:bookmarkStart w:id="46" w:name="example-repair-plan"/>
    <w:p>
      <w:pPr>
        <w:pStyle w:val="Heading2"/>
      </w:pPr>
      <w:r>
        <w:t xml:space="preserve">Example repair plan</w:t>
      </w:r>
    </w:p>
    <w:p>
      <w:pPr>
        <w:pStyle w:val="FirstParagraph"/>
      </w:pPr>
      <w:r>
        <w:t xml:space="preserve">In the destructive scenario, invalidating root event</w:t>
      </w:r>
      <w:r>
        <w:t xml:space="preserve"> </w:t>
      </w:r>
      <w:r>
        <w:rPr>
          <w:rStyle w:val="VerbatimChar"/>
        </w:rPr>
        <w:t xml:space="preserve">e1</w:t>
      </w:r>
      <w:r>
        <w:t xml:space="preserve"> </w:t>
      </w:r>
      <w:r>
        <w:t xml:space="preserve">yields the following double-loop plan:</w:t>
      </w:r>
    </w:p>
    <w:p>
      <w:pPr>
        <w:pStyle w:val="Compact"/>
        <w:numPr>
          <w:ilvl w:val="0"/>
          <w:numId w:val="1007"/>
        </w:numPr>
      </w:pPr>
      <w:r>
        <w:t xml:space="preserve">reopen: e2, e3</w:t>
      </w:r>
    </w:p>
    <w:p>
      <w:pPr>
        <w:pStyle w:val="Compact"/>
        <w:numPr>
          <w:ilvl w:val="0"/>
          <w:numId w:val="1007"/>
        </w:numPr>
      </w:pPr>
      <w:r>
        <w:t xml:space="preserve">audit: e4</w:t>
      </w:r>
    </w:p>
    <w:p>
      <w:pPr>
        <w:pStyle w:val="FirstParagraph"/>
      </w:pPr>
      <w:r>
        <w:t xml:space="preserve">This is the behavior we want. The delete-and-recreate path and synthetic reseed path must be</w:t>
      </w:r>
      <w:r>
        <w:t xml:space="preserve"> </w:t>
      </w:r>
      <w:r>
        <w:t xml:space="preserve">reopened, while the health-check layer must at least be audited because it may have masked damage.</w:t>
      </w:r>
    </w:p>
    <w:bookmarkEnd w:id="46"/>
    <w:bookmarkEnd w:id="47"/>
    <w:bookmarkStart w:id="51" w:name="falsifiable-hypotheses"/>
    <w:p>
      <w:pPr>
        <w:pStyle w:val="Heading1"/>
      </w:pPr>
      <w:r>
        <w:t xml:space="preserve">Falsifiable hypotheses</w:t>
      </w:r>
    </w:p>
    <w:p>
      <w:pPr>
        <w:pStyle w:val="FirstParagraph"/>
      </w:pPr>
      <w:r>
        <w:t xml:space="preserve">A publishable paper needs falsifiable claims. The following three are the strongest.</w:t>
      </w:r>
    </w:p>
    <w:bookmarkStart w:id="48" w:name="X9667d2e9d4b361fe16a545b070e687e044cf74f"/>
    <w:p>
      <w:pPr>
        <w:pStyle w:val="Heading2"/>
      </w:pPr>
      <w:r>
        <w:t xml:space="preserve">H1. Debt predicts downstream incidents better than visible success alone</w:t>
      </w:r>
    </w:p>
    <w:p>
      <w:pPr>
        <w:pStyle w:val="FirstParagraph"/>
      </w:pPr>
      <w:r>
        <w:t xml:space="preserve">Conditional on similar task types,</w:t>
      </w:r>
      <w:r>
        <w:t xml:space="preserve"> </w:t>
      </w:r>
      <m:oMath>
        <m:r>
          <m:t>D</m:t>
        </m:r>
        <m:r>
          <m:t>e</m:t>
        </m:r>
        <m:r>
          <m:t>b</m:t>
        </m:r>
        <m:sSub>
          <m:e>
            <m:r>
              <m:t>t</m:t>
            </m:r>
          </m:e>
          <m:sub>
            <m:r>
              <m:t>o</m:t>
            </m:r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should predict future harmful interventions,</w:t>
      </w:r>
      <w:r>
        <w:t xml:space="preserve"> </w:t>
      </w:r>
      <w:r>
        <w:t xml:space="preserve">operator escalations, or rollback requirements better than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</m:oMath>
      <w:r>
        <w:t xml:space="preserve"> </w:t>
      </w:r>
      <w:r>
        <w:t xml:space="preserve">alone.</w:t>
      </w:r>
    </w:p>
    <w:bookmarkEnd w:id="48"/>
    <w:bookmarkStart w:id="49" w:name="Xb85e26be640c8cbb3ee4d3cc8608b4a9167bc94"/>
    <w:p>
      <w:pPr>
        <w:pStyle w:val="Heading2"/>
      </w:pPr>
      <w:r>
        <w:t xml:space="preserve">H2. Grounding interventions reduce corrupt success on low-compatibility tasks</w:t>
      </w:r>
    </w:p>
    <w:p>
      <w:pPr>
        <w:pStyle w:val="FirstParagraph"/>
      </w:pPr>
      <w:r>
        <w:t xml:space="preserve">For tasks with low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, adding mandatory precondition verification should reduce corrupt</w:t>
      </w:r>
      <w:r>
        <w:t xml:space="preserve"> </w:t>
      </w:r>
      <w:r>
        <w:t xml:space="preserve">success more than simply using a stronger model.</w:t>
      </w:r>
    </w:p>
    <w:bookmarkEnd w:id="49"/>
    <w:bookmarkStart w:id="50" w:name="X450db7507d28f16e7c60f3107f266cd849793c0"/>
    <w:p>
      <w:pPr>
        <w:pStyle w:val="Heading2"/>
      </w:pPr>
      <w:r>
        <w:t xml:space="preserve">H3. Dominance-aware repair reduces repeat harm more than local rollback</w:t>
      </w:r>
    </w:p>
    <w:p>
      <w:pPr>
        <w:pStyle w:val="FirstParagraph"/>
      </w:pPr>
      <w:r>
        <w:t xml:space="preserve">When a governing pattern is invalidated, dominance-aware reopening should reduce recurrent incident</w:t>
      </w:r>
      <w:r>
        <w:t xml:space="preserve"> </w:t>
      </w:r>
      <w:r>
        <w:t xml:space="preserve">rates more than local rollback that only patches the last step.</w:t>
      </w:r>
    </w:p>
    <w:bookmarkEnd w:id="50"/>
    <w:bookmarkEnd w:id="51"/>
    <w:bookmarkStart w:id="52" w:name="empirical-path-to-a-real-paper"/>
    <w:p>
      <w:pPr>
        <w:pStyle w:val="Heading1"/>
      </w:pPr>
      <w:r>
        <w:t xml:space="preserve">Empirical path to a real paper</w:t>
      </w:r>
    </w:p>
    <w:p>
      <w:pPr>
        <w:pStyle w:val="FirstParagraph"/>
      </w:pPr>
      <w:r>
        <w:t xml:space="preserve">The synthetic artifact is enough for a workshop-grade demonstration or a tools submission, but not</w:t>
      </w:r>
      <w:r>
        <w:t xml:space="preserve"> </w:t>
      </w:r>
      <w:r>
        <w:t xml:space="preserve">for a definitive archival claim. A stronger empirical paper should use a controlled coding/CloudOps</w:t>
      </w:r>
      <w:r>
        <w:t xml:space="preserve"> </w:t>
      </w:r>
      <w:r>
        <w:t xml:space="preserve">benchmark with at least four conditions:</w:t>
      </w:r>
    </w:p>
    <w:p>
      <w:pPr>
        <w:pStyle w:val="Compact"/>
        <w:numPr>
          <w:ilvl w:val="0"/>
          <w:numId w:val="1008"/>
        </w:numPr>
      </w:pPr>
      <w:r>
        <w:t xml:space="preserve">baseline agent;</w:t>
      </w:r>
    </w:p>
    <w:p>
      <w:pPr>
        <w:pStyle w:val="Compact"/>
        <w:numPr>
          <w:ilvl w:val="0"/>
          <w:numId w:val="1008"/>
        </w:numPr>
      </w:pPr>
      <w:r>
        <w:t xml:space="preserve">agent plus local guardrails;</w:t>
      </w:r>
    </w:p>
    <w:p>
      <w:pPr>
        <w:pStyle w:val="Compact"/>
        <w:numPr>
          <w:ilvl w:val="0"/>
          <w:numId w:val="1008"/>
        </w:numPr>
      </w:pPr>
      <w:r>
        <w:t xml:space="preserve">agent plus grounding gate;</w:t>
      </w:r>
    </w:p>
    <w:p>
      <w:pPr>
        <w:pStyle w:val="Compact"/>
        <w:numPr>
          <w:ilvl w:val="0"/>
          <w:numId w:val="1008"/>
        </w:numPr>
      </w:pPr>
      <w:r>
        <w:t xml:space="preserve">agent plus grounding gate and dominance-aware repair.</w:t>
      </w:r>
    </w:p>
    <w:p>
      <w:pPr>
        <w:pStyle w:val="FirstParagraph"/>
      </w:pPr>
      <w:r>
        <w:t xml:space="preserve">Recommended outcome measures:</w:t>
      </w:r>
    </w:p>
    <w:p>
      <w:pPr>
        <w:pStyle w:val="Compact"/>
        <w:numPr>
          <w:ilvl w:val="0"/>
          <w:numId w:val="1009"/>
        </w:numPr>
      </w:pPr>
      <w:r>
        <w:t xml:space="preserve">visible task success;</w:t>
      </w:r>
    </w:p>
    <w:p>
      <w:pPr>
        <w:pStyle w:val="Compact"/>
        <w:numPr>
          <w:ilvl w:val="0"/>
          <w:numId w:val="1009"/>
        </w:numPr>
      </w:pPr>
      <w:r>
        <w:t xml:space="preserve">durable success after delayed checks;</w:t>
      </w:r>
    </w:p>
    <w:p>
      <w:pPr>
        <w:pStyle w:val="Compact"/>
        <w:numPr>
          <w:ilvl w:val="0"/>
          <w:numId w:val="1009"/>
        </w:numPr>
      </w:pPr>
      <w:r>
        <w:t xml:space="preserve">operator escalations;</w:t>
      </w:r>
    </w:p>
    <w:p>
      <w:pPr>
        <w:pStyle w:val="Compact"/>
        <w:numPr>
          <w:ilvl w:val="0"/>
          <w:numId w:val="1009"/>
        </w:numPr>
      </w:pPr>
      <w:r>
        <w:t xml:space="preserve">rollback frequency;</w:t>
      </w:r>
    </w:p>
    <w:p>
      <w:pPr>
        <w:pStyle w:val="Compact"/>
        <w:numPr>
          <w:ilvl w:val="0"/>
          <w:numId w:val="1009"/>
        </w:numPr>
      </w:pPr>
      <w:r>
        <w:t xml:space="preserve">time-to-recovery;</w:t>
      </w:r>
    </w:p>
    <w:p>
      <w:pPr>
        <w:pStyle w:val="Compact"/>
        <w:numPr>
          <w:ilvl w:val="0"/>
          <w:numId w:val="1009"/>
        </w:numPr>
      </w:pPr>
      <w:r>
        <w:t xml:space="preserve">cumulative debt trajectory;</w:t>
      </w:r>
    </w:p>
    <w:p>
      <w:pPr>
        <w:pStyle w:val="Compact"/>
        <w:numPr>
          <w:ilvl w:val="0"/>
          <w:numId w:val="1009"/>
        </w:numPr>
      </w:pPr>
      <w:r>
        <w:t xml:space="preserve">corrupt success rate.</w:t>
      </w:r>
    </w:p>
    <w:bookmarkEnd w:id="52"/>
    <w:bookmarkStart w:id="53" w:name="limits-and-non-claims"/>
    <w:p>
      <w:pPr>
        <w:pStyle w:val="Heading1"/>
      </w:pPr>
      <w:r>
        <w:t xml:space="preserve">Limits and non-claims</w:t>
      </w:r>
    </w:p>
    <w:p>
      <w:pPr>
        <w:pStyle w:val="FirstParagraph"/>
      </w:pPr>
      <w:r>
        <w:t xml:space="preserve">The framework is useful only if its limits are stated clearly.</w:t>
      </w:r>
    </w:p>
    <w:p>
      <w:pPr>
        <w:pStyle w:val="BodyText"/>
      </w:pPr>
      <w:r>
        <w:t xml:space="preserve">First, the current artifact does not infer patterns from raw traces. That remains open engineering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Second, the coefficients are not calibrated. They are structured, interpretable defaults.</w:t>
      </w:r>
    </w:p>
    <w:p>
      <w:pPr>
        <w:pStyle w:val="BodyText"/>
      </w:pPr>
      <w:r>
        <w:t xml:space="preserve">Third, the demonstration scenarios are synthetic. They show internal coherence, not external</w:t>
      </w:r>
      <w:r>
        <w:t xml:space="preserve"> </w:t>
      </w:r>
      <w:r>
        <w:t xml:space="preserve">validity.</w:t>
      </w:r>
    </w:p>
    <w:p>
      <w:pPr>
        <w:pStyle w:val="BodyText"/>
      </w:pPr>
      <w:r>
        <w:t xml:space="preserve">Fourth, OIDA is not a substitute for runtime enforcement, backups, IAM, approval gates, or safety</w:t>
      </w:r>
      <w:r>
        <w:t xml:space="preserve"> </w:t>
      </w:r>
      <w:r>
        <w:t xml:space="preserve">engineering. It is an additional control layer.</w:t>
      </w:r>
    </w:p>
    <w:p>
      <w:pPr>
        <w:pStyle w:val="BodyText"/>
      </w:pPr>
      <w:r>
        <w:t xml:space="preserve">Fifth, this paper does not claim to be the first work on runtime agent safety, trace-based</w:t>
      </w:r>
      <w:r>
        <w:t xml:space="preserve"> </w:t>
      </w:r>
      <w:r>
        <w:t xml:space="preserve">assurance, or behavioral drift detection. It is not.</w:t>
      </w:r>
    </w:p>
    <w:bookmarkEnd w:id="53"/>
    <w:bookmarkStart w:id="5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right path for the V4.2 formalism is a</w:t>
      </w:r>
      <w:r>
        <w:t xml:space="preserve"> </w:t>
      </w:r>
      <w:r>
        <w:rPr>
          <w:b/>
          <w:bCs/>
        </w:rPr>
        <w:t xml:space="preserve">narrow, operational, software-engineering paper</w:t>
      </w:r>
      <w:r>
        <w:t xml:space="preserve">:</w:t>
      </w:r>
      <w:r>
        <w:t xml:space="preserve"> </w:t>
      </w:r>
      <w:r>
        <w:t xml:space="preserve">not generic alignment, not generic MLOps, and not an overclaimed</w:t>
      </w:r>
      <w:r>
        <w:t xml:space="preserve"> </w:t>
      </w:r>
      <w:r>
        <w:t xml:space="preserve">“</w:t>
      </w:r>
      <w:r>
        <w:t xml:space="preserve">first agent safety framework.</w:t>
      </w:r>
      <w:r>
        <w:t xml:space="preserve">”</w:t>
      </w:r>
    </w:p>
    <w:p>
      <w:pPr>
        <w:pStyle w:val="BodyText"/>
      </w:pPr>
      <w:r>
        <w:t xml:space="preserve">The strongest defensible contribution is this:</w:t>
      </w:r>
    </w:p>
    <w:p>
      <w:pPr>
        <w:pStyle w:val="Compact"/>
        <w:numPr>
          <w:ilvl w:val="0"/>
          <w:numId w:val="1010"/>
        </w:numPr>
      </w:pPr>
      <w:r>
        <w:t xml:space="preserve">adapt V4.2’s negative-stock idea into</w:t>
      </w:r>
      <w:r>
        <w:t xml:space="preserve"> </w:t>
      </w:r>
      <w:r>
        <w:rPr>
          <w:b/>
          <w:bCs/>
        </w:rPr>
        <w:t xml:space="preserve">operational debt</w:t>
      </w:r>
      <w:r>
        <w:t xml:space="preserve"> </w:t>
      </w:r>
      <w:r>
        <w:t xml:space="preserve">for tool-using agents;</w:t>
      </w:r>
    </w:p>
    <w:p>
      <w:pPr>
        <w:pStyle w:val="Compact"/>
        <w:numPr>
          <w:ilvl w:val="0"/>
          <w:numId w:val="1010"/>
        </w:numPr>
      </w:pPr>
      <w:r>
        <w:t xml:space="preserve">preserve the distinction between</w:t>
      </w:r>
      <w:r>
        <w:t xml:space="preserve"> </w:t>
      </w:r>
      <w:r>
        <w:rPr>
          <w:b/>
          <w:bCs/>
        </w:rPr>
        <w:t xml:space="preserve">visible success</w:t>
      </w:r>
      <w:r>
        <w:t xml:space="preserve">,</w:t>
      </w:r>
      <w:r>
        <w:t xml:space="preserve"> </w:t>
      </w:r>
      <w:r>
        <w:rPr>
          <w:b/>
          <w:bCs/>
        </w:rPr>
        <w:t xml:space="preserve">durable value</w:t>
      </w:r>
      <w:r>
        <w:t xml:space="preserve">, and</w:t>
      </w:r>
      <w:r>
        <w:t xml:space="preserve"> </w:t>
      </w:r>
      <w:r>
        <w:rPr>
          <w:b/>
          <w:bCs/>
        </w:rPr>
        <w:t xml:space="preserve">systemic harm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trace-derived dependency graph</w:t>
      </w:r>
      <w:r>
        <w:t xml:space="preserve"> </w:t>
      </w:r>
      <w:r>
        <w:t xml:space="preserve">to formalize double-loop remediation;</w:t>
      </w:r>
    </w:p>
    <w:p>
      <w:pPr>
        <w:pStyle w:val="Compact"/>
        <w:numPr>
          <w:ilvl w:val="0"/>
          <w:numId w:val="1010"/>
        </w:numPr>
      </w:pPr>
      <w:r>
        <w:t xml:space="preserve">demonstrate the model first in</w:t>
      </w:r>
      <w:r>
        <w:t xml:space="preserve"> </w:t>
      </w:r>
      <w:r>
        <w:rPr>
          <w:b/>
          <w:bCs/>
        </w:rPr>
        <w:t xml:space="preserve">coding and CloudOps</w:t>
      </w:r>
      <w:r>
        <w:t xml:space="preserve"> </w:t>
      </w:r>
      <w:r>
        <w:t xml:space="preserve">settings where traces, blast radius, and</w:t>
      </w:r>
      <w:r>
        <w:t xml:space="preserve"> </w:t>
      </w:r>
      <w:r>
        <w:t xml:space="preserve">irreversibility are explicit.</w:t>
      </w:r>
    </w:p>
    <w:p>
      <w:pPr>
        <w:pStyle w:val="FirstParagraph"/>
      </w:pPr>
      <w:r>
        <w:t xml:space="preserve">That is specific enough to be honest, new enough to matter, and practical enough to build into a</w:t>
      </w:r>
      <w:r>
        <w:t xml:space="preserve"> </w:t>
      </w:r>
      <w:r>
        <w:t xml:space="preserve">real artifact.</w:t>
      </w:r>
    </w:p>
    <w:bookmarkEnd w:id="54"/>
    <w:bookmarkStart w:id="55" w:name="artifact-availability"/>
    <w:p>
      <w:pPr>
        <w:pStyle w:val="Heading1"/>
      </w:pPr>
      <w:r>
        <w:t xml:space="preserve">Artifact availability</w:t>
      </w:r>
    </w:p>
    <w:p>
      <w:pPr>
        <w:pStyle w:val="FirstParagraph"/>
      </w:pPr>
      <w:r>
        <w:t xml:space="preserve">The accompanying reference implementation includes:</w:t>
      </w:r>
    </w:p>
    <w:p>
      <w:pPr>
        <w:pStyle w:val="Compact"/>
        <w:numPr>
          <w:ilvl w:val="0"/>
          <w:numId w:val="1011"/>
        </w:numPr>
      </w:pPr>
      <w:r>
        <w:t xml:space="preserve">a Python package;</w:t>
      </w:r>
    </w:p>
    <w:p>
      <w:pPr>
        <w:pStyle w:val="Compact"/>
        <w:numPr>
          <w:ilvl w:val="0"/>
          <w:numId w:val="1011"/>
        </w:numPr>
      </w:pPr>
      <w:r>
        <w:t xml:space="preserve">three example scenarios;</w:t>
      </w:r>
    </w:p>
    <w:p>
      <w:pPr>
        <w:pStyle w:val="Compact"/>
        <w:numPr>
          <w:ilvl w:val="0"/>
          <w:numId w:val="1011"/>
        </w:numPr>
      </w:pPr>
      <w:r>
        <w:t xml:space="preserve">JSON reports;</w:t>
      </w:r>
    </w:p>
    <w:p>
      <w:pPr>
        <w:pStyle w:val="Compact"/>
        <w:numPr>
          <w:ilvl w:val="0"/>
          <w:numId w:val="1011"/>
        </w:numPr>
      </w:pPr>
      <w:r>
        <w:t xml:space="preserve">a repair-plan generator;</w:t>
      </w:r>
    </w:p>
    <w:p>
      <w:pPr>
        <w:pStyle w:val="Compact"/>
        <w:numPr>
          <w:ilvl w:val="0"/>
          <w:numId w:val="1011"/>
        </w:numPr>
      </w:pPr>
      <w:r>
        <w:t xml:space="preserve">unit tests runnable with</w:t>
      </w:r>
      <w:r>
        <w:t xml:space="preserve"> </w:t>
      </w:r>
      <w:r>
        <w:rPr>
          <w:rStyle w:val="VerbatimChar"/>
        </w:rPr>
        <w:t xml:space="preserve">python -m unittest discover -s tests -v</w:t>
      </w:r>
      <w:r>
        <w:t xml:space="preserve">.</w:t>
      </w:r>
    </w:p>
    <w:bookmarkEnd w:id="55"/>
    <w:bookmarkStart w:id="56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12"/>
        </w:numPr>
      </w:pPr>
      <w:r>
        <w:t xml:space="preserve">Akshathala, S., Adnan, B., Ramesh, M., Vaidhyanathan, K., Muhammed, B., and Parthasarathy, K. (2025/2026).</w:t>
      </w:r>
      <w:r>
        <w:t xml:space="preserve"> </w:t>
      </w:r>
      <w:r>
        <w:rPr>
          <w:i/>
          <w:iCs/>
        </w:rPr>
        <w:t xml:space="preserve">Beyond Task Completion: An Assessment Framework for Evaluating Agentic AI Systems</w:t>
      </w:r>
      <w:r>
        <w:t xml:space="preserve">. Autonomous CloudOps-oriented assessment framework.</w:t>
      </w:r>
    </w:p>
    <w:p>
      <w:pPr>
        <w:pStyle w:val="Compact"/>
        <w:numPr>
          <w:ilvl w:val="0"/>
          <w:numId w:val="1012"/>
        </w:numPr>
      </w:pPr>
      <w:r>
        <w:t xml:space="preserve">AlSayyad, A., Huang, K. Y., and Pal, R. (2026).</w:t>
      </w:r>
      <w:r>
        <w:t xml:space="preserve"> </w:t>
      </w:r>
      <w:r>
        <w:rPr>
          <w:i/>
          <w:iCs/>
        </w:rPr>
        <w:t xml:space="preserve">AgentTrace: A Structured Logging Framework for Agent System Observability</w:t>
      </w:r>
      <w:r>
        <w:t xml:space="preserve">. arXiv.</w:t>
      </w:r>
    </w:p>
    <w:p>
      <w:pPr>
        <w:pStyle w:val="Compact"/>
        <w:numPr>
          <w:ilvl w:val="0"/>
          <w:numId w:val="1012"/>
        </w:numPr>
      </w:pPr>
      <w:r>
        <w:t xml:space="preserve">Cao, H., Driouich, I., and Thomas, E. (2026).</w:t>
      </w:r>
      <w:r>
        <w:t xml:space="preserve"> </w:t>
      </w:r>
      <w:r>
        <w:rPr>
          <w:i/>
          <w:iCs/>
        </w:rPr>
        <w:t xml:space="preserve">Beyond Task Completion: Revealing Corrupt Success in LLM Agents through Procedure-Aware Evaluation</w:t>
      </w:r>
      <w:r>
        <w:t xml:space="preserve">. arXiv.</w:t>
      </w:r>
    </w:p>
    <w:p>
      <w:pPr>
        <w:pStyle w:val="Compact"/>
        <w:numPr>
          <w:ilvl w:val="0"/>
          <w:numId w:val="1012"/>
        </w:numPr>
      </w:pPr>
      <w:r>
        <w:t xml:space="preserve">Cruz, C. (2026).</w:t>
      </w:r>
      <w:r>
        <w:t xml:space="preserve"> </w:t>
      </w:r>
      <w:r>
        <w:rPr>
          <w:i/>
          <w:iCs/>
        </w:rPr>
        <w:t xml:space="preserve">AI Runtime Infrastructure</w:t>
      </w:r>
      <w:r>
        <w:t xml:space="preserve">. arXiv.</w:t>
      </w:r>
    </w:p>
    <w:p>
      <w:pPr>
        <w:pStyle w:val="Compact"/>
        <w:numPr>
          <w:ilvl w:val="0"/>
          <w:numId w:val="1012"/>
        </w:numPr>
      </w:pPr>
      <w:r>
        <w:t xml:space="preserve">Partnership on AI (2025).</w:t>
      </w:r>
      <w:r>
        <w:t xml:space="preserve"> </w:t>
      </w:r>
      <w:r>
        <w:rPr>
          <w:i/>
          <w:iCs/>
        </w:rPr>
        <w:t xml:space="preserve">Prioritizing Real-Time Failure Detection in AI Agents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Reuters (2025).</w:t>
      </w:r>
      <w:r>
        <w:t xml:space="preserve"> </w:t>
      </w:r>
      <w:r>
        <w:rPr>
          <w:i/>
          <w:iCs/>
        </w:rPr>
        <w:t xml:space="preserve">Amazon pushes in-house AI coding tool Kiro over competitors’, memo shows</w:t>
      </w:r>
      <w:r>
        <w:t xml:space="preserve">. Reporting on the internal incident review and Amazon’s response.</w:t>
      </w:r>
    </w:p>
    <w:p>
      <w:pPr>
        <w:pStyle w:val="Compact"/>
        <w:numPr>
          <w:ilvl w:val="0"/>
          <w:numId w:val="1012"/>
        </w:numPr>
      </w:pPr>
      <w:r>
        <w:t xml:space="preserve">Sculley, D., Holt, G., Golovin, D., Davydov, E., Phillips, T., Ebner, D., Chaudhary, V., Young, M., Crespo, J.-F., and Dennison, D. (2015).</w:t>
      </w:r>
      <w:r>
        <w:t xml:space="preserve"> </w:t>
      </w:r>
      <w:r>
        <w:rPr>
          <w:i/>
          <w:iCs/>
        </w:rPr>
        <w:t xml:space="preserve">Hidden Technical Debt in Machine Learning Systems</w:t>
      </w:r>
      <w:r>
        <w:t xml:space="preserve">. NeurIPS.</w:t>
      </w:r>
    </w:p>
    <w:p>
      <w:pPr>
        <w:pStyle w:val="Compact"/>
        <w:numPr>
          <w:ilvl w:val="0"/>
          <w:numId w:val="1012"/>
        </w:numPr>
      </w:pPr>
      <w:r>
        <w:t xml:space="preserve">Staufer, L., Feng, K., Wei, K., Bailey, L., Duan, Y., Yang, M., Ozisik, A. P., Casper, S., and Kolt, N. (2025).</w:t>
      </w:r>
      <w:r>
        <w:t xml:space="preserve"> </w:t>
      </w:r>
      <w:r>
        <w:rPr>
          <w:i/>
          <w:iCs/>
        </w:rPr>
        <w:t xml:space="preserve">The 2025 AI Agent Index: Documenting Technical and Safety Features of Deployed Agentic AI Systems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Tom’s Hardware (2025).</w:t>
      </w:r>
      <w:r>
        <w:t xml:space="preserve"> </w:t>
      </w:r>
      <w:r>
        <w:rPr>
          <w:i/>
          <w:iCs/>
        </w:rPr>
        <w:t xml:space="preserve">Replit’s CEO apologizes after its AI agent wiped a production database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Wang, Y., et al. (2026).</w:t>
      </w:r>
      <w:r>
        <w:t xml:space="preserve"> </w:t>
      </w:r>
      <w:r>
        <w:rPr>
          <w:i/>
          <w:iCs/>
        </w:rPr>
        <w:t xml:space="preserve">AgentSpec: Customizable Runtime Enforcement for Safe and Reliable LLM Agents</w:t>
      </w:r>
      <w:r>
        <w:t xml:space="preserve">. ICSE 2026.</w:t>
      </w:r>
    </w:p>
    <w:p>
      <w:pPr>
        <w:pStyle w:val="Compact"/>
        <w:numPr>
          <w:ilvl w:val="0"/>
          <w:numId w:val="1012"/>
        </w:numPr>
      </w:pPr>
      <w:r>
        <w:t xml:space="preserve">[Anonymous author manuscript] (2026).</w:t>
      </w:r>
      <w:r>
        <w:t xml:space="preserve"> </w:t>
      </w:r>
      <w:r>
        <w:rPr>
          <w:i/>
          <w:iCs/>
        </w:rPr>
        <w:t xml:space="preserve">Modele V4.2: Version coherente, simulation-ready, export formalise</w:t>
      </w:r>
      <w:r>
        <w:t xml:space="preserve">. Unpublished source formalism adapted in this paper.</w:t>
      </w:r>
    </w:p>
    <w:p>
      <w:pPr>
        <w:pStyle w:val="Compact"/>
        <w:numPr>
          <w:ilvl w:val="0"/>
          <w:numId w:val="1012"/>
        </w:numPr>
      </w:pPr>
      <w:r>
        <w:t xml:space="preserve">[Anonymous authors] (2026).</w:t>
      </w:r>
      <w:r>
        <w:t xml:space="preserve"> </w:t>
      </w:r>
      <w:r>
        <w:rPr>
          <w:i/>
          <w:iCs/>
        </w:rPr>
        <w:t xml:space="preserve">A Trace-Based Assurance Framework for Agentic AI Orchestration: Contracts, Testing, and Governance</w:t>
      </w:r>
      <w:r>
        <w:t xml:space="preserve">. arXiv.</w:t>
      </w:r>
    </w:p>
    <w:p>
      <w:pPr>
        <w:pStyle w:val="Compact"/>
        <w:numPr>
          <w:ilvl w:val="0"/>
          <w:numId w:val="1012"/>
        </w:numPr>
      </w:pPr>
      <w:r>
        <w:t xml:space="preserve">[Anonymous authors] (2026).</w:t>
      </w:r>
      <w:r>
        <w:t xml:space="preserve"> </w:t>
      </w:r>
      <w:r>
        <w:rPr>
          <w:i/>
          <w:iCs/>
        </w:rPr>
        <w:t xml:space="preserve">Agent Behavioral Contracts: Formal Specification and Runtime Enforcement for Reliable Autonomous AI Agents</w:t>
      </w:r>
      <w:r>
        <w:t xml:space="preserve">. arXiv.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Debt in Tool-Using AI Agents</dc:title>
  <dc:creator>Working paper draft - author block to be completed</dc:creator>
  <dc:language>en-US</dc:language>
  <cp:keywords/>
  <dcterms:created xsi:type="dcterms:W3CDTF">2026-04-05T12:18:12Z</dcterms:created>
  <dcterms:modified xsi:type="dcterms:W3CDTF">2026-04-05T12:18:12Z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5 April 2026</vt:lpwstr>
  </property>
  <property fmtid="{D5CDD505-2E9C-101B-9397-08002B2CF9AE}" pid="4" name="fontsize">
    <vt:lpwstr>11pt</vt:lpwstr>
  </property>
  <property fmtid="{D5CDD505-2E9C-101B-9397-08002B2CF9AE}" pid="5" name="geometry">
    <vt:lpwstr/>
  </property>
  <property fmtid="{D5CDD505-2E9C-101B-9397-08002B2CF9AE}" pid="6" name="header-includes">
    <vt:lpwstr/>
  </property>
  <property fmtid="{D5CDD505-2E9C-101B-9397-08002B2CF9AE}" pid="7" name="linkcolor">
    <vt:lpwstr>blue</vt:lpwstr>
  </property>
  <property fmtid="{D5CDD505-2E9C-101B-9397-08002B2CF9AE}" pid="8" name="numbersections">
    <vt:lpwstr>True</vt:lpwstr>
  </property>
  <property fmtid="{D5CDD505-2E9C-101B-9397-08002B2CF9AE}" pid="9" name="subtitle">
    <vt:lpwstr>A trace-based model of corrupt success, systemic harm, and dependency-aware recovery</vt:lpwstr>
  </property>
  <property fmtid="{D5CDD505-2E9C-101B-9397-08002B2CF9AE}" pid="10" name="urlcolor">
    <vt:lpwstr>blue</vt:lpwstr>
  </property>
</Properties>
</file>