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Pr="006D0F85" w:rsidRDefault="0068148C" w:rsidP="006D0F85">
      <w:pPr>
        <w:rPr>
          <w:b/>
          <w:sz w:val="28"/>
          <w:u w:val="single"/>
        </w:rPr>
      </w:pPr>
      <w:r>
        <w:rPr>
          <w:b/>
          <w:sz w:val="24"/>
          <w:u w:val="single"/>
        </w:rPr>
        <w:t>Exercice 2 :</w:t>
      </w:r>
    </w:p>
    <w:p w:rsidR="0068148C" w:rsidRPr="006D0F85" w:rsidRDefault="007D761B" w:rsidP="006D0F85">
      <w:pPr>
        <w:jc w:val="center"/>
        <w:rPr>
          <w:b/>
          <w:color w:val="00B050"/>
          <w:sz w:val="28"/>
          <w:u w:val="single"/>
        </w:rPr>
      </w:pPr>
      <w:r w:rsidRPr="006D0F85">
        <w:rPr>
          <w:b/>
          <w:noProof/>
          <w:color w:val="00B050"/>
          <w:sz w:val="28"/>
          <w:u w:val="single"/>
          <w:lang w:eastAsia="fr-FR"/>
        </w:rPr>
        <w:drawing>
          <wp:anchor distT="0" distB="0" distL="114300" distR="114300" simplePos="0" relativeHeight="251661312" behindDoc="0" locked="0" layoutInCell="1" allowOverlap="1" wp14:anchorId="66968AC6" wp14:editId="3856AC7D">
            <wp:simplePos x="0" y="0"/>
            <wp:positionH relativeFrom="margin">
              <wp:posOffset>213360</wp:posOffset>
            </wp:positionH>
            <wp:positionV relativeFrom="margin">
              <wp:posOffset>373380</wp:posOffset>
            </wp:positionV>
            <wp:extent cx="3037205" cy="2964180"/>
            <wp:effectExtent l="0" t="0" r="0" b="762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C419C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12"/>
                    <a:stretch/>
                  </pic:blipFill>
                  <pic:spPr bwMode="auto">
                    <a:xfrm>
                      <a:off x="0" y="0"/>
                      <a:ext cx="3037205" cy="296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0F85">
        <w:rPr>
          <w:b/>
          <w:color w:val="00B050"/>
          <w:sz w:val="28"/>
          <w:u w:val="single"/>
        </w:rPr>
        <w:t>CORRECTION :</w:t>
      </w:r>
    </w:p>
    <w:p w:rsidR="007D761B" w:rsidRPr="007D761B" w:rsidRDefault="007D761B" w:rsidP="007D761B">
      <w:pPr>
        <w:pStyle w:val="Paragraphedeliste"/>
        <w:numPr>
          <w:ilvl w:val="0"/>
          <w:numId w:val="2"/>
        </w:numPr>
        <w:rPr>
          <w:rFonts w:ascii="Verdana" w:hAnsi="Verdana"/>
          <w:color w:val="00B050"/>
          <w:sz w:val="24"/>
          <w:szCs w:val="24"/>
        </w:rPr>
      </w:pPr>
      <w:r w:rsidRPr="007D761B">
        <w:rPr>
          <w:rFonts w:ascii="Verdana" w:hAnsi="Verdana"/>
          <w:color w:val="00B050"/>
          <w:sz w:val="24"/>
          <w:szCs w:val="24"/>
        </w:rPr>
        <w:t>Les droites (AB) et (DE) sont sécantes en C</w:t>
      </w:r>
      <w:r w:rsidRPr="007D761B">
        <w:rPr>
          <w:rFonts w:ascii="Verdana" w:hAnsi="Verdana"/>
          <w:color w:val="00B050"/>
          <w:sz w:val="24"/>
          <w:szCs w:val="24"/>
        </w:rPr>
        <w:t>.</w:t>
      </w:r>
    </w:p>
    <w:p w:rsidR="007D761B" w:rsidRPr="007D761B" w:rsidRDefault="007D761B" w:rsidP="007D761B">
      <w:pPr>
        <w:rPr>
          <w:rFonts w:ascii="Verdana" w:hAnsi="Verdana"/>
          <w:color w:val="00B050"/>
          <w:sz w:val="24"/>
          <w:szCs w:val="24"/>
        </w:rPr>
      </w:pPr>
      <w:r w:rsidRPr="007D761B">
        <w:rPr>
          <w:rFonts w:ascii="Verdana" w:hAnsi="Verdana"/>
          <w:color w:val="00B050"/>
          <w:sz w:val="24"/>
          <w:szCs w:val="24"/>
        </w:rPr>
        <w:t xml:space="preserve">D’une part : </w:t>
      </w:r>
      <m:oMath>
        <m:f>
          <m:fPr>
            <m:ctrlPr>
              <w:rPr>
                <w:rFonts w:ascii="Cambria Math" w:hAnsi="Cambria Math"/>
                <w:i/>
                <w:color w:val="00B050"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color w:val="00B050"/>
                <w:sz w:val="28"/>
                <w:szCs w:val="24"/>
              </w:rPr>
              <m:t>CB</m:t>
            </m:r>
          </m:num>
          <m:den>
            <m:r>
              <w:rPr>
                <w:rFonts w:ascii="Cambria Math" w:hAnsi="Cambria Math"/>
                <w:color w:val="00B050"/>
                <w:sz w:val="28"/>
                <w:szCs w:val="24"/>
              </w:rPr>
              <m:t>CD</m:t>
            </m:r>
          </m:den>
        </m:f>
        <m:r>
          <w:rPr>
            <w:rFonts w:ascii="Cambria Math" w:hAnsi="Cambria Math"/>
            <w:color w:val="00B050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B050"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color w:val="00B050"/>
                <w:sz w:val="28"/>
                <w:szCs w:val="24"/>
              </w:rPr>
              <m:t>7</m:t>
            </m:r>
          </m:num>
          <m:den>
            <m:r>
              <w:rPr>
                <w:rFonts w:ascii="Cambria Math" w:hAnsi="Cambria Math"/>
                <w:color w:val="00B050"/>
                <w:sz w:val="28"/>
                <w:szCs w:val="24"/>
              </w:rPr>
              <m:t>11</m:t>
            </m:r>
          </m:den>
        </m:f>
      </m:oMath>
    </w:p>
    <w:p w:rsidR="007D761B" w:rsidRPr="007D761B" w:rsidRDefault="007D761B" w:rsidP="007D761B">
      <w:pPr>
        <w:rPr>
          <w:rFonts w:ascii="Verdana" w:hAnsi="Verdana"/>
          <w:color w:val="00B050"/>
          <w:sz w:val="24"/>
          <w:szCs w:val="24"/>
        </w:rPr>
      </w:pPr>
      <w:r w:rsidRPr="007D761B">
        <w:rPr>
          <w:rFonts w:ascii="Verdana" w:hAnsi="Verdana"/>
          <w:color w:val="00B050"/>
          <w:sz w:val="24"/>
          <w:szCs w:val="24"/>
        </w:rPr>
        <w:t xml:space="preserve">D’autre part : </w:t>
      </w:r>
      <m:oMath>
        <m:f>
          <m:fPr>
            <m:ctrlPr>
              <w:rPr>
                <w:rFonts w:ascii="Cambria Math" w:hAnsi="Cambria Math"/>
                <w:i/>
                <w:color w:val="00B050"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color w:val="00B050"/>
                <w:sz w:val="28"/>
                <w:szCs w:val="24"/>
              </w:rPr>
              <m:t>CA</m:t>
            </m:r>
          </m:num>
          <m:den>
            <m:r>
              <w:rPr>
                <w:rFonts w:ascii="Cambria Math" w:hAnsi="Cambria Math"/>
                <w:color w:val="00B050"/>
                <w:sz w:val="28"/>
                <w:szCs w:val="24"/>
              </w:rPr>
              <m:t>CE</m:t>
            </m:r>
          </m:den>
        </m:f>
        <m:r>
          <w:rPr>
            <w:rFonts w:ascii="Cambria Math" w:hAnsi="Cambria Math"/>
            <w:color w:val="00B050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B050"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color w:val="00B050"/>
                <w:sz w:val="28"/>
                <w:szCs w:val="24"/>
              </w:rPr>
              <m:t>7,7</m:t>
            </m:r>
          </m:num>
          <m:den>
            <m:r>
              <w:rPr>
                <w:rFonts w:ascii="Cambria Math" w:hAnsi="Cambria Math"/>
                <w:color w:val="00B050"/>
                <w:sz w:val="28"/>
                <w:szCs w:val="24"/>
              </w:rPr>
              <m:t>12,1</m:t>
            </m:r>
          </m:den>
        </m:f>
        <m:r>
          <w:rPr>
            <w:rFonts w:ascii="Cambria Math" w:hAnsi="Cambria Math"/>
            <w:color w:val="00B050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B050"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color w:val="00B050"/>
                <w:sz w:val="28"/>
                <w:szCs w:val="24"/>
              </w:rPr>
              <m:t>77</m:t>
            </m:r>
          </m:num>
          <m:den>
            <m:r>
              <w:rPr>
                <w:rFonts w:ascii="Cambria Math" w:hAnsi="Cambria Math"/>
                <w:color w:val="00B050"/>
                <w:sz w:val="28"/>
                <w:szCs w:val="24"/>
              </w:rPr>
              <m:t>121</m:t>
            </m:r>
          </m:den>
        </m:f>
        <m:r>
          <w:rPr>
            <w:rFonts w:ascii="Cambria Math" w:hAnsi="Cambria Math"/>
            <w:color w:val="00B050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B050"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color w:val="00B050"/>
                <w:sz w:val="28"/>
                <w:szCs w:val="24"/>
              </w:rPr>
              <m:t>7</m:t>
            </m:r>
          </m:num>
          <m:den>
            <m:r>
              <w:rPr>
                <w:rFonts w:ascii="Cambria Math" w:hAnsi="Cambria Math"/>
                <w:color w:val="00B050"/>
                <w:sz w:val="28"/>
                <w:szCs w:val="24"/>
              </w:rPr>
              <m:t>11</m:t>
            </m:r>
          </m:den>
        </m:f>
      </m:oMath>
    </w:p>
    <w:p w:rsidR="007D761B" w:rsidRDefault="007D761B" w:rsidP="007D761B">
      <w:pPr>
        <w:rPr>
          <w:rFonts w:ascii="Verdana" w:eastAsiaTheme="minorEastAsia" w:hAnsi="Verdana"/>
          <w:color w:val="00B050"/>
          <w:sz w:val="24"/>
          <w:szCs w:val="24"/>
        </w:rPr>
      </w:pPr>
      <w:r w:rsidRPr="007D761B">
        <w:rPr>
          <w:rFonts w:ascii="Verdana" w:hAnsi="Verdana"/>
          <w:color w:val="00B050"/>
          <w:sz w:val="24"/>
          <w:szCs w:val="24"/>
        </w:rPr>
        <w:t>On constate</w:t>
      </w:r>
      <w:r w:rsidRPr="007D761B">
        <w:rPr>
          <w:rFonts w:ascii="Verdana" w:hAnsi="Verdana"/>
          <w:color w:val="00B050"/>
          <w:sz w:val="24"/>
          <w:szCs w:val="24"/>
        </w:rPr>
        <w:t xml:space="preserve"> </w:t>
      </w:r>
      <w:proofErr w:type="gramStart"/>
      <w:r>
        <w:rPr>
          <w:rFonts w:ascii="Verdana" w:hAnsi="Verdana"/>
          <w:color w:val="00B050"/>
          <w:sz w:val="24"/>
          <w:szCs w:val="24"/>
        </w:rPr>
        <w:t xml:space="preserve">que </w:t>
      </w:r>
      <w:r w:rsidRPr="007D761B">
        <w:rPr>
          <w:rFonts w:ascii="Verdana" w:hAnsi="Verdana"/>
          <w:color w:val="00B050"/>
          <w:sz w:val="24"/>
          <w:szCs w:val="24"/>
        </w:rPr>
        <w:t xml:space="preserve"> </w:t>
      </w:r>
      <w:proofErr w:type="gramEnd"/>
      <m:oMath>
        <m:f>
          <m:fPr>
            <m:ctrlPr>
              <w:rPr>
                <w:rFonts w:ascii="Cambria Math" w:hAnsi="Cambria Math"/>
                <w:i/>
                <w:color w:val="00B050"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color w:val="00B050"/>
                <w:sz w:val="32"/>
                <w:szCs w:val="24"/>
              </w:rPr>
              <m:t>CB</m:t>
            </m:r>
          </m:num>
          <m:den>
            <m:r>
              <w:rPr>
                <w:rFonts w:ascii="Cambria Math" w:hAnsi="Cambria Math"/>
                <w:color w:val="00B050"/>
                <w:sz w:val="32"/>
                <w:szCs w:val="24"/>
              </w:rPr>
              <m:t>CD</m:t>
            </m:r>
          </m:den>
        </m:f>
        <m:r>
          <w:rPr>
            <w:rFonts w:ascii="Cambria Math" w:hAnsi="Cambria Math"/>
            <w:color w:val="00B050"/>
            <w:sz w:val="32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B050"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color w:val="00B050"/>
                <w:sz w:val="32"/>
                <w:szCs w:val="24"/>
              </w:rPr>
              <m:t>CA</m:t>
            </m:r>
          </m:num>
          <m:den>
            <m:r>
              <w:rPr>
                <w:rFonts w:ascii="Cambria Math" w:hAnsi="Cambria Math"/>
                <w:color w:val="00B050"/>
                <w:sz w:val="32"/>
                <w:szCs w:val="24"/>
              </w:rPr>
              <m:t>CE</m:t>
            </m:r>
          </m:den>
        </m:f>
        <m:r>
          <w:rPr>
            <w:rFonts w:ascii="Cambria Math" w:hAnsi="Cambria Math"/>
            <w:color w:val="00B050"/>
            <w:sz w:val="32"/>
            <w:szCs w:val="24"/>
          </w:rPr>
          <m:t> </m:t>
        </m:r>
      </m:oMath>
      <w:r>
        <w:rPr>
          <w:rFonts w:ascii="Verdana" w:eastAsiaTheme="minorEastAsia" w:hAnsi="Verdana"/>
          <w:color w:val="00B050"/>
          <w:sz w:val="24"/>
          <w:szCs w:val="24"/>
        </w:rPr>
        <w:t>.</w:t>
      </w:r>
    </w:p>
    <w:p w:rsidR="007D761B" w:rsidRPr="007D761B" w:rsidRDefault="007D761B" w:rsidP="007D761B">
      <w:pPr>
        <w:rPr>
          <w:rFonts w:ascii="Verdana" w:hAnsi="Verdana"/>
          <w:color w:val="00B050"/>
          <w:sz w:val="24"/>
          <w:szCs w:val="24"/>
        </w:rPr>
      </w:pPr>
      <w:r>
        <w:rPr>
          <w:rFonts w:ascii="Verdana" w:eastAsiaTheme="minorEastAsia" w:hAnsi="Verdana"/>
          <w:color w:val="00B050"/>
          <w:sz w:val="24"/>
          <w:szCs w:val="24"/>
        </w:rPr>
        <w:t>D’après la réciproque du théorème de Thalès, on peut conclure que les droites (AB) et (DE</w:t>
      </w:r>
      <w:r w:rsidRPr="007D761B">
        <w:rPr>
          <w:rFonts w:ascii="Verdana" w:eastAsiaTheme="minorEastAsia" w:hAnsi="Verdana"/>
          <w:color w:val="00B050"/>
          <w:sz w:val="24"/>
          <w:szCs w:val="24"/>
        </w:rPr>
        <w:t xml:space="preserve">) sont </w:t>
      </w:r>
      <w:r>
        <w:rPr>
          <w:rFonts w:ascii="Verdana" w:eastAsiaTheme="minorEastAsia" w:hAnsi="Verdana"/>
          <w:color w:val="00B050"/>
          <w:sz w:val="24"/>
          <w:szCs w:val="24"/>
        </w:rPr>
        <w:t>parallèles.</w:t>
      </w:r>
    </w:p>
    <w:p w:rsidR="0068148C" w:rsidRPr="007D761B" w:rsidRDefault="0068148C">
      <w:pPr>
        <w:rPr>
          <w:rFonts w:ascii="Verdana" w:hAnsi="Verdana"/>
          <w:b/>
          <w:color w:val="00B050"/>
          <w:sz w:val="24"/>
          <w:szCs w:val="24"/>
          <w:u w:val="single"/>
        </w:rPr>
      </w:pPr>
    </w:p>
    <w:p w:rsidR="007D761B" w:rsidRPr="006D0F85" w:rsidRDefault="006D0F85" w:rsidP="006D0F85">
      <w:pPr>
        <w:pStyle w:val="Paragraphedeliste"/>
        <w:numPr>
          <w:ilvl w:val="0"/>
          <w:numId w:val="2"/>
        </w:numPr>
        <w:rPr>
          <w:color w:val="00B050"/>
          <w:sz w:val="24"/>
        </w:rPr>
      </w:pPr>
      <w:r>
        <w:rPr>
          <w:rFonts w:ascii="Verdana" w:hAnsi="Verdana"/>
          <w:color w:val="00B050"/>
          <w:sz w:val="24"/>
        </w:rPr>
        <w:t>On sait que les droites (AB) et (DE) sont parallèles.</w:t>
      </w:r>
    </w:p>
    <w:p w:rsidR="006D0F85" w:rsidRDefault="006D0F85" w:rsidP="006D0F85">
      <w:pPr>
        <w:pStyle w:val="Paragraphedeliste"/>
        <w:rPr>
          <w:rFonts w:ascii="Verdana" w:hAnsi="Verdana"/>
          <w:color w:val="00B050"/>
          <w:sz w:val="24"/>
        </w:rPr>
      </w:pPr>
      <w:r>
        <w:rPr>
          <w:rFonts w:ascii="Verdana" w:hAnsi="Verdana"/>
          <w:color w:val="00B050"/>
          <w:sz w:val="24"/>
        </w:rPr>
        <w:t>De plus, la droite (BD) est perpendiculaire à la droite (AB).</w:t>
      </w:r>
    </w:p>
    <w:p w:rsidR="006D0F85" w:rsidRDefault="006D0F85" w:rsidP="006D0F85">
      <w:pPr>
        <w:pStyle w:val="Paragraphedeliste"/>
        <w:rPr>
          <w:rFonts w:ascii="Verdana" w:hAnsi="Verdana"/>
          <w:color w:val="00B050"/>
          <w:sz w:val="24"/>
        </w:rPr>
      </w:pPr>
      <w:r>
        <w:rPr>
          <w:rFonts w:ascii="Verdana" w:hAnsi="Verdana"/>
          <w:color w:val="00B050"/>
          <w:sz w:val="24"/>
        </w:rPr>
        <w:t>Or, si 2 droites sont parallèles et si une 3</w:t>
      </w:r>
      <w:r w:rsidRPr="006D0F85">
        <w:rPr>
          <w:rFonts w:ascii="Verdana" w:hAnsi="Verdana"/>
          <w:color w:val="00B050"/>
          <w:sz w:val="24"/>
          <w:vertAlign w:val="superscript"/>
        </w:rPr>
        <w:t>ème</w:t>
      </w:r>
      <w:r>
        <w:rPr>
          <w:rFonts w:ascii="Verdana" w:hAnsi="Verdana"/>
          <w:color w:val="00B050"/>
          <w:sz w:val="24"/>
        </w:rPr>
        <w:t xml:space="preserve"> droite est perpendiculaire à l’une alors elle est perpendiculaire à l’autre.</w:t>
      </w:r>
    </w:p>
    <w:p w:rsidR="006D0F85" w:rsidRDefault="006D0F85" w:rsidP="006D0F85">
      <w:pPr>
        <w:pStyle w:val="Paragraphedeliste"/>
        <w:rPr>
          <w:rFonts w:ascii="Verdana" w:hAnsi="Verdana"/>
          <w:color w:val="00B050"/>
          <w:sz w:val="24"/>
        </w:rPr>
      </w:pPr>
      <w:r>
        <w:rPr>
          <w:rFonts w:ascii="Verdana" w:hAnsi="Verdana"/>
          <w:color w:val="00B050"/>
          <w:sz w:val="24"/>
        </w:rPr>
        <w:t>Donc (BD) est perpendiculaire à (DE).</w:t>
      </w:r>
    </w:p>
    <w:p w:rsidR="006D0F85" w:rsidRDefault="006D0F85" w:rsidP="006D0F85">
      <w:pPr>
        <w:pStyle w:val="Paragraphedeliste"/>
        <w:rPr>
          <w:rFonts w:ascii="Verdana" w:hAnsi="Verdana"/>
          <w:color w:val="00B050"/>
          <w:sz w:val="24"/>
        </w:rPr>
      </w:pPr>
    </w:p>
    <w:p w:rsidR="006D0F85" w:rsidRPr="006D0F85" w:rsidRDefault="006D0F85" w:rsidP="006D0F85">
      <w:pPr>
        <w:pStyle w:val="Paragraphedeliste"/>
        <w:numPr>
          <w:ilvl w:val="0"/>
          <w:numId w:val="2"/>
        </w:numPr>
        <w:rPr>
          <w:rFonts w:ascii="Verdana" w:hAnsi="Verdana"/>
          <w:color w:val="00B050"/>
          <w:sz w:val="24"/>
        </w:rPr>
      </w:pPr>
      <w:r>
        <w:rPr>
          <w:rFonts w:ascii="Verdana" w:hAnsi="Verdana"/>
          <w:color w:val="00B050"/>
          <w:sz w:val="24"/>
        </w:rPr>
        <w:t xml:space="preserve">Pour calculer DE, nous pouvons maintenant utiliser le théorème de Pythagore car on sait que </w:t>
      </w:r>
      <w:r>
        <w:rPr>
          <w:rFonts w:ascii="Verdana" w:hAnsi="Verdana"/>
          <w:color w:val="00B050"/>
          <w:sz w:val="24"/>
        </w:rPr>
        <w:t>(BD) est perpendiculaire à (DE).</w:t>
      </w:r>
    </w:p>
    <w:p w:rsidR="0068148C" w:rsidRDefault="006D0F85" w:rsidP="006D0F85">
      <w:pPr>
        <w:jc w:val="center"/>
        <w:rPr>
          <w:rFonts w:ascii="Verdana" w:hAnsi="Verdana"/>
          <w:b/>
          <w:color w:val="00B050"/>
          <w:sz w:val="24"/>
        </w:rPr>
      </w:pPr>
      <w:r w:rsidRPr="006D0F85">
        <w:rPr>
          <w:rFonts w:ascii="Verdana" w:hAnsi="Verdana"/>
          <w:b/>
          <w:color w:val="00B050"/>
          <w:sz w:val="24"/>
        </w:rPr>
        <w:t>Calcul de DE :</w:t>
      </w:r>
    </w:p>
    <w:p w:rsidR="006D0F85" w:rsidRDefault="006D0F85" w:rsidP="006D0F85">
      <w:pPr>
        <w:jc w:val="center"/>
        <w:rPr>
          <w:rFonts w:ascii="Verdana" w:hAnsi="Verdana"/>
          <w:color w:val="00B050"/>
          <w:sz w:val="24"/>
        </w:rPr>
      </w:pPr>
      <w:r>
        <w:rPr>
          <w:rFonts w:ascii="Verdana" w:hAnsi="Verdana"/>
          <w:color w:val="00B050"/>
          <w:sz w:val="24"/>
        </w:rPr>
        <w:t>CE²=CD²+DE²</w:t>
      </w:r>
    </w:p>
    <w:p w:rsidR="006D0F85" w:rsidRDefault="006D0F85" w:rsidP="006D0F85">
      <w:pPr>
        <w:jc w:val="center"/>
        <w:rPr>
          <w:rFonts w:ascii="Verdana" w:hAnsi="Verdana"/>
          <w:color w:val="00B050"/>
          <w:sz w:val="24"/>
        </w:rPr>
      </w:pPr>
      <w:r>
        <w:rPr>
          <w:rFonts w:ascii="Verdana" w:hAnsi="Verdana"/>
          <w:color w:val="00B050"/>
          <w:sz w:val="24"/>
        </w:rPr>
        <w:t>12,1²=11²+DE²</w:t>
      </w:r>
    </w:p>
    <w:p w:rsidR="006D0F85" w:rsidRDefault="006D0F85" w:rsidP="006D0F85">
      <w:pPr>
        <w:jc w:val="center"/>
        <w:rPr>
          <w:rFonts w:ascii="Verdana" w:hAnsi="Verdana"/>
          <w:color w:val="00B050"/>
          <w:sz w:val="24"/>
        </w:rPr>
      </w:pPr>
      <w:r>
        <w:rPr>
          <w:rFonts w:ascii="Verdana" w:hAnsi="Verdana"/>
          <w:color w:val="00B050"/>
          <w:sz w:val="24"/>
        </w:rPr>
        <w:t>DE² =12,1²-11²</w:t>
      </w:r>
    </w:p>
    <w:p w:rsidR="006D0F85" w:rsidRDefault="006D0F85" w:rsidP="006D0F85">
      <w:pPr>
        <w:jc w:val="center"/>
        <w:rPr>
          <w:rFonts w:ascii="Verdana" w:hAnsi="Verdana"/>
          <w:color w:val="00B050"/>
          <w:sz w:val="24"/>
        </w:rPr>
      </w:pPr>
      <w:r>
        <w:rPr>
          <w:rFonts w:ascii="Verdana" w:hAnsi="Verdana"/>
          <w:color w:val="00B050"/>
          <w:sz w:val="24"/>
        </w:rPr>
        <w:t>DE²=146,41-121</w:t>
      </w:r>
    </w:p>
    <w:p w:rsidR="006D0F85" w:rsidRDefault="006D0F85" w:rsidP="006D0F85">
      <w:pPr>
        <w:jc w:val="center"/>
        <w:rPr>
          <w:rFonts w:ascii="Verdana" w:eastAsiaTheme="minorEastAsia" w:hAnsi="Verdana"/>
          <w:color w:val="00B050"/>
          <w:sz w:val="24"/>
        </w:rPr>
      </w:pPr>
      <w:r>
        <w:rPr>
          <w:rFonts w:ascii="Verdana" w:hAnsi="Verdana"/>
          <w:color w:val="00B050"/>
          <w:sz w:val="24"/>
        </w:rPr>
        <w:t xml:space="preserve">DE²=25,41 </w:t>
      </w:r>
      <w:r>
        <w:rPr>
          <w:rFonts w:ascii="Verdana" w:hAnsi="Verdana"/>
          <w:color w:val="00B050"/>
          <w:sz w:val="24"/>
        </w:rPr>
        <w:br/>
      </w:r>
      <w:r>
        <w:rPr>
          <w:rFonts w:ascii="Verdana" w:eastAsiaTheme="minorEastAsia" w:hAnsi="Verdana"/>
          <w:color w:val="00B050"/>
          <w:sz w:val="24"/>
        </w:rPr>
        <w:t xml:space="preserve"> </w:t>
      </w:r>
      <m:oMath>
        <m:r>
          <w:rPr>
            <w:rFonts w:ascii="Cambria Math" w:hAnsi="Cambria Math"/>
            <w:color w:val="00B050"/>
            <w:sz w:val="24"/>
          </w:rPr>
          <m:t>DE=</m:t>
        </m:r>
        <m:rad>
          <m:radPr>
            <m:degHide m:val="1"/>
            <m:ctrlPr>
              <w:rPr>
                <w:rFonts w:ascii="Cambria Math" w:hAnsi="Cambria Math"/>
                <w:i/>
                <w:color w:val="00B050"/>
                <w:sz w:val="24"/>
              </w:rPr>
            </m:ctrlPr>
          </m:radPr>
          <m:deg/>
          <m:e>
            <m:r>
              <w:rPr>
                <w:rFonts w:ascii="Cambria Math" w:hAnsi="Cambria Math"/>
                <w:color w:val="00B050"/>
                <w:sz w:val="24"/>
              </w:rPr>
              <m:t>25,41</m:t>
            </m:r>
          </m:e>
        </m:rad>
        <m:r>
          <w:rPr>
            <w:rFonts w:ascii="Cambria Math" w:hAnsi="Cambria Math"/>
            <w:color w:val="00B050"/>
            <w:sz w:val="24"/>
          </w:rPr>
          <m:t>≈5,0</m:t>
        </m:r>
        <m:r>
          <w:rPr>
            <w:rFonts w:ascii="Cambria Math" w:hAnsi="Cambria Math"/>
            <w:color w:val="00B050"/>
            <w:sz w:val="24"/>
          </w:rPr>
          <m:t>4</m:t>
        </m:r>
        <m:r>
          <w:rPr>
            <w:rFonts w:ascii="Cambria Math" w:hAnsi="Cambria Math"/>
            <w:color w:val="00B050"/>
            <w:sz w:val="24"/>
          </w:rPr>
          <m:t xml:space="preserve"> cm</m:t>
        </m:r>
      </m:oMath>
    </w:p>
    <w:p w:rsidR="006D0F85" w:rsidRDefault="006D0F85" w:rsidP="006D0F85">
      <w:pPr>
        <w:rPr>
          <w:rFonts w:ascii="Verdana" w:eastAsiaTheme="minorEastAsia" w:hAnsi="Verdana"/>
          <w:color w:val="00B050"/>
          <w:sz w:val="24"/>
        </w:rPr>
      </w:pPr>
      <w:r>
        <w:rPr>
          <w:rFonts w:ascii="Verdana" w:eastAsiaTheme="minorEastAsia" w:hAnsi="Verdana"/>
          <w:color w:val="00B050"/>
          <w:sz w:val="24"/>
        </w:rPr>
        <w:t>Pour calculer AB, nous allons maintenant utiliser le théorème de Thalès :</w:t>
      </w:r>
    </w:p>
    <w:p w:rsidR="006D0F85" w:rsidRDefault="006D0F85" w:rsidP="006D0F85">
      <w:pPr>
        <w:rPr>
          <w:rFonts w:ascii="Verdana" w:hAnsi="Verdana"/>
          <w:color w:val="00B050"/>
          <w:sz w:val="24"/>
          <w:szCs w:val="24"/>
        </w:rPr>
      </w:pPr>
      <w:r>
        <w:rPr>
          <w:rFonts w:ascii="Verdana" w:eastAsiaTheme="minorEastAsia" w:hAnsi="Verdana"/>
          <w:color w:val="00B050"/>
          <w:sz w:val="24"/>
        </w:rPr>
        <w:t xml:space="preserve">Dans les triangles ABC et CDE, les droites </w:t>
      </w:r>
      <w:r w:rsidRPr="007D761B">
        <w:rPr>
          <w:rFonts w:ascii="Verdana" w:hAnsi="Verdana"/>
          <w:color w:val="00B050"/>
          <w:sz w:val="24"/>
          <w:szCs w:val="24"/>
        </w:rPr>
        <w:t xml:space="preserve"> (AB) et (DE) sont sécantes en C.</w:t>
      </w:r>
    </w:p>
    <w:p w:rsidR="006D0F85" w:rsidRDefault="004706DA" w:rsidP="006D0F85">
      <w:pPr>
        <w:rPr>
          <w:rFonts w:ascii="Verdana" w:eastAsiaTheme="minorEastAsia" w:hAnsi="Verdana"/>
          <w:color w:val="00B050"/>
          <w:sz w:val="24"/>
          <w:szCs w:val="24"/>
        </w:rPr>
      </w:pPr>
      <w:r>
        <w:rPr>
          <w:rFonts w:ascii="Verdana" w:eastAsiaTheme="minorEastAsia" w:hAnsi="Verdana"/>
          <w:color w:val="00B050"/>
          <w:sz w:val="24"/>
          <w:szCs w:val="24"/>
        </w:rPr>
        <w:t>L</w:t>
      </w:r>
      <w:r>
        <w:rPr>
          <w:rFonts w:ascii="Verdana" w:eastAsiaTheme="minorEastAsia" w:hAnsi="Verdana"/>
          <w:color w:val="00B050"/>
          <w:sz w:val="24"/>
          <w:szCs w:val="24"/>
        </w:rPr>
        <w:t>es droites (AB) et (DE</w:t>
      </w:r>
      <w:r w:rsidRPr="007D761B">
        <w:rPr>
          <w:rFonts w:ascii="Verdana" w:eastAsiaTheme="minorEastAsia" w:hAnsi="Verdana"/>
          <w:color w:val="00B050"/>
          <w:sz w:val="24"/>
          <w:szCs w:val="24"/>
        </w:rPr>
        <w:t xml:space="preserve">) sont </w:t>
      </w:r>
      <w:r>
        <w:rPr>
          <w:rFonts w:ascii="Verdana" w:eastAsiaTheme="minorEastAsia" w:hAnsi="Verdana"/>
          <w:color w:val="00B050"/>
          <w:sz w:val="24"/>
          <w:szCs w:val="24"/>
        </w:rPr>
        <w:t>parallèles.</w:t>
      </w:r>
    </w:p>
    <w:p w:rsidR="004706DA" w:rsidRDefault="004706DA" w:rsidP="006D0F85">
      <w:pPr>
        <w:rPr>
          <w:rFonts w:ascii="Verdana" w:eastAsiaTheme="minorEastAsia" w:hAnsi="Verdana"/>
          <w:color w:val="00B050"/>
          <w:sz w:val="24"/>
          <w:szCs w:val="24"/>
        </w:rPr>
      </w:pPr>
    </w:p>
    <w:p w:rsidR="004706DA" w:rsidRDefault="004706DA" w:rsidP="006D0F85">
      <w:pPr>
        <w:rPr>
          <w:rFonts w:ascii="Verdana" w:eastAsiaTheme="minorEastAsia" w:hAnsi="Verdana"/>
          <w:color w:val="00B050"/>
          <w:sz w:val="24"/>
          <w:szCs w:val="24"/>
        </w:rPr>
      </w:pPr>
    </w:p>
    <w:p w:rsidR="004706DA" w:rsidRDefault="004706DA" w:rsidP="006D0F85">
      <w:pPr>
        <w:rPr>
          <w:rFonts w:ascii="Verdana" w:eastAsiaTheme="minorEastAsia" w:hAnsi="Verdana"/>
          <w:color w:val="00B050"/>
          <w:sz w:val="24"/>
          <w:szCs w:val="24"/>
        </w:rPr>
      </w:pPr>
      <w:r>
        <w:rPr>
          <w:rFonts w:ascii="Verdana" w:eastAsiaTheme="minorEastAsia" w:hAnsi="Verdana"/>
          <w:color w:val="00B050"/>
          <w:sz w:val="24"/>
          <w:szCs w:val="24"/>
        </w:rPr>
        <w:t>On utilise alors le théorème de Thalès :</w:t>
      </w:r>
      <w:r>
        <w:rPr>
          <w:rFonts w:ascii="Verdana" w:eastAsiaTheme="minorEastAsia" w:hAnsi="Verdana"/>
          <w:color w:val="00B050"/>
          <w:sz w:val="24"/>
          <w:szCs w:val="24"/>
        </w:rPr>
        <w:tab/>
      </w:r>
      <w:r>
        <w:rPr>
          <w:rFonts w:ascii="Verdana" w:eastAsiaTheme="minorEastAsia" w:hAnsi="Verdana"/>
          <w:color w:val="00B050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color w:val="00B050"/>
                <w:sz w:val="32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B050"/>
                <w:sz w:val="32"/>
                <w:szCs w:val="24"/>
              </w:rPr>
              <m:t>CB</m:t>
            </m:r>
          </m:num>
          <m:den>
            <m:r>
              <w:rPr>
                <w:rFonts w:ascii="Cambria Math" w:eastAsiaTheme="minorEastAsia" w:hAnsi="Cambria Math"/>
                <w:color w:val="00B050"/>
                <w:sz w:val="32"/>
                <w:szCs w:val="24"/>
              </w:rPr>
              <m:t>CD</m:t>
            </m:r>
          </m:den>
        </m:f>
        <m:r>
          <w:rPr>
            <w:rFonts w:ascii="Cambria Math" w:eastAsiaTheme="minorEastAsia" w:hAnsi="Cambria Math"/>
            <w:color w:val="00B050"/>
            <w:sz w:val="32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B050"/>
                <w:sz w:val="32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B050"/>
                <w:sz w:val="32"/>
                <w:szCs w:val="24"/>
              </w:rPr>
              <m:t>CA</m:t>
            </m:r>
          </m:num>
          <m:den>
            <m:r>
              <w:rPr>
                <w:rFonts w:ascii="Cambria Math" w:eastAsiaTheme="minorEastAsia" w:hAnsi="Cambria Math"/>
                <w:color w:val="00B050"/>
                <w:sz w:val="32"/>
                <w:szCs w:val="24"/>
              </w:rPr>
              <m:t>CE</m:t>
            </m:r>
          </m:den>
        </m:f>
        <m:r>
          <w:rPr>
            <w:rFonts w:ascii="Cambria Math" w:eastAsiaTheme="minorEastAsia" w:hAnsi="Cambria Math"/>
            <w:color w:val="00B050"/>
            <w:sz w:val="32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B050"/>
                <w:sz w:val="32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B050"/>
                <w:sz w:val="32"/>
                <w:szCs w:val="24"/>
              </w:rPr>
              <m:t>AB</m:t>
            </m:r>
          </m:num>
          <m:den>
            <m:r>
              <w:rPr>
                <w:rFonts w:ascii="Cambria Math" w:eastAsiaTheme="minorEastAsia" w:hAnsi="Cambria Math"/>
                <w:color w:val="00B050"/>
                <w:sz w:val="32"/>
                <w:szCs w:val="24"/>
              </w:rPr>
              <m:t>DE</m:t>
            </m:r>
          </m:den>
        </m:f>
      </m:oMath>
    </w:p>
    <w:p w:rsidR="004706DA" w:rsidRDefault="004706DA" w:rsidP="006D0F85">
      <w:pPr>
        <w:rPr>
          <w:rFonts w:ascii="Verdana" w:eastAsiaTheme="minorEastAsia" w:hAnsi="Verdana"/>
          <w:color w:val="00B050"/>
          <w:sz w:val="32"/>
          <w:szCs w:val="24"/>
        </w:rPr>
      </w:pPr>
      <w:r>
        <w:rPr>
          <w:rFonts w:ascii="Verdana" w:hAnsi="Verdana"/>
          <w:color w:val="00B050"/>
          <w:sz w:val="24"/>
        </w:rPr>
        <w:t xml:space="preserve">On remplace par les valeurs :   </w:t>
      </w:r>
      <m:oMath>
        <m:f>
          <m:fPr>
            <m:ctrlPr>
              <w:rPr>
                <w:rFonts w:ascii="Cambria Math" w:eastAsiaTheme="minorEastAsia" w:hAnsi="Cambria Math"/>
                <w:i/>
                <w:color w:val="00B050"/>
                <w:sz w:val="32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B050"/>
                <w:sz w:val="32"/>
                <w:szCs w:val="24"/>
              </w:rPr>
              <m:t>7</m:t>
            </m:r>
          </m:num>
          <m:den>
            <m:r>
              <w:rPr>
                <w:rFonts w:ascii="Cambria Math" w:eastAsiaTheme="minorEastAsia" w:hAnsi="Cambria Math"/>
                <w:color w:val="00B050"/>
                <w:sz w:val="32"/>
                <w:szCs w:val="24"/>
              </w:rPr>
              <m:t>11</m:t>
            </m:r>
          </m:den>
        </m:f>
        <m:r>
          <w:rPr>
            <w:rFonts w:ascii="Cambria Math" w:eastAsiaTheme="minorEastAsia" w:hAnsi="Cambria Math"/>
            <w:color w:val="00B050"/>
            <w:sz w:val="32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B050"/>
                <w:sz w:val="32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B050"/>
                <w:sz w:val="32"/>
                <w:szCs w:val="24"/>
              </w:rPr>
              <m:t>7,7</m:t>
            </m:r>
          </m:num>
          <m:den>
            <m:r>
              <w:rPr>
                <w:rFonts w:ascii="Cambria Math" w:eastAsiaTheme="minorEastAsia" w:hAnsi="Cambria Math"/>
                <w:color w:val="00B050"/>
                <w:sz w:val="32"/>
                <w:szCs w:val="24"/>
              </w:rPr>
              <m:t>12,1</m:t>
            </m:r>
          </m:den>
        </m:f>
        <m:r>
          <w:rPr>
            <w:rFonts w:ascii="Cambria Math" w:eastAsiaTheme="minorEastAsia" w:hAnsi="Cambria Math"/>
            <w:color w:val="00B050"/>
            <w:sz w:val="32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B050"/>
                <w:sz w:val="32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B050"/>
                <w:sz w:val="32"/>
                <w:szCs w:val="24"/>
              </w:rPr>
              <m:t>AB</m:t>
            </m:r>
          </m:num>
          <m:den>
            <m:r>
              <w:rPr>
                <w:rFonts w:ascii="Cambria Math" w:eastAsiaTheme="minorEastAsia" w:hAnsi="Cambria Math"/>
                <w:color w:val="00B050"/>
                <w:sz w:val="32"/>
                <w:szCs w:val="24"/>
              </w:rPr>
              <m:t>5,04</m:t>
            </m:r>
          </m:den>
        </m:f>
      </m:oMath>
    </w:p>
    <w:p w:rsidR="004706DA" w:rsidRPr="006D0F85" w:rsidRDefault="004706DA" w:rsidP="006D0F85">
      <w:pPr>
        <w:rPr>
          <w:rFonts w:ascii="Verdana" w:hAnsi="Verdana"/>
          <w:color w:val="00B050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50"/>
              <w:sz w:val="24"/>
            </w:rPr>
            <m:t xml:space="preserve">AB= </m:t>
          </m:r>
          <m:f>
            <m:fPr>
              <m:ctrlPr>
                <w:rPr>
                  <w:rFonts w:ascii="Cambria Math" w:hAnsi="Cambria Math"/>
                  <w:i/>
                  <w:color w:val="00B050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00B050"/>
                  <w:sz w:val="24"/>
                </w:rPr>
                <m:t>7*5,04</m:t>
              </m:r>
            </m:num>
            <m:den>
              <m:r>
                <w:rPr>
                  <w:rFonts w:ascii="Cambria Math" w:hAnsi="Cambria Math"/>
                  <w:color w:val="00B050"/>
                  <w:sz w:val="24"/>
                </w:rPr>
                <m:t>11</m:t>
              </m:r>
            </m:den>
          </m:f>
          <m:r>
            <w:rPr>
              <w:rFonts w:ascii="Cambria Math" w:hAnsi="Cambria Math"/>
              <w:color w:val="00B050"/>
              <w:sz w:val="24"/>
            </w:rPr>
            <m:t>=3,20 cm</m:t>
          </m:r>
        </m:oMath>
      </m:oMathPara>
      <w:bookmarkStart w:id="0" w:name="_GoBack"/>
      <w:bookmarkEnd w:id="0"/>
    </w:p>
    <w:sectPr w:rsidR="004706DA" w:rsidRPr="006D0F85" w:rsidSect="006814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73073"/>
    <w:multiLevelType w:val="hybridMultilevel"/>
    <w:tmpl w:val="062C394C"/>
    <w:lvl w:ilvl="0" w:tplc="A426DD24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b w:val="0"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0B377D"/>
    <w:multiLevelType w:val="hybridMultilevel"/>
    <w:tmpl w:val="A2C28402"/>
    <w:lvl w:ilvl="0" w:tplc="E53CBA8E">
      <w:start w:val="1"/>
      <w:numFmt w:val="decimal"/>
      <w:lvlText w:val="%1)"/>
      <w:lvlJc w:val="left"/>
      <w:pPr>
        <w:ind w:left="720" w:hanging="360"/>
      </w:pPr>
      <w:rPr>
        <w:rFonts w:hint="default"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48C"/>
    <w:rsid w:val="00374509"/>
    <w:rsid w:val="004706DA"/>
    <w:rsid w:val="0068148C"/>
    <w:rsid w:val="006D0F85"/>
    <w:rsid w:val="007D761B"/>
    <w:rsid w:val="008233FA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81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148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D761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D761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81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148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D761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D76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3</cp:revision>
  <cp:lastPrinted>2022-02-07T20:43:00Z</cp:lastPrinted>
  <dcterms:created xsi:type="dcterms:W3CDTF">2022-02-07T20:44:00Z</dcterms:created>
  <dcterms:modified xsi:type="dcterms:W3CDTF">2022-02-07T21:07:00Z</dcterms:modified>
</cp:coreProperties>
</file>