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4981575</wp:posOffset>
            </wp:positionH>
            <wp:positionV relativeFrom="paragraph">
              <wp:posOffset>114300</wp:posOffset>
            </wp:positionV>
            <wp:extent cx="1714500" cy="1847850"/>
            <wp:effectExtent b="0" l="0" r="0" t="0"/>
            <wp:wrapSquare wrapText="bothSides" distB="114300" distT="114300" distL="114300" distR="11430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cabine</w:t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1- Construire un cercle C1 de centre A et de rayon 1,7 cm, puis le cercle C2 de centre A et de rayon 0,8 cm et le cercle C3 de centre A et de rayon 0,3 cm (revenir à la définition du cercle si besoin).</w:t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2- Construire (BC) tel que [BC] soit un diamètre de C2. (BC) coupe C1 en H et I. (H du côté de C et I du côté du B)</w:t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3- Construire (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DE), un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second diamètre de C2, </w:t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perpendiculaire à (BC).</w:t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4- Placer le point L appartenant à (DE) tel que LD = 0,5 cm. L ne doit pas appartenir au disque C2.</w:t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5- Construire la perpendiculaire à (DE) passant par L. Ne pas dépasser C1.</w:t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6- Construire les bissectrice de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CAD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 et de </m:t>
        </m:r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BAD</m:t>
            </m:r>
          </m:e>
        </m:acc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. Elles ne doivent pas dépasser C2.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7- Gommer le disque C3 (sans gommer le cercle).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438150</wp:posOffset>
            </wp:positionV>
            <wp:extent cx="2550862" cy="1566671"/>
            <wp:effectExtent b="0" l="0" r="0" t="0"/>
            <wp:wrapSquare wrapText="bothSides" distB="0" distT="0" distL="0" distR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862" cy="1566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8- Construire le cercle C4 de centre H et de rayon 1,1 cm. </w:t>
        <w:br w:type="textWrapping"/>
        <w:t xml:space="preserve">- Ce cercle coupe C1 en F et G (voir figure → ).</w:t>
        <w:br w:type="textWrapping"/>
        <w:t xml:space="preserve">- Il coupe également C2 en J et K (voir figure→ ).</w:t>
        <w:br w:type="textWrapping"/>
        <w:t xml:space="preserve">- Il coupe aussi [CH) en N.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9- Construire le symétrique de C4 par la symétrie axiale d’axe (DE).</w:t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10- Construire [JG] et [KF].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11- Construire les symétriques [J’G’] et [K’F’] de [JG] et [KF] par la symétrie d’axe (DE).</w:t>
      </w:r>
    </w:p>
    <w:p w:rsidR="00000000" w:rsidDel="00000000" w:rsidP="00000000" w:rsidRDefault="00000000" w:rsidRPr="00000000" w14:paraId="0000000C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jonctions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5005388</wp:posOffset>
            </wp:positionH>
            <wp:positionV relativeFrom="paragraph">
              <wp:posOffset>238125</wp:posOffset>
            </wp:positionV>
            <wp:extent cx="1375360" cy="1328738"/>
            <wp:effectExtent b="0" l="0" r="0" t="0"/>
            <wp:wrapSquare wrapText="bothSides" distB="57150" distT="57150" distL="57150" distR="5715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360" cy="1328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12- placer le point M appartenant à (CH) et n’appartenant pas au disque C1, tel que HM = 2 cm.</w:t>
      </w:r>
    </w:p>
    <w:p w:rsidR="00000000" w:rsidDel="00000000" w:rsidP="00000000" w:rsidRDefault="00000000" w:rsidRPr="00000000" w14:paraId="0000000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13- Construire [ML], [MD], [MK’] et [ME] (ne pas les tracer jusqu’au bout : s’arrêter au cercle C1).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14- Gommer afin d’obtenir la figure ci-contre 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15- Construire le symétrique de cette figure par la symétrie d’axe (DE).</w:t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ailes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4800600</wp:posOffset>
            </wp:positionH>
            <wp:positionV relativeFrom="paragraph">
              <wp:posOffset>85725</wp:posOffset>
            </wp:positionV>
            <wp:extent cx="1792538" cy="1909806"/>
            <wp:effectExtent b="0" l="0" r="0" t="0"/>
            <wp:wrapSquare wrapText="bothSides" distB="57150" distT="57150" distL="57150" distR="5715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538" cy="1909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16- Construire O, milieu de [MN].</w:t>
      </w:r>
    </w:p>
    <w:p w:rsidR="00000000" w:rsidDel="00000000" w:rsidP="00000000" w:rsidRDefault="00000000" w:rsidRPr="00000000" w14:paraId="0000001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17- Placer les points P et Q tel que MP = MQ = 3,5 cm et HP = HQ = 3,8 cm.</w:t>
      </w:r>
    </w:p>
    <w:p w:rsidR="00000000" w:rsidDel="00000000" w:rsidP="00000000" w:rsidRDefault="00000000" w:rsidRPr="00000000" w14:paraId="0000001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18- Placer les points R et S tel que MR = MS = 3,3 cm et HR = HS = 3 cm.</w:t>
      </w:r>
    </w:p>
    <w:p w:rsidR="00000000" w:rsidDel="00000000" w:rsidP="00000000" w:rsidRDefault="00000000" w:rsidRPr="00000000" w14:paraId="0000001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19- Construire [MP], [PR], [RH] puis,  [MQ], [QS], [SH].</w:t>
      </w:r>
    </w:p>
    <w:p w:rsidR="00000000" w:rsidDel="00000000" w:rsidP="00000000" w:rsidRDefault="00000000" w:rsidRPr="00000000" w14:paraId="0000001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20- Construire le symétrique de cette aile par la symétrie d’axe (DE).</w:t>
      </w:r>
    </w:p>
    <w:p w:rsidR="00000000" w:rsidDel="00000000" w:rsidP="00000000" w:rsidRDefault="00000000" w:rsidRPr="00000000" w14:paraId="0000001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76200</wp:posOffset>
            </wp:positionV>
            <wp:extent cx="1933097" cy="2119313"/>
            <wp:effectExtent b="0" l="0" r="0" t="0"/>
            <wp:wrapSquare wrapText="bothSides" distB="0" distT="0" distL="0" distR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97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L’intérieure des ailes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21- Construire la parallèle à (MP) passant par O. Placer ensuite le point T sur cette droite (dans la partie haute) tel que OT = 2,9 cm.</w:t>
      </w:r>
    </w:p>
    <w:p w:rsidR="00000000" w:rsidDel="00000000" w:rsidP="00000000" w:rsidRDefault="00000000" w:rsidRPr="00000000" w14:paraId="0000001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22-Construire la droite parallèle à (PR) passant par T. Placer ensuite le point U sur cette droite (à droite de T) tel que TU = 0,4 cm.</w:t>
      </w:r>
    </w:p>
    <w:p w:rsidR="00000000" w:rsidDel="00000000" w:rsidP="00000000" w:rsidRDefault="00000000" w:rsidRPr="00000000" w14:paraId="0000001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23- Construire la parallèle à (RH) passant par U.</w:t>
      </w:r>
    </w:p>
    <w:p w:rsidR="00000000" w:rsidDel="00000000" w:rsidP="00000000" w:rsidRDefault="00000000" w:rsidRPr="00000000" w14:paraId="0000001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24- Gommer afin d’obtenir la figure ci-contre :</w:t>
      </w:r>
    </w:p>
    <w:p w:rsidR="00000000" w:rsidDel="00000000" w:rsidP="00000000" w:rsidRDefault="00000000" w:rsidRPr="00000000" w14:paraId="0000001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4872038</wp:posOffset>
            </wp:positionH>
            <wp:positionV relativeFrom="paragraph">
              <wp:posOffset>152400</wp:posOffset>
            </wp:positionV>
            <wp:extent cx="1633665" cy="1776413"/>
            <wp:effectExtent b="0" l="0" r="0" t="0"/>
            <wp:wrapSquare wrapText="bothSides" distB="0" distT="0" distL="0" distR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665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25- Construire le symétrique de cette figure par la symétrie d’axe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u w:val="single"/>
          <w:rtl w:val="0"/>
        </w:rPr>
        <w:t xml:space="preserve">(BC)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. </w:t>
        <w:br w:type="textWrapping"/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2475186</wp:posOffset>
            </wp:positionH>
            <wp:positionV relativeFrom="paragraph">
              <wp:posOffset>276225</wp:posOffset>
            </wp:positionV>
            <wp:extent cx="877614" cy="1590675"/>
            <wp:effectExtent b="0" l="0" r="0" t="0"/>
            <wp:wrapSquare wrapText="bothSides" distB="57150" distT="57150" distL="57150" distR="571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614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26- Construire [TU’], [UT’].</w:t>
      </w:r>
    </w:p>
    <w:p w:rsidR="00000000" w:rsidDel="00000000" w:rsidP="00000000" w:rsidRDefault="00000000" w:rsidRPr="00000000" w14:paraId="0000002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38100</wp:posOffset>
            </wp:positionV>
            <wp:extent cx="1848014" cy="1728788"/>
            <wp:effectExtent b="0" l="0" r="0" t="0"/>
            <wp:wrapSquare wrapText="bothSides" distB="0" distT="0" distL="0" distR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014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27- Construire le symétrique de cette figure par la symétrie d’axe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u w:val="single"/>
          <w:rtl w:val="0"/>
        </w:rPr>
        <w:t xml:space="preserve">(DE)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.  </w:t>
      </w:r>
    </w:p>
    <w:p w:rsidR="00000000" w:rsidDel="00000000" w:rsidP="00000000" w:rsidRDefault="00000000" w:rsidRPr="00000000" w14:paraId="0000002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133350</wp:posOffset>
            </wp:positionV>
            <wp:extent cx="2152650" cy="2047875"/>
            <wp:effectExtent b="0" l="0" r="0" t="0"/>
            <wp:wrapSquare wrapText="bothSides" distB="0" distT="0" distL="0" distR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28- Gommer ce qui est superflu.</w:t>
      </w:r>
    </w:p>
    <w:p w:rsidR="00000000" w:rsidDel="00000000" w:rsidP="00000000" w:rsidRDefault="00000000" w:rsidRPr="00000000" w14:paraId="0000002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29- Rajouter quelques éléments décoratifs et </w:t>
      </w:r>
    </w:p>
    <w:p w:rsidR="00000000" w:rsidDel="00000000" w:rsidP="00000000" w:rsidRDefault="00000000" w:rsidRPr="00000000" w14:paraId="0000002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colorier !</w:t>
      </w:r>
    </w:p>
    <w:sectPr>
      <w:headerReference r:id="rId44" w:type="default"/>
      <w:headerReference r:id="rId45" w:type="first"/>
      <w:footerReference r:id="rId46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Chasseur Tie</w:t>
    </w:r>
  </w:p>
  <w:p w:rsidR="00000000" w:rsidDel="00000000" w:rsidP="00000000" w:rsidRDefault="00000000" w:rsidRPr="00000000" w14:paraId="0000002C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Chasseur TIE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4933950</wp:posOffset>
          </wp:positionH>
          <wp:positionV relativeFrom="paragraph">
            <wp:posOffset>1</wp:posOffset>
          </wp:positionV>
          <wp:extent cx="1809750" cy="390525"/>
          <wp:effectExtent b="0" l="0" r="0" t="0"/>
          <wp:wrapSquare wrapText="bothSides" distB="114300" distT="114300" distL="114300" distR="114300"/>
          <wp:docPr id="33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750" cy="390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i w:val="1"/>
        <w:color w:val="222222"/>
        <w:sz w:val="24"/>
        <w:szCs w:val="24"/>
        <w:highlight w:val="white"/>
        <w:rtl w:val="0"/>
      </w:rPr>
      <w:t xml:space="preserve">Les TIE ou chasseurs TIE, de leur nom complet Twin Ion Engines (moteurs ioniques double en f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rançais, se prononçant "taille", "tille" ou "té y eu"), sont une grande famille de vaisseaux et véhicules de l'empire présents dans l'univers de Star Wars.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17.png"/><Relationship Id="rId42" Type="http://schemas.openxmlformats.org/officeDocument/2006/relationships/image" Target="media/image5.png"/><Relationship Id="rId41" Type="http://schemas.openxmlformats.org/officeDocument/2006/relationships/image" Target="media/image14.png"/><Relationship Id="rId22" Type="http://schemas.openxmlformats.org/officeDocument/2006/relationships/image" Target="media/image34.png"/><Relationship Id="rId44" Type="http://schemas.openxmlformats.org/officeDocument/2006/relationships/header" Target="header1.xml"/><Relationship Id="rId21" Type="http://schemas.openxmlformats.org/officeDocument/2006/relationships/image" Target="media/image28.png"/><Relationship Id="rId43" Type="http://schemas.openxmlformats.org/officeDocument/2006/relationships/image" Target="media/image6.png"/><Relationship Id="rId24" Type="http://schemas.openxmlformats.org/officeDocument/2006/relationships/image" Target="media/image32.png"/><Relationship Id="rId46" Type="http://schemas.openxmlformats.org/officeDocument/2006/relationships/footer" Target="footer1.xml"/><Relationship Id="rId23" Type="http://schemas.openxmlformats.org/officeDocument/2006/relationships/image" Target="media/image30.png"/><Relationship Id="rId45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7.png"/><Relationship Id="rId25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8.png"/><Relationship Id="rId7" Type="http://schemas.openxmlformats.org/officeDocument/2006/relationships/image" Target="media/image29.png"/><Relationship Id="rId8" Type="http://schemas.openxmlformats.org/officeDocument/2006/relationships/image" Target="media/image18.png"/><Relationship Id="rId31" Type="http://schemas.openxmlformats.org/officeDocument/2006/relationships/image" Target="media/image1.png"/><Relationship Id="rId30" Type="http://schemas.openxmlformats.org/officeDocument/2006/relationships/image" Target="media/image24.png"/><Relationship Id="rId11" Type="http://schemas.openxmlformats.org/officeDocument/2006/relationships/image" Target="media/image21.png"/><Relationship Id="rId33" Type="http://schemas.openxmlformats.org/officeDocument/2006/relationships/image" Target="media/image9.png"/><Relationship Id="rId10" Type="http://schemas.openxmlformats.org/officeDocument/2006/relationships/image" Target="media/image20.png"/><Relationship Id="rId32" Type="http://schemas.openxmlformats.org/officeDocument/2006/relationships/image" Target="media/image33.png"/><Relationship Id="rId13" Type="http://schemas.openxmlformats.org/officeDocument/2006/relationships/image" Target="media/image22.png"/><Relationship Id="rId35" Type="http://schemas.openxmlformats.org/officeDocument/2006/relationships/image" Target="media/image12.png"/><Relationship Id="rId12" Type="http://schemas.openxmlformats.org/officeDocument/2006/relationships/image" Target="media/image2.png"/><Relationship Id="rId34" Type="http://schemas.openxmlformats.org/officeDocument/2006/relationships/image" Target="media/image36.png"/><Relationship Id="rId15" Type="http://schemas.openxmlformats.org/officeDocument/2006/relationships/image" Target="media/image35.png"/><Relationship Id="rId37" Type="http://schemas.openxmlformats.org/officeDocument/2006/relationships/image" Target="media/image38.png"/><Relationship Id="rId14" Type="http://schemas.openxmlformats.org/officeDocument/2006/relationships/image" Target="media/image13.png"/><Relationship Id="rId36" Type="http://schemas.openxmlformats.org/officeDocument/2006/relationships/image" Target="media/image3.png"/><Relationship Id="rId17" Type="http://schemas.openxmlformats.org/officeDocument/2006/relationships/image" Target="media/image4.png"/><Relationship Id="rId39" Type="http://schemas.openxmlformats.org/officeDocument/2006/relationships/image" Target="media/image39.png"/><Relationship Id="rId16" Type="http://schemas.openxmlformats.org/officeDocument/2006/relationships/image" Target="media/image15.png"/><Relationship Id="rId38" Type="http://schemas.openxmlformats.org/officeDocument/2006/relationships/image" Target="media/image11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