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Run — Mega Audit 2026-04-24 08:03 UTC</w:t>
      </w:r>
    </w:p>
    <w:p>
      <w:pPr>
        <w:ind w:left="454"/>
      </w:pPr>
      <w:r>
        <w:rPr>
          <w:i/>
          <w:color w:val="555555"/>
        </w:rPr>
        <w:t>**Run daté** : relecture complète de la suite mega-scenarios (API + UI) avec archivage des specs et des artefacts horodatés.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🟢 Résultat : 69 / 69 verts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Indicateur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5100"/>
          </w:tcPr>
          <w:p>
            <w:r>
              <w:t>Date du run</w:t>
            </w:r>
          </w:p>
        </w:tc>
        <w:tc>
          <w:tcPr>
            <w:tcW w:type="dxa" w:w="5100"/>
          </w:tcPr>
          <w:p>
            <w:r>
              <w:t>2026-04-24</w:t>
            </w:r>
          </w:p>
        </w:tc>
      </w:tr>
      <w:tr>
        <w:tc>
          <w:tcPr>
            <w:tcW w:type="dxa" w:w="5100"/>
          </w:tcPr>
          <w:p>
            <w:r>
              <w:t>Démarrage</w:t>
            </w:r>
          </w:p>
        </w:tc>
        <w:tc>
          <w:tcPr>
            <w:tcW w:type="dxa" w:w="5100"/>
          </w:tcPr>
          <w:p>
            <w:r>
              <w:t>07:03:42 UTC</w:t>
            </w:r>
          </w:p>
        </w:tc>
      </w:tr>
      <w:tr>
        <w:tc>
          <w:tcPr>
            <w:tcW w:type="dxa" w:w="5100"/>
          </w:tcPr>
          <w:p>
            <w:r>
              <w:t>Fin</w:t>
            </w:r>
          </w:p>
        </w:tc>
        <w:tc>
          <w:tcPr>
            <w:tcW w:type="dxa" w:w="5100"/>
          </w:tcPr>
          <w:p>
            <w:r>
              <w:t>07:04:51 UTC</w:t>
            </w:r>
          </w:p>
        </w:tc>
      </w:tr>
      <w:tr>
        <w:tc>
          <w:tcPr>
            <w:tcW w:type="dxa" w:w="5100"/>
          </w:tcPr>
          <w:p>
            <w:r>
              <w:t>Durée totale</w:t>
            </w:r>
          </w:p>
        </w:tc>
        <w:tc>
          <w:tcPr>
            <w:tcW w:type="dxa" w:w="5100"/>
          </w:tcPr>
          <w:p>
            <w:r>
              <w:t>**1 min 09 s** (66 s)</w:t>
            </w:r>
          </w:p>
        </w:tc>
      </w:tr>
      <w:tr>
        <w:tc>
          <w:tcPr>
            <w:tcW w:type="dxa" w:w="5100"/>
          </w:tcPr>
          <w:p>
            <w:r>
              <w:t>Tests exécutés</w:t>
            </w:r>
          </w:p>
        </w:tc>
        <w:tc>
          <w:tcPr>
            <w:tcW w:type="dxa" w:w="5100"/>
          </w:tcPr>
          <w:p>
            <w:r>
              <w:t>69</w:t>
            </w:r>
          </w:p>
        </w:tc>
      </w:tr>
      <w:tr>
        <w:tc>
          <w:tcPr>
            <w:tcW w:type="dxa" w:w="5100"/>
          </w:tcPr>
          <w:p>
            <w:r>
              <w:t>Tests passés</w:t>
            </w:r>
          </w:p>
        </w:tc>
        <w:tc>
          <w:tcPr>
            <w:tcW w:type="dxa" w:w="5100"/>
          </w:tcPr>
          <w:p>
            <w:r>
              <w:t>**69**</w:t>
            </w:r>
          </w:p>
        </w:tc>
      </w:tr>
      <w:tr>
        <w:tc>
          <w:tcPr>
            <w:tcW w:type="dxa" w:w="5100"/>
          </w:tcPr>
          <w:p>
            <w:r>
              <w:t>Tests échoués</w:t>
            </w:r>
          </w:p>
        </w:tc>
        <w:tc>
          <w:tcPr>
            <w:tcW w:type="dxa" w:w="5100"/>
          </w:tcPr>
          <w:p>
            <w:r>
              <w:t>**0**</w:t>
            </w:r>
          </w:p>
        </w:tc>
      </w:tr>
      <w:tr>
        <w:tc>
          <w:tcPr>
            <w:tcW w:type="dxa" w:w="5100"/>
          </w:tcPr>
          <w:p>
            <w:r>
              <w:t>Tests skipped</w:t>
            </w:r>
          </w:p>
        </w:tc>
        <w:tc>
          <w:tcPr>
            <w:tcW w:type="dxa" w:w="5100"/>
          </w:tcPr>
          <w:p>
            <w:r>
              <w:t>0</w:t>
            </w:r>
          </w:p>
        </w:tc>
      </w:tr>
      <w:tr>
        <w:tc>
          <w:tcPr>
            <w:tcW w:type="dxa" w:w="5100"/>
          </w:tcPr>
          <w:p>
            <w:r>
              <w:t>Événements JSONL</w:t>
            </w:r>
          </w:p>
        </w:tc>
        <w:tc>
          <w:tcPr>
            <w:tcW w:type="dxa" w:w="5100"/>
          </w:tcPr>
          <w:p>
            <w:r>
              <w:t>115</w:t>
            </w:r>
          </w:p>
        </w:tc>
      </w:tr>
      <w:tr>
        <w:tc>
          <w:tcPr>
            <w:tcW w:type="dxa" w:w="5100"/>
          </w:tcPr>
          <w:p>
            <w:r>
              <w:t>Niveaux d'événements</w:t>
            </w:r>
          </w:p>
        </w:tc>
        <w:tc>
          <w:tcPr>
            <w:tcW w:type="dxa" w:w="5100"/>
          </w:tcPr>
          <w:p>
            <w:r>
              <w:t>success=100, warn=12, info=3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Répartition par tenant/portail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Tenant / portail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Événements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Commentaire</w:t>
            </w:r>
          </w:p>
        </w:tc>
      </w:tr>
      <w:tr>
        <w:tc>
          <w:tcPr>
            <w:tcW w:type="dxa" w:w="3400"/>
          </w:tcPr>
          <w:p>
            <w:r>
              <w:t>`congo`</w:t>
            </w:r>
          </w:p>
        </w:tc>
        <w:tc>
          <w:tcPr>
            <w:tcW w:type="dxa" w:w="3400"/>
          </w:tcPr>
          <w:p>
            <w:r>
              <w:t>20</w:t>
            </w:r>
          </w:p>
        </w:tc>
        <w:tc>
          <w:tcPr>
            <w:tcW w:type="dxa" w:w="3400"/>
          </w:tcPr>
          <w:p>
            <w:r>
              <w:t>Congo Express SA — API scénarios (17 tests)</w:t>
            </w:r>
          </w:p>
        </w:tc>
      </w:tr>
      <w:tr>
        <w:tc>
          <w:tcPr>
            <w:tcW w:type="dxa" w:w="3400"/>
          </w:tcPr>
          <w:p>
            <w:r>
              <w:t>`sahel`</w:t>
            </w:r>
          </w:p>
        </w:tc>
        <w:tc>
          <w:tcPr>
            <w:tcW w:type="dxa" w:w="3400"/>
          </w:tcPr>
          <w:p>
            <w:r>
              <w:t>17</w:t>
            </w:r>
          </w:p>
        </w:tc>
        <w:tc>
          <w:tcPr>
            <w:tcW w:type="dxa" w:w="3400"/>
          </w:tcPr>
          <w:p>
            <w:r>
              <w:t>Sahel Transport SARL — semaine + panne (15 tests)</w:t>
            </w:r>
          </w:p>
        </w:tc>
      </w:tr>
      <w:tr>
        <w:tc>
          <w:tcPr>
            <w:tcW w:type="dxa" w:w="3400"/>
          </w:tcPr>
          <w:p>
            <w:r>
              <w:t>`atlas`</w:t>
            </w:r>
          </w:p>
        </w:tc>
        <w:tc>
          <w:tcPr>
            <w:tcW w:type="dxa" w:w="3400"/>
          </w:tcPr>
          <w:p>
            <w:r>
              <w:t>11</w:t>
            </w:r>
          </w:p>
        </w:tc>
        <w:tc>
          <w:tcPr>
            <w:tcW w:type="dxa" w:w="3400"/>
          </w:tcPr>
          <w:p>
            <w:r>
              <w:t>Atlas Bus Lines — mois impayé→recovery (10 tests)</w:t>
            </w:r>
          </w:p>
        </w:tc>
      </w:tr>
      <w:tr>
        <w:tc>
          <w:tcPr>
            <w:tcW w:type="dxa" w:w="3400"/>
          </w:tcPr>
          <w:p>
            <w:r>
              <w:t>`platform`</w:t>
            </w:r>
          </w:p>
        </w:tc>
        <w:tc>
          <w:tcPr>
            <w:tcW w:type="dxa" w:w="3400"/>
          </w:tcPr>
          <w:p>
            <w:r>
              <w:t>9</w:t>
            </w:r>
          </w:p>
        </w:tc>
        <w:tc>
          <w:tcPr>
            <w:tcW w:type="dxa" w:w="3400"/>
          </w:tcPr>
          <w:p>
            <w:r>
              <w:t>Cross-tenant + destruction cascade (8 tests)</w:t>
            </w:r>
          </w:p>
        </w:tc>
      </w:tr>
      <w:tr>
        <w:tc>
          <w:tcPr>
            <w:tcW w:type="dxa" w:w="3400"/>
          </w:tcPr>
          <w:p>
            <w:r>
              <w:t>`congo-ui`</w:t>
            </w:r>
          </w:p>
        </w:tc>
        <w:tc>
          <w:tcPr>
            <w:tcW w:type="dxa" w:w="3400"/>
          </w:tcPr>
          <w:p>
            <w:r>
              <w:t>14</w:t>
            </w:r>
          </w:p>
        </w:tc>
        <w:tc>
          <w:tcPr>
            <w:tcW w:type="dxa" w:w="3400"/>
          </w:tcPr>
          <w:p>
            <w:r>
              <w:t>Signup UI persona Mme Bouanga (Brazzaville)</w:t>
            </w:r>
          </w:p>
        </w:tc>
      </w:tr>
      <w:tr>
        <w:tc>
          <w:tcPr>
            <w:tcW w:type="dxa" w:w="3400"/>
          </w:tcPr>
          <w:p>
            <w:r>
              <w:t>`sahel-ui`</w:t>
            </w:r>
          </w:p>
        </w:tc>
        <w:tc>
          <w:tcPr>
            <w:tcW w:type="dxa" w:w="3400"/>
          </w:tcPr>
          <w:p>
            <w:r>
              <w:t>14</w:t>
            </w:r>
          </w:p>
        </w:tc>
        <w:tc>
          <w:tcPr>
            <w:tcW w:type="dxa" w:w="3400"/>
          </w:tcPr>
          <w:p>
            <w:r>
              <w:t>Signup UI persona M. Diouf (Dakar)</w:t>
            </w:r>
          </w:p>
        </w:tc>
      </w:tr>
      <w:tr>
        <w:tc>
          <w:tcPr>
            <w:tcW w:type="dxa" w:w="3400"/>
          </w:tcPr>
          <w:p>
            <w:r>
              <w:t>`atlas-ui`</w:t>
            </w:r>
          </w:p>
        </w:tc>
        <w:tc>
          <w:tcPr>
            <w:tcW w:type="dxa" w:w="3400"/>
          </w:tcPr>
          <w:p>
            <w:r>
              <w:t>14</w:t>
            </w:r>
          </w:p>
        </w:tc>
        <w:tc>
          <w:tcPr>
            <w:tcW w:type="dxa" w:w="3400"/>
          </w:tcPr>
          <w:p>
            <w:r>
              <w:t>Signup UI persona M. Dubois (Paris, PARCELS)</w:t>
            </w:r>
          </w:p>
        </w:tc>
      </w:tr>
      <w:tr>
        <w:tc>
          <w:tcPr>
            <w:tcW w:type="dxa" w:w="3400"/>
          </w:tcPr>
          <w:p>
            <w:r>
              <w:t>`public`</w:t>
            </w:r>
          </w:p>
        </w:tc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Portail voyageur (landing, tracking, report-vehicle, signup/login)</w:t>
            </w:r>
          </w:p>
        </w:tc>
      </w:tr>
      <w:tr>
        <w:tc>
          <w:tcPr>
            <w:tcW w:type="dxa" w:w="3400"/>
          </w:tcPr>
          <w:p>
            <w:r>
              <w:t>`trans-express`</w:t>
            </w:r>
          </w:p>
        </w:tc>
        <w:tc>
          <w:tcPr>
            <w:tcW w:type="dxa" w:w="3400"/>
          </w:tcPr>
          <w:p>
            <w:r>
              <w:t>12</w:t>
            </w:r>
          </w:p>
        </w:tc>
        <w:tc>
          <w:tcPr>
            <w:tcW w:type="dxa" w:w="3400"/>
          </w:tcPr>
          <w:p>
            <w:r>
              <w:t>Admin UI journey — 10 mois × 1 page + gate + bilan</w:t>
            </w:r>
          </w:p>
        </w:tc>
      </w:tr>
      <w:tr>
        <w:tc>
          <w:tcPr>
            <w:tcW w:type="dxa" w:w="3400"/>
          </w:tcPr>
          <w:p>
            <w:r>
              <w:t>**Total**</w:t>
            </w:r>
          </w:p>
        </w:tc>
        <w:tc>
          <w:tcPr>
            <w:tcW w:type="dxa" w:w="3400"/>
          </w:tcPr>
          <w:p>
            <w:r>
              <w:t>**115**</w:t>
            </w:r>
          </w:p>
        </w:tc>
        <w:tc>
          <w:tcPr>
            <w:tcW w:type="dxa" w:w="3400"/>
          </w:tcPr>
          <w:p>
            <w:r>
              <w:t>—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Répartition par projet Playwright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Projet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Durée</w:t>
            </w:r>
          </w:p>
        </w:tc>
      </w:tr>
      <w:tr>
        <w:tc>
          <w:tcPr>
            <w:tcW w:type="dxa" w:w="3400"/>
          </w:tcPr>
          <w:p>
            <w:r>
              <w:t>`api`</w:t>
            </w:r>
          </w:p>
        </w:tc>
        <w:tc>
          <w:tcPr>
            <w:tcW w:type="dxa" w:w="3400"/>
          </w:tcPr>
          <w:p>
            <w:r>
              <w:t>50</w:t>
            </w:r>
          </w:p>
        </w:tc>
        <w:tc>
          <w:tcPr>
            <w:tcW w:type="dxa" w:w="3400"/>
          </w:tcPr>
          <w:p>
            <w:r>
              <w:t>~20 s</w:t>
            </w:r>
          </w:p>
        </w:tc>
      </w:tr>
      <w:tr>
        <w:tc>
          <w:tcPr>
            <w:tcW w:type="dxa" w:w="3400"/>
          </w:tcPr>
          <w:p>
            <w:r>
              <w:t>`public` (signup + voyageur)</w:t>
            </w:r>
          </w:p>
        </w:tc>
        <w:tc>
          <w:tcPr>
            <w:tcW w:type="dxa" w:w="3400"/>
          </w:tcPr>
          <w:p>
            <w:r>
              <w:t>7</w:t>
            </w:r>
          </w:p>
        </w:tc>
        <w:tc>
          <w:tcPr>
            <w:tcW w:type="dxa" w:w="3400"/>
          </w:tcPr>
          <w:p>
            <w:r>
              <w:t>~23 s</w:t>
            </w:r>
          </w:p>
        </w:tc>
      </w:tr>
      <w:tr>
        <w:tc>
          <w:tcPr>
            <w:tcW w:type="dxa" w:w="3400"/>
          </w:tcPr>
          <w:p>
            <w:r>
              <w:t>`tenant-admin` (journey UI)</w:t>
            </w:r>
          </w:p>
        </w:tc>
        <w:tc>
          <w:tcPr>
            <w:tcW w:type="dxa" w:w="3400"/>
          </w:tcPr>
          <w:p>
            <w:r>
              <w:t>12</w:t>
            </w:r>
          </w:p>
        </w:tc>
        <w:tc>
          <w:tcPr>
            <w:tcW w:type="dxa" w:w="3400"/>
          </w:tcPr>
          <w:p>
            <w:r>
              <w:t>~8 s</w:t>
            </w:r>
          </w:p>
        </w:tc>
      </w:tr>
      <w:tr>
        <w:tc>
          <w:tcPr>
            <w:tcW w:type="dxa" w:w="3400"/>
          </w:tcPr>
          <w:p>
            <w:r>
              <w:t>**Total**</w:t>
            </w:r>
          </w:p>
        </w:tc>
        <w:tc>
          <w:tcPr>
            <w:tcW w:type="dxa" w:w="3400"/>
          </w:tcPr>
          <w:p>
            <w:r>
              <w:t>**69**</w:t>
            </w:r>
          </w:p>
        </w:tc>
        <w:tc>
          <w:tcPr>
            <w:tcW w:type="dxa" w:w="3400"/>
          </w:tcPr>
          <w:p>
            <w:r>
              <w:t>**66 s**</w:t>
            </w:r>
          </w:p>
        </w:tc>
      </w:tr>
    </w:tbl>
    <w:p>
      <w:r>
        <w:t>——————————————————————————————</w:t>
      </w:r>
    </w:p>
    <w:p>
      <w:pPr>
        <w:pStyle w:val="Heading2"/>
      </w:pPr>
      <w:r>
        <w:t>Snapshots livrés avec ce run</w:t>
      </w:r>
    </w:p>
    <w:p>
      <w:pPr>
        <w:pStyle w:val="Heading3"/>
      </w:pPr>
      <w:r>
        <w:t>Artefacts du run (horodatés)</w:t>
      </w:r>
    </w:p>
    <w:p>
      <w:pPr>
        <w:pStyle w:val="ListBullet"/>
      </w:pPr>
      <w:r>
        <w:rPr>
          <w:rFonts w:ascii="Consolas" w:hAnsi="Consolas"/>
          <w:sz w:val="19"/>
        </w:rPr>
        <w:t>scenario-events_2026-04-24_0803.jsonl</w:t>
      </w:r>
      <w:r>
        <w:t xml:space="preserve"> — 115 événements JSONL</w:t>
      </w:r>
    </w:p>
    <w:p>
      <w:pPr>
        <w:pStyle w:val="ListBullet"/>
      </w:pPr>
      <w:r>
        <w:rPr>
          <w:rFonts w:ascii="Consolas" w:hAnsi="Consolas"/>
          <w:sz w:val="19"/>
        </w:rPr>
        <w:t>run-output_2026-04-24_0803.txt</w:t>
      </w:r>
      <w:r>
        <w:t xml:space="preserve"> — sortie Playwright complète</w:t>
      </w:r>
    </w:p>
    <w:p>
      <w:pPr>
        <w:pStyle w:val="ListBullet"/>
      </w:pPr>
      <w:r>
        <w:rPr>
          <w:rFonts w:ascii="Consolas" w:hAnsi="Consolas"/>
          <w:sz w:val="19"/>
        </w:rPr>
        <w:t>RUN_REPORT_2026-04-24_0803.md</w:t>
      </w:r>
      <w:r>
        <w:t xml:space="preserve"> / </w:t>
      </w:r>
      <w:r>
        <w:rPr>
          <w:rFonts w:ascii="Consolas" w:hAnsi="Consolas"/>
          <w:sz w:val="19"/>
        </w:rPr>
        <w:t>.docx</w:t>
      </w:r>
      <w:r>
        <w:t xml:space="preserve"> — ce rapport</w:t>
      </w:r>
    </w:p>
    <w:p>
      <w:pPr>
        <w:pStyle w:val="Heading3"/>
      </w:pPr>
      <w:r>
        <w:t>Snapshot figé des specs</w:t>
      </w:r>
    </w:p>
    <w:p>
      <w:r>
        <w:t>Les fichiers source du run sont archivés dans :</w:t>
      </w:r>
    </w:p>
    <w:p>
      <w:pPr>
        <w:pStyle w:val="ListBullet"/>
      </w:pPr>
      <w:r>
        <w:rPr>
          <w:rFonts w:ascii="Consolas" w:hAnsi="Consolas"/>
          <w:sz w:val="19"/>
        </w:rPr>
        <w:t>test/playwright/mega-scenarios/archive-2026-04-24/</w:t>
      </w:r>
    </w:p>
    <w:p>
      <w:pPr>
        <w:pStyle w:val="ListBullet"/>
      </w:pPr>
      <w:r>
        <w:rPr>
          <w:rFonts w:ascii="Consolas" w:hAnsi="Consolas"/>
          <w:sz w:val="19"/>
        </w:rPr>
        <w:t>01-tenant-congo-express.api.spec.ts.snapshot</w:t>
      </w:r>
    </w:p>
    <w:p>
      <w:pPr>
        <w:pStyle w:val="ListBullet"/>
      </w:pPr>
      <w:r>
        <w:rPr>
          <w:rFonts w:ascii="Consolas" w:hAnsi="Consolas"/>
          <w:sz w:val="19"/>
        </w:rPr>
        <w:t>02-tenant-sahel-transport.api.spec.ts.snapshot</w:t>
      </w:r>
    </w:p>
    <w:p>
      <w:pPr>
        <w:pStyle w:val="ListBullet"/>
      </w:pPr>
      <w:r>
        <w:rPr>
          <w:rFonts w:ascii="Consolas" w:hAnsi="Consolas"/>
          <w:sz w:val="19"/>
        </w:rPr>
        <w:t>03-tenant-atlas-bus.api.spec.ts.snapshot</w:t>
      </w:r>
    </w:p>
    <w:p>
      <w:pPr>
        <w:pStyle w:val="ListBullet"/>
      </w:pPr>
      <w:r>
        <w:rPr>
          <w:rFonts w:ascii="Consolas" w:hAnsi="Consolas"/>
          <w:sz w:val="19"/>
        </w:rPr>
        <w:t>04-cross-tenant-and-destruction.api.spec.ts.snapshot</w:t>
      </w:r>
    </w:p>
    <w:p>
      <w:pPr>
        <w:pStyle w:val="ListBullet"/>
      </w:pPr>
      <w:r>
        <w:rPr>
          <w:rFonts w:ascii="Consolas" w:hAnsi="Consolas"/>
          <w:sz w:val="19"/>
        </w:rPr>
        <w:t>10-saas-signup-via-ui.public.pw.spec.ts.snapshot</w:t>
      </w:r>
    </w:p>
    <w:p>
      <w:pPr>
        <w:pStyle w:val="ListBullet"/>
      </w:pPr>
      <w:r>
        <w:rPr>
          <w:rFonts w:ascii="Consolas" w:hAnsi="Consolas"/>
          <w:sz w:val="19"/>
        </w:rPr>
        <w:t>11-admin-portal-journey.tenant.pw.spec.ts.snapshot</w:t>
      </w:r>
    </w:p>
    <w:p>
      <w:pPr>
        <w:pStyle w:val="ListBullet"/>
      </w:pPr>
      <w:r>
        <w:rPr>
          <w:rFonts w:ascii="Consolas" w:hAnsi="Consolas"/>
          <w:sz w:val="19"/>
        </w:rPr>
        <w:t>12-traveler-portal.public.pw.spec.ts.snapshot</w:t>
      </w:r>
    </w:p>
    <w:p>
      <w:pPr>
        <w:pStyle w:val="ListBullet"/>
      </w:pPr>
      <w:r>
        <w:rPr>
          <w:rFonts w:ascii="Consolas" w:hAnsi="Consolas"/>
          <w:sz w:val="19"/>
        </w:rPr>
        <w:t>mega-tenants.fixture.ts.snapshot</w:t>
      </w:r>
    </w:p>
    <w:p>
      <w:r>
        <w:t xml:space="preserve">L'extension </w:t>
      </w:r>
      <w:r>
        <w:rPr>
          <w:rFonts w:ascii="Consolas" w:hAnsi="Consolas"/>
          <w:sz w:val="19"/>
        </w:rPr>
        <w:t>.snapshot</w:t>
      </w:r>
      <w:r>
        <w:t xml:space="preserve"> est volontaire : Playwright ne les exécute pas (testMatch attend </w:t>
      </w:r>
      <w:r>
        <w:rPr>
          <w:rFonts w:ascii="Consolas" w:hAnsi="Consolas"/>
          <w:sz w:val="19"/>
        </w:rPr>
        <w:t>.api.spec.ts</w:t>
      </w:r>
      <w:r>
        <w:t xml:space="preserve"> / </w:t>
      </w:r>
      <w:r>
        <w:rPr>
          <w:rFonts w:ascii="Consolas" w:hAnsi="Consolas"/>
          <w:sz w:val="19"/>
        </w:rPr>
        <w:t>.tenant.pw.spec.ts</w:t>
      </w:r>
      <w:r>
        <w:t xml:space="preserve"> / </w:t>
      </w:r>
      <w:r>
        <w:rPr>
          <w:rFonts w:ascii="Consolas" w:hAnsi="Consolas"/>
          <w:sz w:val="19"/>
        </w:rPr>
        <w:t>.public.pw.spec.ts</w:t>
      </w:r>
      <w:r>
        <w:t>), mais le contenu est conservé tel qu'exécuté ce jour.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Stabilité vs run précédent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Run 01:33 UTC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Run 08:03 UTC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Δ</w:t>
            </w:r>
          </w:p>
        </w:tc>
      </w:tr>
      <w:tr>
        <w:tc>
          <w:tcPr>
            <w:tcW w:type="dxa" w:w="2550"/>
          </w:tcPr>
          <w:p>
            <w:r>
              <w:t>Tests verts</w:t>
            </w:r>
          </w:p>
        </w:tc>
        <w:tc>
          <w:tcPr>
            <w:tcW w:type="dxa" w:w="2550"/>
          </w:tcPr>
          <w:p>
            <w:r>
              <w:t>69/69</w:t>
            </w:r>
          </w:p>
        </w:tc>
        <w:tc>
          <w:tcPr>
            <w:tcW w:type="dxa" w:w="2550"/>
          </w:tcPr>
          <w:p>
            <w:r>
              <w:t>69/69</w:t>
            </w:r>
          </w:p>
        </w:tc>
        <w:tc>
          <w:tcPr>
            <w:tcW w:type="dxa" w:w="2550"/>
          </w:tcPr>
          <w:p>
            <w:r>
              <w:t>identique</w:t>
            </w:r>
          </w:p>
        </w:tc>
      </w:tr>
      <w:tr>
        <w:tc>
          <w:tcPr>
            <w:tcW w:type="dxa" w:w="2550"/>
          </w:tcPr>
          <w:p>
            <w:r>
              <w:t>Durée</w:t>
            </w:r>
          </w:p>
        </w:tc>
        <w:tc>
          <w:tcPr>
            <w:tcW w:type="dxa" w:w="2550"/>
          </w:tcPr>
          <w:p>
            <w:r>
              <w:t>42,6 s</w:t>
            </w:r>
          </w:p>
        </w:tc>
        <w:tc>
          <w:tcPr>
            <w:tcW w:type="dxa" w:w="2550"/>
          </w:tcPr>
          <w:p>
            <w:r>
              <w:t>66 s</w:t>
            </w:r>
          </w:p>
        </w:tc>
        <w:tc>
          <w:tcPr>
            <w:tcW w:type="dxa" w:w="2550"/>
          </w:tcPr>
          <w:p>
            <w:r>
              <w:t>+23 s</w:t>
            </w:r>
          </w:p>
        </w:tc>
      </w:tr>
      <w:tr>
        <w:tc>
          <w:tcPr>
            <w:tcW w:type="dxa" w:w="2550"/>
          </w:tcPr>
          <w:p>
            <w:r>
              <w:t>Événements JSONL</w:t>
            </w:r>
          </w:p>
        </w:tc>
        <w:tc>
          <w:tcPr>
            <w:tcW w:type="dxa" w:w="2550"/>
          </w:tcPr>
          <w:p>
            <w:r>
              <w:t>115</w:t>
            </w:r>
          </w:p>
        </w:tc>
        <w:tc>
          <w:tcPr>
            <w:tcW w:type="dxa" w:w="2550"/>
          </w:tcPr>
          <w:p>
            <w:r>
              <w:t>115</w:t>
            </w:r>
          </w:p>
        </w:tc>
        <w:tc>
          <w:tcPr>
            <w:tcW w:type="dxa" w:w="2550"/>
          </w:tcPr>
          <w:p>
            <w:r>
              <w:t>identique</w:t>
            </w:r>
          </w:p>
        </w:tc>
      </w:tr>
    </w:tbl>
    <w:p>
      <w:r>
        <w:rPr>
          <w:b/>
        </w:rPr>
        <w:t>Écart de durée</w:t>
      </w:r>
      <w:r>
        <w:t xml:space="preserve"> : le second run inclut une phase de cleanup des résidus </w:t>
      </w:r>
      <w:r>
        <w:rPr>
          <w:rFonts w:ascii="Consolas" w:hAnsi="Consolas"/>
          <w:sz w:val="19"/>
        </w:rPr>
        <w:t>mega-*</w:t>
      </w:r>
      <w:r>
        <w:t xml:space="preserve"> du run précédent (3 tenants + leur arborescence de 45+ tables enfant). En régime stationnaire, les runs successifs doivent tous tenir en ~45-60 s.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Contrôles de non-régression observés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ISO-1/2/3</w:t>
      </w:r>
      <w:r>
        <w:t xml:space="preserve"> : aucune fuite cross-tenant (admin Congo refusé sur Atlas, Sahel refusé sur Congo)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CE-RBAC-1</w:t>
      </w:r>
      <w:r>
        <w:t xml:space="preserve"> : caissier bloqué pour émettre un voucher (401/403)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CE-ANALYTICS-2</w:t>
      </w:r>
      <w:r>
        <w:t xml:space="preserve"> : manager d'agence refusé sur analytics tenant-wide (403)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DEST-3</w:t>
      </w:r>
      <w:r>
        <w:t xml:space="preserve"> : destruction cascade propre — 0 bus / 0 ticket / 0 trip résiduel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sz w:val="19"/>
        </w:rPr>
        <w:t>AT-W2-2</w:t>
      </w:r>
      <w:r>
        <w:t xml:space="preserve"> : </w:t>
      </w:r>
      <w:r>
        <w:rPr>
          <w:rFonts w:ascii="Consolas" w:hAnsi="Consolas"/>
          <w:sz w:val="19"/>
        </w:rPr>
        <w:t>SubscriptionGuard</w:t>
      </w:r>
      <w:r>
        <w:t xml:space="preserve"> laisse passer les ventes en </w:t>
      </w:r>
      <w:r>
        <w:rPr>
          <w:rFonts w:ascii="Consolas" w:hAnsi="Consolas"/>
          <w:sz w:val="19"/>
        </w:rPr>
        <w:t>GRACE_PERIOD</w:t>
      </w:r>
    </w:p>
    <w:p>
      <w:pPr>
        <w:pStyle w:val="ListBullet"/>
      </w:pPr>
      <w:r>
        <w:t>✅ Les 11 pages admin (/admin, /admin/trips, …, /admin/support) répondent sans redirection vers /login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Commande exacte rejouée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Reset event log (pour capturer uniquement ce run)</w:t>
        <w:br/>
        <w:t>&gt; reports/mega-audit-2026-04-24/scenario-events.jsonl</w:t>
        <w:br/>
        <w:br/>
        <w:t># Run complet API + UI (env PLAYWRIGHT_BROWSER=1 active le projet browser)</w:t>
        <w:br/>
        <w:t>PLAYWRIGHT_BROWSER=1 npx playwright test \</w:t>
        <w:br/>
        <w:t xml:space="preserve">  --workers=1 \</w:t>
        <w:br/>
        <w:t xml:space="preserve">  test/playwright/mega-scenarios/ \</w:t>
        <w:br/>
        <w:t xml:space="preserve">  --reporter=list</w:t>
      </w:r>
    </w:p>
    <w:p>
      <w:r>
        <w:t>——————————————————————————————</w:t>
      </w:r>
    </w:p>
    <w:p>
      <w:r>
        <w:t>*Rapport généré à l'issue du run 2026-04-24 08:03 UTC — 69/69 verts reproductibles.*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