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26A64" w14:textId="77777777" w:rsidR="007C2226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  <w:r w:rsidRPr="006B0672">
        <w:rPr>
          <w:b/>
          <w:color w:val="FF0000"/>
          <w:sz w:val="40"/>
          <w:szCs w:val="40"/>
          <w:u w:val="single"/>
          <w:lang w:val="fr-CH"/>
        </w:rPr>
        <w:t>Cas d’utilisations</w:t>
      </w:r>
    </w:p>
    <w:p w14:paraId="38482E82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442D0333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0DE08A6E" w14:textId="77777777" w:rsidR="006B0672" w:rsidRDefault="006B0672" w:rsidP="006B0672">
      <w:pPr>
        <w:jc w:val="center"/>
        <w:rPr>
          <w:b/>
          <w:color w:val="FF0000"/>
          <w:sz w:val="40"/>
          <w:szCs w:val="40"/>
          <w:lang w:val="fr-CH"/>
        </w:rPr>
      </w:pPr>
      <w:r w:rsidRPr="006B0672">
        <w:rPr>
          <w:b/>
          <w:noProof/>
          <w:color w:val="FF0000"/>
          <w:sz w:val="40"/>
          <w:szCs w:val="40"/>
          <w:lang w:eastAsia="fr-FR"/>
        </w:rPr>
        <w:drawing>
          <wp:inline distT="0" distB="0" distL="0" distR="0" wp14:anchorId="730D5359" wp14:editId="6143693A">
            <wp:extent cx="5756910" cy="427926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5BB3" w14:textId="77777777" w:rsidR="006B0672" w:rsidRDefault="006B0672" w:rsidP="006B0672">
      <w:pPr>
        <w:jc w:val="center"/>
        <w:rPr>
          <w:b/>
          <w:color w:val="FF0000"/>
          <w:sz w:val="40"/>
          <w:szCs w:val="40"/>
          <w:lang w:val="fr-CH"/>
        </w:rPr>
      </w:pPr>
    </w:p>
    <w:p w14:paraId="6C69D5A4" w14:textId="77777777" w:rsidR="006B0672" w:rsidRDefault="006B0672" w:rsidP="006B0672">
      <w:pPr>
        <w:jc w:val="center"/>
        <w:rPr>
          <w:color w:val="000000" w:themeColor="text1"/>
          <w:sz w:val="40"/>
          <w:szCs w:val="40"/>
          <w:lang w:val="fr-CH"/>
        </w:rPr>
      </w:pPr>
      <w:r w:rsidRPr="006B0672">
        <w:rPr>
          <w:color w:val="000000" w:themeColor="text1"/>
          <w:sz w:val="40"/>
          <w:szCs w:val="40"/>
          <w:lang w:val="fr-CH"/>
        </w:rPr>
        <w:t>Cas d’utilisation de Diagramme du diagramme de package « authentification</w:t>
      </w:r>
    </w:p>
    <w:p w14:paraId="1DD0D13B" w14:textId="77777777" w:rsidR="000844A7" w:rsidRDefault="000844A7" w:rsidP="000844A7">
      <w:pPr>
        <w:rPr>
          <w:color w:val="000000" w:themeColor="text1"/>
          <w:sz w:val="28"/>
          <w:szCs w:val="28"/>
          <w:lang w:val="fr-CH"/>
        </w:rPr>
      </w:pPr>
    </w:p>
    <w:p w14:paraId="6EF7762F" w14:textId="3699C0A3" w:rsidR="000844A7" w:rsidRDefault="000844A7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Dans le package authentification, tous les acteurs l’utiliseront car chaque acteur doit s’identifier afin que le système lui propose les fonctionnalités dont il a besoin.</w:t>
      </w:r>
    </w:p>
    <w:p w14:paraId="21BBA445" w14:textId="5A968E48" w:rsidR="000844A7" w:rsidRPr="000844A7" w:rsidRDefault="000844A7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C’est pour cela que j’ai procédé à une spécialisation d’acteur où tous les acteurs peuvent être représentés par un seul acteur « utilisateur »</w:t>
      </w:r>
      <w:bookmarkStart w:id="0" w:name="_GoBack"/>
      <w:bookmarkEnd w:id="0"/>
    </w:p>
    <w:sectPr w:rsidR="000844A7" w:rsidRPr="000844A7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672"/>
    <w:rsid w:val="000844A7"/>
    <w:rsid w:val="006B0672"/>
    <w:rsid w:val="007951DC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D2A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63</Words>
  <Characters>350</Characters>
  <Application>Microsoft Macintosh Word</Application>
  <DocSecurity>0</DocSecurity>
  <Lines>2</Lines>
  <Paragraphs>1</Paragraphs>
  <ScaleCrop>false</ScaleCrop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2</cp:revision>
  <dcterms:created xsi:type="dcterms:W3CDTF">2017-11-11T07:37:00Z</dcterms:created>
  <dcterms:modified xsi:type="dcterms:W3CDTF">2017-11-12T09:54:00Z</dcterms:modified>
</cp:coreProperties>
</file>