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 ExxonMobil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[Net Profit]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Exact Answer: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-56 billion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Possible Questions: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-What is the net profit of 2022?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-Did the company earn money in 2022?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-How much did the company earn in 2022?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-What is the total profit of the company?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[Emissions]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Possible Answer: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-100% elimination of routine flaring in Permain-operated assets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-&gt;10% reduction in corporate-wide greenhouse gas intensity versus 2016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-&gt;50% reduction in methane intensity from all operated assets since 2016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-other possible answers in the document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Possible Questions: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-How did the company perform in reducing greenhouse gas emissions?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-How did the company perform in reducing GHG emissions?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[ROCE]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Exact Answer: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-25% ROCE with $23B in capex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Possible Questions: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-What is the company’s ROCE?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-What is the company’s Return on Capital Employed?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 ExxonMobil 2018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-How does the project execution outperform the industry average?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-A rigorous approach to project development, supported by decades of large-scale project experience across multiple geographies and resource types, is enabling key developments like Guyana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-What is ExxonMobil’s financial strength?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-see pg13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-What percentage is ExxonMobil’s operating cost lower than industry average?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-15 percent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