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400"/>
        <w:jc w:val="center"/>
      </w:pPr>
      <w:r>
        <w:rPr>
          <w:rFonts w:ascii="Arial" w:cs="Arial" w:eastAsia="Arial" w:hAnsi="Arial"/>
          <w:b/>
          <w:bCs/>
          <w:color w:val="1D4E89"/>
          <w:sz w:val="52"/>
          <w:szCs w:val="52"/>
        </w:rPr>
        <w:t xml:space="preserve">ID IMMOBILIER</w:t>
      </w:r>
    </w:p>
    <w:p>
      <w:pPr>
        <w:spacing w:after="80" w:before="0"/>
        <w:jc w:val="center"/>
      </w:pPr>
      <w:r>
        <w:rPr>
          <w:rFonts w:ascii="Arial" w:cs="Arial" w:eastAsia="Arial" w:hAnsi="Arial"/>
          <w:color w:val="E85D04"/>
          <w:sz w:val="30"/>
          <w:szCs w:val="30"/>
        </w:rPr>
        <w:t xml:space="preserve">Script de Présentation</w:t>
      </w:r>
    </w:p>
    <w:p>
      <w:pPr>
        <w:spacing w:after="60" w:before="0"/>
        <w:jc w:val="center"/>
      </w:pPr>
      <w:r>
        <w:rPr>
          <w:rFonts w:ascii="Arial" w:cs="Arial" w:eastAsia="Arial" w:hAnsi="Arial"/>
          <w:i/>
          <w:iCs/>
          <w:color w:val="5A7A8A"/>
          <w:sz w:val="22"/>
          <w:szCs w:val="22"/>
        </w:rPr>
        <w:t xml:space="preserve">Pipeline Big Data · Marché Immobilier du Togo</w:t>
      </w:r>
    </w:p>
    <w:p>
      <w:pPr>
        <w:spacing w:after="500" w:before="0"/>
        <w:jc w:val="center"/>
      </w:pPr>
      <w:r>
        <w:rPr>
          <w:rFonts w:ascii="Arial" w:cs="Arial" w:eastAsia="Arial" w:hAnsi="Arial"/>
          <w:color w:val="5A7A8A"/>
          <w:sz w:val="20"/>
          <w:szCs w:val="20"/>
        </w:rPr>
        <w:t xml:space="preserve">2025–2026</w:t>
      </w:r>
    </w:p>
    <w:p>
      <w:pPr>
        <w:pBdr>
          <w:bottom w:val="single" w:color="028090" w:sz="6" w:space="1"/>
        </w:pBdr>
        <w:spacing w:after="200" w:before="200"/>
      </w:pPr>
      <w:r>
        <w:t xml:space="preserve"/>
      </w:r>
    </w:p>
    <w:p>
      <w:pPr>
        <w:spacing w:after="120" w:before="120"/>
      </w:pPr>
      <w:r>
        <w:t xml:space="preserve"/>
      </w:r>
    </w:p>
    <w:p>
      <w:pPr>
        <w:spacing w:after="80" w:before="200"/>
        <w:jc w:val="center"/>
      </w:pPr>
      <w:r>
        <w:rPr>
          <w:rFonts w:ascii="Arial" w:cs="Arial" w:eastAsia="Arial" w:hAnsi="Arial"/>
          <w:b/>
          <w:bCs/>
          <w:color w:val="028090"/>
          <w:sz w:val="20"/>
          <w:szCs w:val="20"/>
        </w:rPr>
        <w:t xml:space="preserve">Durée totale estimée : 10 à 15 minutes</w:t>
      </w:r>
    </w:p>
    <w:p>
      <w:pPr>
        <w:spacing w:after="200" w:before="0"/>
        <w:jc w:val="center"/>
      </w:pPr>
      <w:r>
        <w:rPr>
          <w:rFonts w:ascii="Arial" w:cs="Arial" w:eastAsia="Arial" w:hAnsi="Arial"/>
          <w:i/>
          <w:iCs/>
          <w:color w:val="5A7A8A"/>
          <w:sz w:val="18"/>
          <w:szCs w:val="18"/>
        </w:rPr>
        <w:t xml:space="preserve">Les encadrés [ ... ] sont des indications de mise en scène, pas à lire.</w:t>
      </w:r>
    </w:p>
    <w:p>
      <w:pPr>
        <w:spacing w:after="120" w:before="120"/>
      </w:pPr>
      <w:r>
        <w:t xml:space="preserve"/>
      </w:r>
    </w:p>
    <w:p>
      <w:pPr>
        <w:spacing w:after="120" w:before="120"/>
      </w:pPr>
      <w:r>
        <w:t xml:space="preserve"/>
      </w:r>
    </w:p>
    <w:p>
      <w:r>
        <w:br w:type="page"/>
      </w:r>
    </w:p>
    <w:p>
      <w:pPr>
        <w:pStyle w:val="Heading1"/>
        <w:spacing w:after="160" w:before="360"/>
      </w:pPr>
      <w:r>
        <w:rPr>
          <w:rFonts w:ascii="Arial" w:cs="Arial" w:eastAsia="Arial" w:hAnsi="Arial"/>
          <w:b/>
          <w:bCs/>
          <w:color w:val="1D4E89"/>
          <w:sz w:val="30"/>
          <w:szCs w:val="30"/>
        </w:rPr>
        <w:t xml:space="preserve">1. Introduction — Accrocher l'audience</w:t>
      </w:r>
    </w:p>
    <w:p>
      <w:pPr>
        <w:spacing w:after="100" w:before="40"/>
      </w:pPr>
      <w:r>
        <w:rPr>
          <w:rFonts w:ascii="Arial" w:cs="Arial" w:eastAsia="Arial" w:hAnsi="Arial"/>
          <w:b/>
          <w:bCs/>
          <w:color w:val="5A7A8A"/>
          <w:sz w:val="18"/>
          <w:szCs w:val="18"/>
        </w:rPr>
        <w:t xml:space="preserve">⏱ 1 à 2 minutes</w:t>
      </w:r>
    </w:p>
    <w:p>
      <w:pPr>
        <w:spacing w:after="60" w:before="60" w:line="320"/>
        <w:ind w:left="720"/>
      </w:pPr>
      <w:r>
        <w:rPr>
          <w:rFonts w:ascii="Arial" w:cs="Arial" w:eastAsia="Arial" w:hAnsi="Arial"/>
          <w:i/>
          <w:iCs/>
          <w:color w:val="028090"/>
          <w:sz w:val="20"/>
          <w:szCs w:val="20"/>
        </w:rPr>
        <w:t xml:space="preserve">[ Regarder l'audience. Parler posément. Ne pas lire. ]</w:t>
      </w:r>
    </w:p>
    <w:p>
      <w:pPr>
        <w:spacing w:after="120" w:before="120"/>
      </w:pPr>
      <w:r>
        <w:t xml:space="preserve"/>
      </w:r>
    </w:p>
    <w:p>
      <w:pPr>
        <w:spacing w:after="80" w:before="80" w:line="360"/>
      </w:pPr>
      <w:r>
        <w:rPr>
          <w:rFonts w:ascii="Arial" w:cs="Arial" w:eastAsia="Arial" w:hAnsi="Arial"/>
          <w:color w:val="2A3D4A"/>
          <w:sz w:val="22"/>
          <w:szCs w:val="22"/>
        </w:rPr>
        <w:t xml:space="preserve">Bonjour à tous.</w:t>
      </w:r>
    </w:p>
    <w:p>
      <w:pPr>
        <w:spacing w:after="120" w:before="120"/>
      </w:pPr>
      <w:r>
        <w:t xml:space="preserve"/>
      </w:r>
    </w:p>
    <w:p>
      <w:pPr>
        <w:spacing w:after="80" w:before="80" w:line="360"/>
      </w:pPr>
      <w:r>
        <w:rPr>
          <w:rFonts w:ascii="Arial" w:cs="Arial" w:eastAsia="Arial" w:hAnsi="Arial"/>
          <w:color w:val="2A3D4A"/>
          <w:sz w:val="22"/>
          <w:szCs w:val="22"/>
        </w:rPr>
        <w:t xml:space="preserve">Je vais vous présenter aujourd'hui un projet sur lequel j'ai travaillé : ID Immobilier — une plateforme de transparence du marché immobilier au Togo.</w:t>
      </w:r>
    </w:p>
    <w:p>
      <w:pPr>
        <w:spacing w:after="120" w:before="120"/>
      </w:pPr>
      <w:r>
        <w:t xml:space="preserve"/>
      </w:r>
    </w:p>
    <w:p>
      <w:pPr>
        <w:spacing w:after="80" w:before="80" w:line="360"/>
      </w:pPr>
      <w:r>
        <w:rPr>
          <w:rFonts w:ascii="Arial" w:cs="Arial" w:eastAsia="Arial" w:hAnsi="Arial"/>
          <w:color w:val="2A3D4A"/>
          <w:sz w:val="22"/>
          <w:szCs w:val="22"/>
        </w:rPr>
        <w:t xml:space="preserve">Permettez-moi de commencer par une question simple :</w:t>
      </w:r>
    </w:p>
    <w:p>
      <w:pPr>
        <w:spacing w:after="120" w:before="120"/>
      </w:pPr>
      <w:r>
        <w:t xml:space="preserve"/>
      </w:r>
    </w:p>
    <w:p>
      <w:pPr>
        <w:spacing w:after="160" w:before="160"/>
        <w:jc w:val="center"/>
      </w:pPr>
      <w:r>
        <w:rPr>
          <w:rFonts w:ascii="Arial" w:cs="Arial" w:eastAsia="Arial" w:hAnsi="Arial"/>
          <w:b/>
          <w:bCs/>
          <w:i/>
          <w:iCs/>
          <w:color w:val="1D4E89"/>
          <w:sz w:val="24"/>
          <w:szCs w:val="24"/>
        </w:rPr>
        <w:t xml:space="preserve">« Si vous voulez acheter un terrain à Lomé demain — comment savez-vous si le prix qu'on vous propose est juste ? »</w:t>
      </w:r>
    </w:p>
    <w:p>
      <w:pPr>
        <w:spacing w:after="120" w:before="120"/>
      </w:pPr>
      <w:r>
        <w:t xml:space="preserve"/>
      </w:r>
    </w:p>
    <w:p>
      <w:pPr>
        <w:spacing w:after="80" w:before="80" w:line="360"/>
      </w:pPr>
      <w:r>
        <w:rPr>
          <w:rFonts w:ascii="Arial" w:cs="Arial" w:eastAsia="Arial" w:hAnsi="Arial"/>
          <w:color w:val="2A3D4A"/>
          <w:sz w:val="22"/>
          <w:szCs w:val="22"/>
        </w:rPr>
        <w:t xml:space="preserve">Aujourd'hui, au Togo, il n'existe pas de référentiel public et fiable des prix immobiliers. Les vendeurs fixent leurs prix librement. Les acheteurs ne peuvent pas comparer. Les investisseurs ne peuvent pas évaluer. Et l'État ne dispose pas d'un outil de suivi du marché réel.</w:t>
      </w:r>
    </w:p>
    <w:p>
      <w:pPr>
        <w:spacing w:after="120" w:before="120"/>
      </w:pPr>
      <w:r>
        <w:t xml:space="preserve"/>
      </w:r>
    </w:p>
    <w:p>
      <w:pPr>
        <w:spacing w:after="80" w:before="80" w:line="360"/>
      </w:pPr>
      <w:r>
        <w:rPr>
          <w:rFonts w:ascii="Arial" w:cs="Arial" w:eastAsia="Arial" w:hAnsi="Arial"/>
          <w:color w:val="2A3D4A"/>
          <w:sz w:val="22"/>
          <w:szCs w:val="22"/>
        </w:rPr>
        <w:t xml:space="preserve">C'est précisément ce problème qu'ID Immobilier cherche à résoudre — en construisant un pipeline de données complet : de la collecte automatisée des annonces, jusqu'à un indice du marché et un dashboard interactif.</w:t>
      </w:r>
    </w:p>
    <w:p>
      <w:pPr>
        <w:pBdr>
          <w:bottom w:val="single" w:color="028090" w:sz="6" w:space="1"/>
        </w:pBdr>
        <w:spacing w:after="200" w:before="200"/>
      </w:pPr>
      <w:r>
        <w:t xml:space="preserve"/>
      </w:r>
    </w:p>
    <w:p>
      <w:pPr>
        <w:pStyle w:val="Heading1"/>
        <w:spacing w:after="160" w:before="360"/>
      </w:pPr>
      <w:r>
        <w:rPr>
          <w:rFonts w:ascii="Arial" w:cs="Arial" w:eastAsia="Arial" w:hAnsi="Arial"/>
          <w:b/>
          <w:bCs/>
          <w:color w:val="1D4E89"/>
          <w:sz w:val="30"/>
          <w:szCs w:val="30"/>
        </w:rPr>
        <w:t xml:space="preserve">2. Contexte &amp; Objectif du Projet</w:t>
      </w:r>
    </w:p>
    <w:p>
      <w:pPr>
        <w:spacing w:after="100" w:before="40"/>
      </w:pPr>
      <w:r>
        <w:rPr>
          <w:rFonts w:ascii="Arial" w:cs="Arial" w:eastAsia="Arial" w:hAnsi="Arial"/>
          <w:b/>
          <w:bCs/>
          <w:color w:val="5A7A8A"/>
          <w:sz w:val="18"/>
          <w:szCs w:val="18"/>
        </w:rPr>
        <w:t xml:space="preserve">⏱ 1 à 2 minutes</w:t>
      </w:r>
    </w:p>
    <w:p>
      <w:pPr>
        <w:spacing w:after="60" w:before="60" w:line="320"/>
        <w:ind w:left="720"/>
      </w:pPr>
      <w:r>
        <w:rPr>
          <w:rFonts w:ascii="Arial" w:cs="Arial" w:eastAsia="Arial" w:hAnsi="Arial"/>
          <w:i/>
          <w:iCs/>
          <w:color w:val="028090"/>
          <w:sz w:val="20"/>
          <w:szCs w:val="20"/>
        </w:rPr>
        <w:t xml:space="preserve">[ Rester factuel. Citer les chiffres avec assurance. ]</w:t>
      </w:r>
    </w:p>
    <w:p>
      <w:pPr>
        <w:spacing w:after="120" w:before="120"/>
      </w:pPr>
      <w:r>
        <w:t xml:space="preserve"/>
      </w:r>
    </w:p>
    <w:p>
      <w:pPr>
        <w:spacing w:after="80" w:before="80" w:line="360"/>
      </w:pPr>
      <w:r>
        <w:rPr>
          <w:rFonts w:ascii="Arial" w:cs="Arial" w:eastAsia="Arial" w:hAnsi="Arial"/>
          <w:color w:val="2A3D4A"/>
          <w:sz w:val="22"/>
          <w:szCs w:val="22"/>
        </w:rPr>
        <w:t xml:space="preserve">Le marché immobilier togolais est aujourd'hui opaque. Les transactions se font sans données de référence. Les plateformes comme Facebook Marketplace ou CoinAfrique publient des annonces, mais ces données ne sont ni standardisées, ni analysées, ni conservées.</w:t>
      </w:r>
    </w:p>
    <w:p>
      <w:pPr>
        <w:spacing w:after="120" w:before="120"/>
      </w:pPr>
      <w:r>
        <w:t xml:space="preserve"/>
      </w:r>
    </w:p>
    <w:p>
      <w:pPr>
        <w:spacing w:after="80" w:before="80" w:line="360"/>
      </w:pPr>
      <w:r>
        <w:rPr>
          <w:rFonts w:ascii="Arial" w:cs="Arial" w:eastAsia="Arial" w:hAnsi="Arial"/>
          <w:color w:val="2A3D4A"/>
          <w:sz w:val="22"/>
          <w:szCs w:val="22"/>
        </w:rPr>
        <w:t xml:space="preserve">ID Immobilier a donc trois objectifs concrets :</w:t>
      </w:r>
    </w:p>
    <w:p>
      <w:pPr>
        <w:spacing w:after="120" w:before="120"/>
      </w:pPr>
      <w:r>
        <w:t xml:space="preserve"/>
      </w:r>
    </w:p>
    <w:p>
      <w:pPr>
        <w:pStyle w:val="ListParagraph"/>
        <w:numPr>
          <w:ilvl w:val="0"/>
          <w:numId w:val="2"/>
        </w:numPr>
        <w:spacing w:after="60" w:before="60" w:line="320"/>
      </w:pPr>
      <w:r>
        <w:rPr>
          <w:rFonts w:ascii="Arial" w:cs="Arial" w:eastAsia="Arial" w:hAnsi="Arial"/>
          <w:b/>
          <w:bCs/>
          <w:color w:val="1A2E3B"/>
          <w:sz w:val="22"/>
          <w:szCs w:val="22"/>
        </w:rPr>
        <w:t xml:space="preserve">Collecter et centraliser </w:t>
      </w:r>
      <w:r>
        <w:rPr>
          <w:rFonts w:ascii="Arial" w:cs="Arial" w:eastAsia="Arial" w:hAnsi="Arial"/>
          <w:color w:val="2A3D4A"/>
          <w:sz w:val="22"/>
          <w:szCs w:val="22"/>
        </w:rPr>
        <w:t xml:space="preserve">les annonces immobilières de plusieurs sources en un seul endroit.</w:t>
      </w:r>
    </w:p>
    <w:p>
      <w:pPr>
        <w:pStyle w:val="ListParagraph"/>
        <w:numPr>
          <w:ilvl w:val="0"/>
          <w:numId w:val="2"/>
        </w:numPr>
        <w:spacing w:after="60" w:before="60" w:line="320"/>
      </w:pPr>
      <w:r>
        <w:rPr>
          <w:rFonts w:ascii="Arial" w:cs="Arial" w:eastAsia="Arial" w:hAnsi="Arial"/>
          <w:b/>
          <w:bCs/>
          <w:color w:val="1A2E3B"/>
          <w:sz w:val="22"/>
          <w:szCs w:val="22"/>
        </w:rPr>
        <w:t xml:space="preserve">Calculer et publier </w:t>
      </w:r>
      <w:r>
        <w:rPr>
          <w:rFonts w:ascii="Arial" w:cs="Arial" w:eastAsia="Arial" w:hAnsi="Arial"/>
          <w:color w:val="2A3D4A"/>
          <w:sz w:val="22"/>
          <w:szCs w:val="22"/>
        </w:rPr>
        <w:t xml:space="preserve">des indicateurs de prix fiables par zone géographique et type de bien.</w:t>
      </w:r>
    </w:p>
    <w:p>
      <w:pPr>
        <w:pStyle w:val="ListParagraph"/>
        <w:numPr>
          <w:ilvl w:val="0"/>
          <w:numId w:val="2"/>
        </w:numPr>
        <w:spacing w:after="60" w:before="60" w:line="320"/>
      </w:pPr>
      <w:r>
        <w:rPr>
          <w:rFonts w:ascii="Arial" w:cs="Arial" w:eastAsia="Arial" w:hAnsi="Arial"/>
          <w:b/>
          <w:bCs/>
          <w:color w:val="1A2E3B"/>
          <w:sz w:val="22"/>
          <w:szCs w:val="22"/>
        </w:rPr>
        <w:t xml:space="preserve">Détecter les tendances </w:t>
      </w:r>
      <w:r>
        <w:rPr>
          <w:rFonts w:ascii="Arial" w:cs="Arial" w:eastAsia="Arial" w:hAnsi="Arial"/>
          <w:color w:val="2A3D4A"/>
          <w:sz w:val="22"/>
          <w:szCs w:val="22"/>
        </w:rPr>
        <w:t xml:space="preserve">du marché — hausse, stabilité, ou baisse des prix — zone par zone.</w:t>
      </w:r>
    </w:p>
    <w:p>
      <w:pPr>
        <w:spacing w:after="120" w:before="120"/>
      </w:pPr>
      <w:r>
        <w:t xml:space="preserve"/>
      </w:r>
    </w:p>
    <w:p>
      <w:pPr>
        <w:spacing w:after="80" w:before="80" w:line="360"/>
      </w:pPr>
      <w:r>
        <w:rPr>
          <w:rFonts w:ascii="Arial" w:cs="Arial" w:eastAsia="Arial" w:hAnsi="Arial"/>
          <w:color w:val="2A3D4A"/>
          <w:sz w:val="22"/>
          <w:szCs w:val="22"/>
        </w:rPr>
        <w:t xml:space="preserve">À ce stade, le système traite plus de 5 200 annonces validées, couvre 566 zones géographiques au Togo, et génère plus de 1 160 indices de marché.</w:t>
      </w:r>
    </w:p>
    <w:p>
      <w:pPr>
        <w:pBdr>
          <w:bottom w:val="single" w:color="028090" w:sz="6" w:space="1"/>
        </w:pBdr>
        <w:spacing w:after="200" w:before="200"/>
      </w:pPr>
      <w:r>
        <w:t xml:space="preserve"/>
      </w:r>
    </w:p>
    <w:p>
      <w:pPr>
        <w:pStyle w:val="Heading1"/>
        <w:spacing w:after="160" w:before="360"/>
      </w:pPr>
      <w:r>
        <w:rPr>
          <w:rFonts w:ascii="Arial" w:cs="Arial" w:eastAsia="Arial" w:hAnsi="Arial"/>
          <w:b/>
          <w:bCs/>
          <w:color w:val="1D4E89"/>
          <w:sz w:val="30"/>
          <w:szCs w:val="30"/>
        </w:rPr>
        <w:t xml:space="preserve">3. Architecture du Projet — Le Pipeline Big Data</w:t>
      </w:r>
    </w:p>
    <w:p>
      <w:pPr>
        <w:spacing w:after="100" w:before="40"/>
      </w:pPr>
      <w:r>
        <w:rPr>
          <w:rFonts w:ascii="Arial" w:cs="Arial" w:eastAsia="Arial" w:hAnsi="Arial"/>
          <w:b/>
          <w:bCs/>
          <w:color w:val="5A7A8A"/>
          <w:sz w:val="18"/>
          <w:szCs w:val="18"/>
        </w:rPr>
        <w:t xml:space="preserve">⏱ 4 à 5 minutes — cœur technique de la présentation</w:t>
      </w:r>
    </w:p>
    <w:p>
      <w:pPr>
        <w:spacing w:after="60" w:before="60" w:line="320"/>
        <w:ind w:left="720"/>
      </w:pPr>
      <w:r>
        <w:rPr>
          <w:rFonts w:ascii="Arial" w:cs="Arial" w:eastAsia="Arial" w:hAnsi="Arial"/>
          <w:i/>
          <w:iCs/>
          <w:color w:val="028090"/>
          <w:sz w:val="20"/>
          <w:szCs w:val="20"/>
        </w:rPr>
        <w:t xml:space="preserve">[ C'est la partie la plus importante. Prendre le temps de bien expliquer chaque étape. Pointer le schéma d'architecture si disponible. ]</w:t>
      </w:r>
    </w:p>
    <w:p>
      <w:pPr>
        <w:spacing w:after="120" w:before="120"/>
      </w:pPr>
      <w:r>
        <w:t xml:space="preserve"/>
      </w:r>
    </w:p>
    <w:p>
      <w:pPr>
        <w:spacing w:after="80" w:before="80" w:line="360"/>
      </w:pPr>
      <w:r>
        <w:rPr>
          <w:rFonts w:ascii="Arial" w:cs="Arial" w:eastAsia="Arial" w:hAnsi="Arial"/>
          <w:color w:val="2A3D4A"/>
          <w:sz w:val="22"/>
          <w:szCs w:val="22"/>
        </w:rPr>
        <w:t xml:space="preserve">Le projet repose sur un pipeline Big Data structuré en cinq étapes distinctes. Je vais vous les présenter une par une.</w:t>
      </w:r>
    </w:p>
    <w:p>
      <w:pPr>
        <w:spacing w:after="120" w:before="120"/>
      </w:pPr>
      <w:r>
        <w:t xml:space="preserve"/>
      </w:r>
    </w:p>
    <w:p>
      <w:pPr>
        <w:pStyle w:val="Heading2"/>
        <w:spacing w:after="120" w:before="280"/>
      </w:pPr>
      <w:r>
        <w:rPr>
          <w:rFonts w:ascii="Arial" w:cs="Arial" w:eastAsia="Arial" w:hAnsi="Arial"/>
          <w:b/>
          <w:bCs/>
          <w:color w:val="E85D04"/>
          <w:sz w:val="24"/>
          <w:szCs w:val="24"/>
        </w:rPr>
        <w:t xml:space="preserve">Étape 1 — Les Sources de Données</w:t>
      </w:r>
    </w:p>
    <w:p>
      <w:pPr>
        <w:spacing w:after="60" w:before="60" w:line="320"/>
        <w:ind w:left="720"/>
      </w:pPr>
      <w:r>
        <w:rPr>
          <w:rFonts w:ascii="Arial" w:cs="Arial" w:eastAsia="Arial" w:hAnsi="Arial"/>
          <w:i/>
          <w:iCs/>
          <w:color w:val="028090"/>
          <w:sz w:val="20"/>
          <w:szCs w:val="20"/>
        </w:rPr>
        <w:t xml:space="preserve">[ Pointer les 4 sources sur le schéma. ]</w:t>
      </w:r>
    </w:p>
    <w:p>
      <w:pPr>
        <w:spacing w:after="80" w:before="80" w:line="360"/>
      </w:pPr>
      <w:r>
        <w:rPr>
          <w:rFonts w:ascii="Arial" w:cs="Arial" w:eastAsia="Arial" w:hAnsi="Arial"/>
          <w:color w:val="2A3D4A"/>
          <w:sz w:val="22"/>
          <w:szCs w:val="22"/>
        </w:rPr>
        <w:t xml:space="preserve">Tout commence par les données. On en a quatre sources :</w:t>
      </w:r>
    </w:p>
    <w:p>
      <w:pPr>
        <w:spacing w:after="120" w:before="120"/>
      </w:pPr>
      <w:r>
        <w:t xml:space="preserve"/>
      </w:r>
    </w:p>
    <w:p>
      <w:pPr>
        <w:pStyle w:val="ListParagraph"/>
        <w:numPr>
          <w:ilvl w:val="0"/>
          <w:numId w:val="2"/>
        </w:numPr>
        <w:spacing w:after="60" w:before="60" w:line="320"/>
      </w:pPr>
      <w:r>
        <w:rPr>
          <w:rFonts w:ascii="Arial" w:cs="Arial" w:eastAsia="Arial" w:hAnsi="Arial"/>
          <w:b/>
          <w:bCs/>
          <w:color w:val="1A2E3B"/>
          <w:sz w:val="22"/>
          <w:szCs w:val="22"/>
        </w:rPr>
        <w:t xml:space="preserve">Facebook / Excel : </w:t>
      </w:r>
      <w:r>
        <w:rPr>
          <w:rFonts w:ascii="Arial" w:cs="Arial" w:eastAsia="Arial" w:hAnsi="Arial"/>
          <w:color w:val="2A3D4A"/>
          <w:sz w:val="22"/>
          <w:szCs w:val="22"/>
        </w:rPr>
        <w:t xml:space="preserve">Un collaborateur collecte manuellement les annonces publiées sur Facebook Marketplace et les consolide dans un fichier Excel. C'est notre source historique la plus volumineuse, avec plus de 4 500 annonces.</w:t>
      </w:r>
    </w:p>
    <w:p>
      <w:pPr>
        <w:pStyle w:val="ListParagraph"/>
        <w:numPr>
          <w:ilvl w:val="0"/>
          <w:numId w:val="2"/>
        </w:numPr>
        <w:spacing w:after="60" w:before="60" w:line="320"/>
      </w:pPr>
      <w:r>
        <w:rPr>
          <w:rFonts w:ascii="Arial" w:cs="Arial" w:eastAsia="Arial" w:hAnsi="Arial"/>
          <w:b/>
          <w:bCs/>
          <w:color w:val="1A2E3B"/>
          <w:sz w:val="22"/>
          <w:szCs w:val="22"/>
        </w:rPr>
        <w:t xml:space="preserve">ImmoAsk API : </w:t>
      </w:r>
      <w:r>
        <w:rPr>
          <w:rFonts w:ascii="Arial" w:cs="Arial" w:eastAsia="Arial" w:hAnsi="Arial"/>
          <w:color w:val="2A3D4A"/>
          <w:sz w:val="22"/>
          <w:szCs w:val="22"/>
        </w:rPr>
        <w:t xml:space="preserve">Une plateforme immobilière togolaise dispose d'une API REST. On l'interroge automatiquement pour récupérer les nouvelles annonces — jusqu'à 500 par jour.</w:t>
      </w:r>
    </w:p>
    <w:p>
      <w:pPr>
        <w:pStyle w:val="ListParagraph"/>
        <w:numPr>
          <w:ilvl w:val="0"/>
          <w:numId w:val="2"/>
        </w:numPr>
        <w:spacing w:after="60" w:before="60" w:line="320"/>
      </w:pPr>
      <w:r>
        <w:rPr>
          <w:rFonts w:ascii="Arial" w:cs="Arial" w:eastAsia="Arial" w:hAnsi="Arial"/>
          <w:b/>
          <w:bCs/>
          <w:color w:val="1A2E3B"/>
          <w:sz w:val="22"/>
          <w:szCs w:val="22"/>
        </w:rPr>
        <w:t xml:space="preserve">CoinAfrique : </w:t>
      </w:r>
      <w:r>
        <w:rPr>
          <w:rFonts w:ascii="Arial" w:cs="Arial" w:eastAsia="Arial" w:hAnsi="Arial"/>
          <w:color w:val="2A3D4A"/>
          <w:sz w:val="22"/>
          <w:szCs w:val="22"/>
        </w:rPr>
        <w:t xml:space="preserve">Un scraper en Python basé sur BeautifulSoup parcourt les 60 pages d'annonces du site. Cette source est actuellement exécutée de manière hebdomadaire.</w:t>
      </w:r>
    </w:p>
    <w:p>
      <w:pPr>
        <w:pStyle w:val="ListParagraph"/>
        <w:numPr>
          <w:ilvl w:val="0"/>
          <w:numId w:val="2"/>
        </w:numPr>
        <w:spacing w:after="60" w:before="60" w:line="320"/>
      </w:pPr>
      <w:r>
        <w:rPr>
          <w:rFonts w:ascii="Arial" w:cs="Arial" w:eastAsia="Arial" w:hAnsi="Arial"/>
          <w:b/>
          <w:bCs/>
          <w:color w:val="1A2E3B"/>
          <w:sz w:val="22"/>
          <w:szCs w:val="22"/>
        </w:rPr>
        <w:t xml:space="preserve">Valeurs Vénales OTR : </w:t>
      </w:r>
      <w:r>
        <w:rPr>
          <w:rFonts w:ascii="Arial" w:cs="Arial" w:eastAsia="Arial" w:hAnsi="Arial"/>
          <w:color w:val="2A3D4A"/>
          <w:sz w:val="22"/>
          <w:szCs w:val="22"/>
        </w:rPr>
        <w:t xml:space="preserve">Ce sont les prix officiels du foncier publiés par l'Office Togolais des Recettes. 354 entrées qui servent de référentiel légal pour comparer les prix du marché.</w:t>
      </w:r>
    </w:p>
    <w:p>
      <w:pPr>
        <w:spacing w:after="120" w:before="120"/>
      </w:pPr>
      <w:r>
        <w:t xml:space="preserve"/>
      </w:r>
    </w:p>
    <w:p>
      <w:pPr>
        <w:pStyle w:val="Heading2"/>
        <w:spacing w:after="120" w:before="280"/>
      </w:pPr>
      <w:r>
        <w:rPr>
          <w:rFonts w:ascii="Arial" w:cs="Arial" w:eastAsia="Arial" w:hAnsi="Arial"/>
          <w:b/>
          <w:bCs/>
          <w:color w:val="E85D04"/>
          <w:sz w:val="24"/>
          <w:szCs w:val="24"/>
        </w:rPr>
        <w:t xml:space="preserve">Étape 2 — L'Ingestion</w:t>
      </w:r>
    </w:p>
    <w:p>
      <w:pPr>
        <w:spacing w:after="60" w:before="60" w:line="320"/>
        <w:ind w:left="720"/>
      </w:pPr>
      <w:r>
        <w:rPr>
          <w:rFonts w:ascii="Arial" w:cs="Arial" w:eastAsia="Arial" w:hAnsi="Arial"/>
          <w:i/>
          <w:iCs/>
          <w:color w:val="028090"/>
          <w:sz w:val="20"/>
          <w:szCs w:val="20"/>
        </w:rPr>
        <w:t xml:space="preserve">[ Insister sur l'automatisation — c'est ce qui rend le système durable. ]</w:t>
      </w:r>
    </w:p>
    <w:p>
      <w:pPr>
        <w:spacing w:after="80" w:before="80" w:line="360"/>
      </w:pPr>
      <w:r>
        <w:rPr>
          <w:rFonts w:ascii="Arial" w:cs="Arial" w:eastAsia="Arial" w:hAnsi="Arial"/>
          <w:color w:val="2A3D4A"/>
          <w:sz w:val="22"/>
          <w:szCs w:val="22"/>
        </w:rPr>
        <w:t xml:space="preserve">Une fois les données disponibles, l'ingestion les prend en charge. Cette étape est entièrement orchestrée par Apache Airflow — un outil d'orchestration de workflows qui déclenche le pipeline automatiquement chaque matin à 6 heures.</w:t>
      </w:r>
    </w:p>
    <w:p>
      <w:pPr>
        <w:spacing w:after="120" w:before="120"/>
      </w:pPr>
      <w:r>
        <w:t xml:space="preserve"/>
      </w:r>
    </w:p>
    <w:p>
      <w:pPr>
        <w:spacing w:after="80" w:before="80" w:line="360"/>
      </w:pPr>
      <w:r>
        <w:rPr>
          <w:rFonts w:ascii="Arial" w:cs="Arial" w:eastAsia="Arial" w:hAnsi="Arial"/>
          <w:color w:val="2A3D4A"/>
          <w:sz w:val="22"/>
          <w:szCs w:val="22"/>
        </w:rPr>
        <w:t xml:space="preserve">Le tout tourne dans Docker Compose — quatre conteneurs isolés qui hébergent chacun un service du projet. Cela garantit la reproductibilité et la portabilité du système.</w:t>
      </w:r>
    </w:p>
    <w:p>
      <w:pPr>
        <w:spacing w:after="120" w:before="120"/>
      </w:pPr>
      <w:r>
        <w:t xml:space="preserve"/>
      </w:r>
    </w:p>
    <w:p>
      <w:pPr>
        <w:spacing w:after="80" w:before="80" w:line="360"/>
      </w:pPr>
      <w:r>
        <w:rPr>
          <w:rFonts w:ascii="Arial" w:cs="Arial" w:eastAsia="Arial" w:hAnsi="Arial"/>
          <w:color w:val="2A3D4A"/>
          <w:sz w:val="22"/>
          <w:szCs w:val="22"/>
        </w:rPr>
        <w:t xml:space="preserve">Le script ingestion.py sélectionne le fichier le plus récent pour chaque source, ajoute une étiquette d'origine, et génère un fichier CSV unifié prêt pour le traitement.</w:t>
      </w:r>
    </w:p>
    <w:p>
      <w:pPr>
        <w:spacing w:after="120" w:before="120"/>
      </w:pPr>
      <w:r>
        <w:t xml:space="preserve"/>
      </w:r>
    </w:p>
    <w:p>
      <w:pPr>
        <w:pStyle w:val="Heading2"/>
        <w:spacing w:after="120" w:before="280"/>
      </w:pPr>
      <w:r>
        <w:rPr>
          <w:rFonts w:ascii="Arial" w:cs="Arial" w:eastAsia="Arial" w:hAnsi="Arial"/>
          <w:b/>
          <w:bCs/>
          <w:color w:val="E85D04"/>
          <w:sz w:val="24"/>
          <w:szCs w:val="24"/>
        </w:rPr>
        <w:t xml:space="preserve">Étape 3 — Le Traitement avec Apache Spark</w:t>
      </w:r>
    </w:p>
    <w:p>
      <w:pPr>
        <w:spacing w:after="60" w:before="60" w:line="320"/>
        <w:ind w:left="720"/>
      </w:pPr>
      <w:r>
        <w:rPr>
          <w:rFonts w:ascii="Arial" w:cs="Arial" w:eastAsia="Arial" w:hAnsi="Arial"/>
          <w:i/>
          <w:iCs/>
          <w:color w:val="028090"/>
          <w:sz w:val="20"/>
          <w:szCs w:val="20"/>
        </w:rPr>
        <w:t xml:space="preserve">[ C'est l'étape technique la plus importante. Bien articuler les règles métier. ]</w:t>
      </w:r>
    </w:p>
    <w:p>
      <w:pPr>
        <w:spacing w:after="80" w:before="80" w:line="360"/>
      </w:pPr>
      <w:r>
        <w:rPr>
          <w:rFonts w:ascii="Arial" w:cs="Arial" w:eastAsia="Arial" w:hAnsi="Arial"/>
          <w:color w:val="2A3D4A"/>
          <w:sz w:val="22"/>
          <w:szCs w:val="22"/>
        </w:rPr>
        <w:t xml:space="preserve">L'étape de traitement est au cœur du pipeline. Elle utilise Apache Spark 3.5.1 avec PySpark — un moteur de traitement distribué capable de traiter de larges volumes de données rapidement.</w:t>
      </w:r>
    </w:p>
    <w:p>
      <w:pPr>
        <w:spacing w:after="120" w:before="120"/>
      </w:pPr>
      <w:r>
        <w:t xml:space="preserve"/>
      </w:r>
    </w:p>
    <w:p>
      <w:pPr>
        <w:spacing w:after="80" w:before="80" w:line="360"/>
      </w:pPr>
      <w:r>
        <w:rPr>
          <w:rFonts w:ascii="Arial" w:cs="Arial" w:eastAsia="Arial" w:hAnsi="Arial"/>
          <w:color w:val="2A3D4A"/>
          <w:sz w:val="22"/>
          <w:szCs w:val="22"/>
        </w:rPr>
        <w:t xml:space="preserve">Quatre règles métier sont appliquées :</w:t>
      </w:r>
    </w:p>
    <w:p>
      <w:pPr>
        <w:spacing w:after="120" w:before="120"/>
      </w:pPr>
      <w:r>
        <w:t xml:space="preserve"/>
      </w:r>
    </w:p>
    <w:p>
      <w:pPr>
        <w:pStyle w:val="ListParagraph"/>
        <w:numPr>
          <w:ilvl w:val="0"/>
          <w:numId w:val="2"/>
        </w:numPr>
        <w:spacing w:after="60" w:before="60" w:line="320"/>
      </w:pPr>
      <w:r>
        <w:rPr>
          <w:rFonts w:ascii="Arial" w:cs="Arial" w:eastAsia="Arial" w:hAnsi="Arial"/>
          <w:b/>
          <w:bCs/>
          <w:color w:val="1A2E3B"/>
          <w:sz w:val="22"/>
          <w:szCs w:val="22"/>
        </w:rPr>
        <w:t xml:space="preserve">Normalisation des types de biens : </w:t>
      </w:r>
      <w:r>
        <w:rPr>
          <w:rFonts w:ascii="Arial" w:cs="Arial" w:eastAsia="Arial" w:hAnsi="Arial"/>
          <w:color w:val="2A3D4A"/>
          <w:sz w:val="22"/>
          <w:szCs w:val="22"/>
        </w:rPr>
        <w:t xml:space="preserve">Les données viennent de sources différentes avec des libellés hétérogènes. On les standardise en 17 types officiels — Appartement, Villa, Terrain, Boutique, etc.</w:t>
      </w:r>
    </w:p>
    <w:p>
      <w:pPr>
        <w:pStyle w:val="ListParagraph"/>
        <w:numPr>
          <w:ilvl w:val="0"/>
          <w:numId w:val="2"/>
        </w:numPr>
        <w:spacing w:after="60" w:before="60" w:line="320"/>
      </w:pPr>
      <w:r>
        <w:rPr>
          <w:rFonts w:ascii="Arial" w:cs="Arial" w:eastAsia="Arial" w:hAnsi="Arial"/>
          <w:b/>
          <w:bCs/>
          <w:color w:val="1A2E3B"/>
          <w:sz w:val="22"/>
          <w:szCs w:val="22"/>
        </w:rPr>
        <w:t xml:space="preserve">Validation des prix : </w:t>
      </w:r>
      <w:r>
        <w:rPr>
          <w:rFonts w:ascii="Arial" w:cs="Arial" w:eastAsia="Arial" w:hAnsi="Arial"/>
          <w:color w:val="2A3D4A"/>
          <w:sz w:val="22"/>
          <w:szCs w:val="22"/>
        </w:rPr>
        <w:t xml:space="preserve">On rejette les annonces dont le prix est inférieur à 10 000 FCFA ou supérieur à 5 milliards FCFA. Ce sont des valeurs aberrantes qui biaiseraient nos indicateurs.</w:t>
      </w:r>
    </w:p>
    <w:p>
      <w:pPr>
        <w:pStyle w:val="ListParagraph"/>
        <w:numPr>
          <w:ilvl w:val="0"/>
          <w:numId w:val="2"/>
        </w:numPr>
        <w:spacing w:after="60" w:before="60" w:line="320"/>
      </w:pPr>
      <w:r>
        <w:rPr>
          <w:rFonts w:ascii="Arial" w:cs="Arial" w:eastAsia="Arial" w:hAnsi="Arial"/>
          <w:b/>
          <w:bCs/>
          <w:color w:val="1A2E3B"/>
          <w:sz w:val="22"/>
          <w:szCs w:val="22"/>
        </w:rPr>
        <w:t xml:space="preserve">Conversion lots : </w:t>
      </w:r>
      <w:r>
        <w:rPr>
          <w:rFonts w:ascii="Arial" w:cs="Arial" w:eastAsia="Arial" w:hAnsi="Arial"/>
          <w:color w:val="2A3D4A"/>
          <w:sz w:val="22"/>
          <w:szCs w:val="22"/>
        </w:rPr>
        <w:t xml:space="preserve">Certaines annonces expriment la surface en lots plutôt qu'en mètres carrés. On applique la norme foncière togolaise : 1 lot = 600 m².</w:t>
      </w:r>
    </w:p>
    <w:p>
      <w:pPr>
        <w:pStyle w:val="ListParagraph"/>
        <w:numPr>
          <w:ilvl w:val="0"/>
          <w:numId w:val="2"/>
        </w:numPr>
        <w:spacing w:after="60" w:before="60" w:line="320"/>
      </w:pPr>
      <w:r>
        <w:rPr>
          <w:rFonts w:ascii="Arial" w:cs="Arial" w:eastAsia="Arial" w:hAnsi="Arial"/>
          <w:b/>
          <w:bCs/>
          <w:color w:val="1A2E3B"/>
          <w:sz w:val="22"/>
          <w:szCs w:val="22"/>
        </w:rPr>
        <w:t xml:space="preserve">Déduplication des zones : </w:t>
      </w:r>
      <w:r>
        <w:rPr>
          <w:rFonts w:ascii="Arial" w:cs="Arial" w:eastAsia="Arial" w:hAnsi="Arial"/>
          <w:color w:val="2A3D4A"/>
          <w:sz w:val="22"/>
          <w:szCs w:val="22"/>
        </w:rPr>
        <w:t xml:space="preserve">Les noms de quartiers sont harmonisés — mise en minuscule, suppression des espaces — pour éviter que « Adidogomé » et « adidogome » soient traités comme deux zones différentes.</w:t>
      </w:r>
    </w:p>
    <w:p>
      <w:pPr>
        <w:spacing w:after="120" w:before="120"/>
      </w:pPr>
      <w:r>
        <w:t xml:space="preserve"/>
      </w:r>
    </w:p>
    <w:p>
      <w:pPr>
        <w:spacing w:after="80" w:before="80" w:line="360"/>
      </w:pPr>
      <w:r>
        <w:rPr>
          <w:rFonts w:ascii="Arial" w:cs="Arial" w:eastAsia="Arial" w:hAnsi="Arial"/>
          <w:color w:val="2A3D4A"/>
          <w:sz w:val="22"/>
          <w:szCs w:val="22"/>
        </w:rPr>
        <w:t xml:space="preserve">À la sortie, le traitement produit deux fichiers : les annonces validées — plus de 5 200 — et un fichier de rejets documentant les raisons d'exclusion. Le taux de rejet est de 3,1 %, ce qui est un bon indicateur de la qualité des données sources.</w:t>
      </w:r>
    </w:p>
    <w:p>
      <w:pPr>
        <w:spacing w:after="120" w:before="120"/>
      </w:pPr>
      <w:r>
        <w:t xml:space="preserve"/>
      </w:r>
    </w:p>
    <w:p>
      <w:pPr>
        <w:pStyle w:val="Heading2"/>
        <w:spacing w:after="120" w:before="280"/>
      </w:pPr>
      <w:r>
        <w:rPr>
          <w:rFonts w:ascii="Arial" w:cs="Arial" w:eastAsia="Arial" w:hAnsi="Arial"/>
          <w:b/>
          <w:bCs/>
          <w:color w:val="E85D04"/>
          <w:sz w:val="24"/>
          <w:szCs w:val="24"/>
        </w:rPr>
        <w:t xml:space="preserve">Étape 4 — Le Stockage MySQL</w:t>
      </w:r>
    </w:p>
    <w:p>
      <w:pPr>
        <w:spacing w:after="60" w:before="60" w:line="320"/>
        <w:ind w:left="720"/>
      </w:pPr>
      <w:r>
        <w:rPr>
          <w:rFonts w:ascii="Arial" w:cs="Arial" w:eastAsia="Arial" w:hAnsi="Arial"/>
          <w:i/>
          <w:iCs/>
          <w:color w:val="028090"/>
          <w:sz w:val="20"/>
          <w:szCs w:val="20"/>
        </w:rPr>
        <w:t xml:space="preserve">[ Bref mais clair. Montrer la structure des 7 tables. ]</w:t>
      </w:r>
    </w:p>
    <w:p>
      <w:pPr>
        <w:spacing w:after="80" w:before="80" w:line="360"/>
      </w:pPr>
      <w:r>
        <w:rPr>
          <w:rFonts w:ascii="Arial" w:cs="Arial" w:eastAsia="Arial" w:hAnsi="Arial"/>
          <w:color w:val="2A3D4A"/>
          <w:sz w:val="22"/>
          <w:szCs w:val="22"/>
        </w:rPr>
        <w:t xml:space="preserve">Les données propres sont ensuite insérées dans une base de données MySQL structurée autour de 7 tables relationnelles. Le modèle place la table zone_geographique au centre, référencée par les tables d'annonces, de statistiques, d'indices et de valeurs vénales.</w:t>
      </w:r>
    </w:p>
    <w:p>
      <w:pPr>
        <w:spacing w:after="120" w:before="120"/>
      </w:pPr>
      <w:r>
        <w:t xml:space="preserve"/>
      </w:r>
    </w:p>
    <w:p>
      <w:pPr>
        <w:spacing w:after="80" w:before="80" w:line="360"/>
      </w:pPr>
      <w:r>
        <w:rPr>
          <w:rFonts w:ascii="Arial" w:cs="Arial" w:eastAsia="Arial" w:hAnsi="Arial"/>
          <w:color w:val="2A3D4A"/>
          <w:sz w:val="22"/>
          <w:szCs w:val="22"/>
        </w:rPr>
        <w:t xml:space="preserve">C'est ici que convergent toutes les données : les annonces, les zones, les sources, les calculs d'indicateurs et les indices de tendance.</w:t>
      </w:r>
    </w:p>
    <w:p>
      <w:pPr>
        <w:spacing w:after="120" w:before="120"/>
      </w:pPr>
      <w:r>
        <w:t xml:space="preserve"/>
      </w:r>
    </w:p>
    <w:p>
      <w:pPr>
        <w:pStyle w:val="Heading2"/>
        <w:spacing w:after="120" w:before="280"/>
      </w:pPr>
      <w:r>
        <w:rPr>
          <w:rFonts w:ascii="Arial" w:cs="Arial" w:eastAsia="Arial" w:hAnsi="Arial"/>
          <w:b/>
          <w:bCs/>
          <w:color w:val="E85D04"/>
          <w:sz w:val="24"/>
          <w:szCs w:val="24"/>
        </w:rPr>
        <w:t xml:space="preserve">Étape 5 — Analyse et Dashboard</w:t>
      </w:r>
    </w:p>
    <w:p>
      <w:pPr>
        <w:spacing w:after="60" w:before="60" w:line="320"/>
        <w:ind w:left="720"/>
      </w:pPr>
      <w:r>
        <w:rPr>
          <w:rFonts w:ascii="Arial" w:cs="Arial" w:eastAsia="Arial" w:hAnsi="Arial"/>
          <w:i/>
          <w:iCs/>
          <w:color w:val="028090"/>
          <w:sz w:val="20"/>
          <w:szCs w:val="20"/>
        </w:rPr>
        <w:t xml:space="preserve">[ Terminer en force — c'est ce que l'audience va retenir. ]</w:t>
      </w:r>
    </w:p>
    <w:p>
      <w:pPr>
        <w:spacing w:after="80" w:before="80" w:line="360"/>
      </w:pPr>
      <w:r>
        <w:rPr>
          <w:rFonts w:ascii="Arial" w:cs="Arial" w:eastAsia="Arial" w:hAnsi="Arial"/>
          <w:color w:val="2A3D4A"/>
          <w:sz w:val="22"/>
          <w:szCs w:val="22"/>
        </w:rPr>
        <w:t xml:space="preserve">La dernière étape transforme les données stockées en information utile. Deux scripts Python prennent en charge cette partie :</w:t>
      </w:r>
    </w:p>
    <w:p>
      <w:pPr>
        <w:spacing w:after="120" w:before="120"/>
      </w:pPr>
      <w:r>
        <w:t xml:space="preserve"/>
      </w:r>
    </w:p>
    <w:p>
      <w:pPr>
        <w:pStyle w:val="ListParagraph"/>
        <w:numPr>
          <w:ilvl w:val="0"/>
          <w:numId w:val="2"/>
        </w:numPr>
        <w:spacing w:after="60" w:before="60" w:line="320"/>
      </w:pPr>
      <w:r>
        <w:rPr>
          <w:rFonts w:ascii="Arial" w:cs="Arial" w:eastAsia="Arial" w:hAnsi="Arial"/>
          <w:b/>
          <w:bCs/>
          <w:color w:val="1A2E3B"/>
          <w:sz w:val="22"/>
          <w:szCs w:val="22"/>
        </w:rPr>
        <w:t xml:space="preserve">indicators.py : </w:t>
      </w:r>
      <w:r>
        <w:rPr>
          <w:rFonts w:ascii="Arial" w:cs="Arial" w:eastAsia="Arial" w:hAnsi="Arial"/>
          <w:color w:val="2A3D4A"/>
          <w:sz w:val="22"/>
          <w:szCs w:val="22"/>
        </w:rPr>
        <w:t xml:space="preserve">Calcule pour chaque zone et chaque type de bien les statistiques de prix — moyenne, médiane, minimum, maximum — et l'écart par rapport aux valeurs vénales officielles.</w:t>
      </w:r>
    </w:p>
    <w:p>
      <w:pPr>
        <w:pStyle w:val="ListParagraph"/>
        <w:numPr>
          <w:ilvl w:val="0"/>
          <w:numId w:val="2"/>
        </w:numPr>
        <w:spacing w:after="60" w:before="60" w:line="320"/>
      </w:pPr>
      <w:r>
        <w:rPr>
          <w:rFonts w:ascii="Arial" w:cs="Arial" w:eastAsia="Arial" w:hAnsi="Arial"/>
          <w:b/>
          <w:bCs/>
          <w:color w:val="1A2E3B"/>
          <w:sz w:val="22"/>
          <w:szCs w:val="22"/>
        </w:rPr>
        <w:t xml:space="preserve">index.py : </w:t>
      </w:r>
      <w:r>
        <w:rPr>
          <w:rFonts w:ascii="Arial" w:cs="Arial" w:eastAsia="Arial" w:hAnsi="Arial"/>
          <w:color w:val="2A3D4A"/>
          <w:sz w:val="22"/>
          <w:szCs w:val="22"/>
        </w:rPr>
        <w:t xml:space="preserve">Génère l'Indice ID Immobilier — un indice de tendance du marché à base 100. Chaque zone est classée en HAUSSE, STABLE ou BAISSE selon l'évolution des prix.</w:t>
      </w:r>
    </w:p>
    <w:p>
      <w:pPr>
        <w:spacing w:after="120" w:before="120"/>
      </w:pPr>
      <w:r>
        <w:t xml:space="preserve"/>
      </w:r>
    </w:p>
    <w:p>
      <w:pPr>
        <w:spacing w:after="80" w:before="80" w:line="360"/>
      </w:pPr>
      <w:r>
        <w:rPr>
          <w:rFonts w:ascii="Arial" w:cs="Arial" w:eastAsia="Arial" w:hAnsi="Arial"/>
          <w:color w:val="2A3D4A"/>
          <w:sz w:val="22"/>
          <w:szCs w:val="22"/>
        </w:rPr>
        <w:t xml:space="preserve">Ces résultats alimentent un dashboard Streamlit accessible sur le port 8501. Il permet de visualiser les prix par zone sur une carte interactive Folium, de filtrer par type de bien ou type d'offre, et de suivre les tendances via des graphiques Plotly.</w:t>
      </w:r>
    </w:p>
    <w:p>
      <w:pPr>
        <w:pBdr>
          <w:bottom w:val="single" w:color="028090" w:sz="6" w:space="1"/>
        </w:pBdr>
        <w:spacing w:after="200" w:before="200"/>
      </w:pPr>
      <w:r>
        <w:t xml:space="preserve"/>
      </w:r>
    </w:p>
    <w:p>
      <w:pPr>
        <w:pStyle w:val="Heading1"/>
        <w:spacing w:after="160" w:before="360"/>
      </w:pPr>
      <w:r>
        <w:rPr>
          <w:rFonts w:ascii="Arial" w:cs="Arial" w:eastAsia="Arial" w:hAnsi="Arial"/>
          <w:b/>
          <w:bCs/>
          <w:color w:val="1D4E89"/>
          <w:sz w:val="30"/>
          <w:szCs w:val="30"/>
        </w:rPr>
        <w:t xml:space="preserve">4. Résultats Obtenus</w:t>
      </w:r>
    </w:p>
    <w:p>
      <w:pPr>
        <w:spacing w:after="100" w:before="40"/>
      </w:pPr>
      <w:r>
        <w:rPr>
          <w:rFonts w:ascii="Arial" w:cs="Arial" w:eastAsia="Arial" w:hAnsi="Arial"/>
          <w:b/>
          <w:bCs/>
          <w:color w:val="5A7A8A"/>
          <w:sz w:val="18"/>
          <w:szCs w:val="18"/>
        </w:rPr>
        <w:t xml:space="preserve">⏱ 1 minute</w:t>
      </w:r>
    </w:p>
    <w:p>
      <w:pPr>
        <w:spacing w:after="60" w:before="60" w:line="320"/>
        <w:ind w:left="720"/>
      </w:pPr>
      <w:r>
        <w:rPr>
          <w:rFonts w:ascii="Arial" w:cs="Arial" w:eastAsia="Arial" w:hAnsi="Arial"/>
          <w:i/>
          <w:iCs/>
          <w:color w:val="028090"/>
          <w:sz w:val="20"/>
          <w:szCs w:val="20"/>
        </w:rPr>
        <w:t xml:space="preserve">[ Annoncer les chiffres avec fierté. S'arrêter après chaque chiffre. ]</w:t>
      </w:r>
    </w:p>
    <w:p>
      <w:pPr>
        <w:spacing w:after="120" w:before="120"/>
      </w:pPr>
      <w:r>
        <w:t xml:space="preserve"/>
      </w:r>
    </w:p>
    <w:p>
      <w:pPr>
        <w:spacing w:after="80" w:before="80" w:line="360"/>
      </w:pPr>
      <w:r>
        <w:rPr>
          <w:rFonts w:ascii="Arial" w:cs="Arial" w:eastAsia="Arial" w:hAnsi="Arial"/>
          <w:color w:val="2A3D4A"/>
          <w:sz w:val="22"/>
          <w:szCs w:val="22"/>
        </w:rPr>
        <w:t xml:space="preserve">En termes de résultats concrets, le pipeline délivre aujourd'hui :</w:t>
      </w:r>
    </w:p>
    <w:p>
      <w:pPr>
        <w:spacing w:after="120" w:before="120"/>
      </w:pPr>
      <w:r>
        <w:t xml:space="preserve"/>
      </w:r>
    </w:p>
    <w:p>
      <w:pPr>
        <w:pStyle w:val="ListParagraph"/>
        <w:numPr>
          <w:ilvl w:val="0"/>
          <w:numId w:val="2"/>
        </w:numPr>
        <w:spacing w:after="60" w:before="60" w:line="320"/>
      </w:pPr>
      <w:r>
        <w:rPr>
          <w:rFonts w:ascii="Arial" w:cs="Arial" w:eastAsia="Arial" w:hAnsi="Arial"/>
          <w:color w:val="2A3D4A"/>
          <w:sz w:val="22"/>
          <w:szCs w:val="22"/>
        </w:rPr>
        <w:t xml:space="preserve">5 262 annonces validées et insérées dans la base de données.</w:t>
      </w:r>
    </w:p>
    <w:p>
      <w:pPr>
        <w:pStyle w:val="ListParagraph"/>
        <w:numPr>
          <w:ilvl w:val="0"/>
          <w:numId w:val="2"/>
        </w:numPr>
        <w:spacing w:after="60" w:before="60" w:line="320"/>
      </w:pPr>
      <w:r>
        <w:rPr>
          <w:rFonts w:ascii="Arial" w:cs="Arial" w:eastAsia="Arial" w:hAnsi="Arial"/>
          <w:color w:val="2A3D4A"/>
          <w:sz w:val="22"/>
          <w:szCs w:val="22"/>
        </w:rPr>
        <w:t xml:space="preserve">566 zones géographiques couvertes à travers le Togo.</w:t>
      </w:r>
    </w:p>
    <w:p>
      <w:pPr>
        <w:pStyle w:val="ListParagraph"/>
        <w:numPr>
          <w:ilvl w:val="0"/>
          <w:numId w:val="2"/>
        </w:numPr>
        <w:spacing w:after="60" w:before="60" w:line="320"/>
      </w:pPr>
      <w:r>
        <w:rPr>
          <w:rFonts w:ascii="Arial" w:cs="Arial" w:eastAsia="Arial" w:hAnsi="Arial"/>
          <w:color w:val="2A3D4A"/>
          <w:sz w:val="22"/>
          <w:szCs w:val="22"/>
        </w:rPr>
        <w:t xml:space="preserve">1 001 statistiques calculées par zone, période et type de bien.</w:t>
      </w:r>
    </w:p>
    <w:p>
      <w:pPr>
        <w:pStyle w:val="ListParagraph"/>
        <w:numPr>
          <w:ilvl w:val="0"/>
          <w:numId w:val="2"/>
        </w:numPr>
        <w:spacing w:after="60" w:before="60" w:line="320"/>
      </w:pPr>
      <w:r>
        <w:rPr>
          <w:rFonts w:ascii="Arial" w:cs="Arial" w:eastAsia="Arial" w:hAnsi="Arial"/>
          <w:color w:val="2A3D4A"/>
          <w:sz w:val="22"/>
          <w:szCs w:val="22"/>
        </w:rPr>
        <w:t xml:space="preserve">1 163 indices de marché générés — dont 81 zones en hausse, 1 001 stables, et 81 en baisse.</w:t>
      </w:r>
    </w:p>
    <w:p>
      <w:pPr>
        <w:pStyle w:val="ListParagraph"/>
        <w:numPr>
          <w:ilvl w:val="0"/>
          <w:numId w:val="2"/>
        </w:numPr>
        <w:spacing w:after="60" w:before="60" w:line="320"/>
      </w:pPr>
      <w:r>
        <w:rPr>
          <w:rFonts w:ascii="Arial" w:cs="Arial" w:eastAsia="Arial" w:hAnsi="Arial"/>
          <w:color w:val="2A3D4A"/>
          <w:sz w:val="22"/>
          <w:szCs w:val="22"/>
        </w:rPr>
        <w:t xml:space="preserve">Un taux de rejet de seulement 3,1 % — signe de la qualité des données sources.</w:t>
      </w:r>
    </w:p>
    <w:p>
      <w:pPr>
        <w:spacing w:after="120" w:before="120"/>
      </w:pPr>
      <w:r>
        <w:t xml:space="preserve"/>
      </w:r>
    </w:p>
    <w:p>
      <w:pPr>
        <w:spacing w:after="80" w:before="80" w:line="360"/>
      </w:pPr>
      <w:r>
        <w:rPr>
          <w:rFonts w:ascii="Arial" w:cs="Arial" w:eastAsia="Arial" w:hAnsi="Arial"/>
          <w:color w:val="2A3D4A"/>
          <w:sz w:val="22"/>
          <w:szCs w:val="22"/>
        </w:rPr>
        <w:t xml:space="preserve">Le pipeline s'exécute de manière entièrement automatique chaque matin via Airflow, sans intervention humaine.</w:t>
      </w:r>
    </w:p>
    <w:p>
      <w:pPr>
        <w:pBdr>
          <w:bottom w:val="single" w:color="028090" w:sz="6" w:space="1"/>
        </w:pBdr>
        <w:spacing w:after="200" w:before="200"/>
      </w:pPr>
      <w:r>
        <w:t xml:space="preserve"/>
      </w:r>
    </w:p>
    <w:p>
      <w:pPr>
        <w:pStyle w:val="Heading1"/>
        <w:spacing w:after="160" w:before="360"/>
      </w:pPr>
      <w:r>
        <w:rPr>
          <w:rFonts w:ascii="Arial" w:cs="Arial" w:eastAsia="Arial" w:hAnsi="Arial"/>
          <w:b/>
          <w:bCs/>
          <w:color w:val="1D4E89"/>
          <w:sz w:val="30"/>
          <w:szCs w:val="30"/>
        </w:rPr>
        <w:t xml:space="preserve">5. Défis Techniques Rencontrés</w:t>
      </w:r>
    </w:p>
    <w:p>
      <w:pPr>
        <w:spacing w:after="100" w:before="40"/>
      </w:pPr>
      <w:r>
        <w:rPr>
          <w:rFonts w:ascii="Arial" w:cs="Arial" w:eastAsia="Arial" w:hAnsi="Arial"/>
          <w:b/>
          <w:bCs/>
          <w:color w:val="5A7A8A"/>
          <w:sz w:val="18"/>
          <w:szCs w:val="18"/>
        </w:rPr>
        <w:t xml:space="preserve">⏱ 1 à 2 minutes</w:t>
      </w:r>
    </w:p>
    <w:p>
      <w:pPr>
        <w:spacing w:after="60" w:before="60" w:line="320"/>
        <w:ind w:left="720"/>
      </w:pPr>
      <w:r>
        <w:rPr>
          <w:rFonts w:ascii="Arial" w:cs="Arial" w:eastAsia="Arial" w:hAnsi="Arial"/>
          <w:i/>
          <w:iCs/>
          <w:color w:val="028090"/>
          <w:sz w:val="20"/>
          <w:szCs w:val="20"/>
        </w:rPr>
        <w:t xml:space="preserve">[ Montrer la rigueur et la capacité à résoudre des problèmes. Ne pas s'étendre. ]</w:t>
      </w:r>
    </w:p>
    <w:p>
      <w:pPr>
        <w:spacing w:after="120" w:before="120"/>
      </w:pPr>
      <w:r>
        <w:t xml:space="preserve"/>
      </w:r>
    </w:p>
    <w:p>
      <w:pPr>
        <w:spacing w:after="80" w:before="80" w:line="360"/>
      </w:pPr>
      <w:r>
        <w:rPr>
          <w:rFonts w:ascii="Arial" w:cs="Arial" w:eastAsia="Arial" w:hAnsi="Arial"/>
          <w:color w:val="2A3D4A"/>
          <w:sz w:val="22"/>
          <w:szCs w:val="22"/>
        </w:rPr>
        <w:t xml:space="preserve">La construction de ce pipeline n'a pas été sans obstacles. J'en retiendrai trois principaux :</w:t>
      </w:r>
    </w:p>
    <w:p>
      <w:pPr>
        <w:spacing w:after="120" w:before="120"/>
      </w:pPr>
      <w:r>
        <w:t xml:space="preserve"/>
      </w:r>
    </w:p>
    <w:p>
      <w:pPr>
        <w:pStyle w:val="ListParagraph"/>
        <w:numPr>
          <w:ilvl w:val="0"/>
          <w:numId w:val="2"/>
        </w:numPr>
        <w:spacing w:after="60" w:before="60" w:line="320"/>
      </w:pPr>
      <w:r>
        <w:rPr>
          <w:rFonts w:ascii="Arial" w:cs="Arial" w:eastAsia="Arial" w:hAnsi="Arial"/>
          <w:b/>
          <w:bCs/>
          <w:color w:val="1A2E3B"/>
          <w:sz w:val="22"/>
          <w:szCs w:val="22"/>
        </w:rPr>
        <w:t xml:space="preserve">Compatibilité Python 3.8 : </w:t>
      </w:r>
      <w:r>
        <w:rPr>
          <w:rFonts w:ascii="Arial" w:cs="Arial" w:eastAsia="Arial" w:hAnsi="Arial"/>
          <w:color w:val="2A3D4A"/>
          <w:sz w:val="22"/>
          <w:szCs w:val="22"/>
        </w:rPr>
        <w:t xml:space="preserve">La syntaxe de typage avec le symbole | n'existe pas en Python 3.8, utilisé dans l'environnement Docker. Tous les fichiers ont été corrigés avec le module typing.</w:t>
      </w:r>
    </w:p>
    <w:p>
      <w:pPr>
        <w:pStyle w:val="ListParagraph"/>
        <w:numPr>
          <w:ilvl w:val="0"/>
          <w:numId w:val="2"/>
        </w:numPr>
        <w:spacing w:after="60" w:before="60" w:line="320"/>
      </w:pPr>
      <w:r>
        <w:rPr>
          <w:rFonts w:ascii="Arial" w:cs="Arial" w:eastAsia="Arial" w:hAnsi="Arial"/>
          <w:b/>
          <w:bCs/>
          <w:color w:val="1A2E3B"/>
          <w:sz w:val="22"/>
          <w:szCs w:val="22"/>
        </w:rPr>
        <w:t xml:space="preserve">Timeout Spark : </w:t>
      </w:r>
      <w:r>
        <w:rPr>
          <w:rFonts w:ascii="Arial" w:cs="Arial" w:eastAsia="Arial" w:hAnsi="Arial"/>
          <w:color w:val="2A3D4A"/>
          <w:sz w:val="22"/>
          <w:szCs w:val="22"/>
        </w:rPr>
        <w:t xml:space="preserve">Le traitement de plus de 5 000 lignes avec Spark dépassait le délai initial de 15 minutes dans Airflow. La limite a été portée à 45 minutes.</w:t>
      </w:r>
    </w:p>
    <w:p>
      <w:pPr>
        <w:pStyle w:val="ListParagraph"/>
        <w:numPr>
          <w:ilvl w:val="0"/>
          <w:numId w:val="2"/>
        </w:numPr>
        <w:spacing w:after="60" w:before="60" w:line="320"/>
      </w:pPr>
      <w:r>
        <w:rPr>
          <w:rFonts w:ascii="Arial" w:cs="Arial" w:eastAsia="Arial" w:hAnsi="Arial"/>
          <w:b/>
          <w:bCs/>
          <w:color w:val="1A2E3B"/>
          <w:sz w:val="22"/>
          <w:szCs w:val="22"/>
        </w:rPr>
        <w:t xml:space="preserve">Données de sources manquantes : </w:t>
      </w:r>
      <w:r>
        <w:rPr>
          <w:rFonts w:ascii="Arial" w:cs="Arial" w:eastAsia="Arial" w:hAnsi="Arial"/>
          <w:color w:val="2A3D4A"/>
          <w:sz w:val="22"/>
          <w:szCs w:val="22"/>
        </w:rPr>
        <w:t xml:space="preserve">Les alias de sources scrapées — comme immoask_scraped — n'étaient pas reconnus dans la table source_donnees, causant 543 annonces ignorées. Un dictionnaire d'alias a résolu le problème.</w:t>
      </w:r>
    </w:p>
    <w:p>
      <w:pPr>
        <w:pBdr>
          <w:bottom w:val="single" w:color="028090" w:sz="6" w:space="1"/>
        </w:pBdr>
        <w:spacing w:after="200" w:before="200"/>
      </w:pPr>
      <w:r>
        <w:t xml:space="preserve"/>
      </w:r>
    </w:p>
    <w:p>
      <w:pPr>
        <w:pStyle w:val="Heading1"/>
        <w:spacing w:after="160" w:before="360"/>
      </w:pPr>
      <w:r>
        <w:rPr>
          <w:rFonts w:ascii="Arial" w:cs="Arial" w:eastAsia="Arial" w:hAnsi="Arial"/>
          <w:b/>
          <w:bCs/>
          <w:color w:val="1D4E89"/>
          <w:sz w:val="30"/>
          <w:szCs w:val="30"/>
        </w:rPr>
        <w:t xml:space="preserve">6. Conclusion &amp; Perspectives</w:t>
      </w:r>
    </w:p>
    <w:p>
      <w:pPr>
        <w:spacing w:after="100" w:before="40"/>
      </w:pPr>
      <w:r>
        <w:rPr>
          <w:rFonts w:ascii="Arial" w:cs="Arial" w:eastAsia="Arial" w:hAnsi="Arial"/>
          <w:b/>
          <w:bCs/>
          <w:color w:val="5A7A8A"/>
          <w:sz w:val="18"/>
          <w:szCs w:val="18"/>
        </w:rPr>
        <w:t xml:space="preserve">⏱ 1 minute</w:t>
      </w:r>
    </w:p>
    <w:p>
      <w:pPr>
        <w:spacing w:after="60" w:before="60" w:line="320"/>
        <w:ind w:left="720"/>
      </w:pPr>
      <w:r>
        <w:rPr>
          <w:rFonts w:ascii="Arial" w:cs="Arial" w:eastAsia="Arial" w:hAnsi="Arial"/>
          <w:i/>
          <w:iCs/>
          <w:color w:val="028090"/>
          <w:sz w:val="20"/>
          <w:szCs w:val="20"/>
        </w:rPr>
        <w:t xml:space="preserve">[ Bien terminer. Regarder l'audience. Parler lentement. ]</w:t>
      </w:r>
    </w:p>
    <w:p>
      <w:pPr>
        <w:spacing w:after="120" w:before="120"/>
      </w:pPr>
      <w:r>
        <w:t xml:space="preserve"/>
      </w:r>
    </w:p>
    <w:p>
      <w:pPr>
        <w:spacing w:after="80" w:before="80" w:line="360"/>
      </w:pPr>
      <w:r>
        <w:rPr>
          <w:rFonts w:ascii="Arial" w:cs="Arial" w:eastAsia="Arial" w:hAnsi="Arial"/>
          <w:color w:val="2A3D4A"/>
          <w:sz w:val="22"/>
          <w:szCs w:val="22"/>
        </w:rPr>
        <w:t xml:space="preserve">ID Immobilier est aujourd'hui un système fonctionnel, automatisé, et déployé. Il répond à un besoin réel du marché togolais : disposer d'une référence fiable des prix immobiliers.</w:t>
      </w:r>
    </w:p>
    <w:p>
      <w:pPr>
        <w:spacing w:after="120" w:before="120"/>
      </w:pPr>
      <w:r>
        <w:t xml:space="preserve"/>
      </w:r>
    </w:p>
    <w:p>
      <w:pPr>
        <w:spacing w:after="80" w:before="80" w:line="360"/>
      </w:pPr>
      <w:r>
        <w:rPr>
          <w:rFonts w:ascii="Arial" w:cs="Arial" w:eastAsia="Arial" w:hAnsi="Arial"/>
          <w:color w:val="2A3D4A"/>
          <w:sz w:val="22"/>
          <w:szCs w:val="22"/>
        </w:rPr>
        <w:t xml:space="preserve">Les prochaines étapes du projet sont :</w:t>
      </w:r>
    </w:p>
    <w:p>
      <w:pPr>
        <w:spacing w:after="120" w:before="120"/>
      </w:pPr>
      <w:r>
        <w:t xml:space="preserve"/>
      </w:r>
    </w:p>
    <w:p>
      <w:pPr>
        <w:pStyle w:val="ListParagraph"/>
        <w:numPr>
          <w:ilvl w:val="0"/>
          <w:numId w:val="2"/>
        </w:numPr>
        <w:spacing w:after="60" w:before="60" w:line="320"/>
      </w:pPr>
      <w:r>
        <w:rPr>
          <w:rFonts w:ascii="Arial" w:cs="Arial" w:eastAsia="Arial" w:hAnsi="Arial"/>
          <w:color w:val="2A3D4A"/>
          <w:sz w:val="22"/>
          <w:szCs w:val="22"/>
        </w:rPr>
        <w:t xml:space="preserve">Développer le dashboard Streamlit avec la carte des zones et les graphiques de tendances.</w:t>
      </w:r>
    </w:p>
    <w:p>
      <w:pPr>
        <w:pStyle w:val="ListParagraph"/>
        <w:numPr>
          <w:ilvl w:val="0"/>
          <w:numId w:val="2"/>
        </w:numPr>
        <w:spacing w:after="60" w:before="60" w:line="320"/>
      </w:pPr>
      <w:r>
        <w:rPr>
          <w:rFonts w:ascii="Arial" w:cs="Arial" w:eastAsia="Arial" w:hAnsi="Arial"/>
          <w:color w:val="2A3D4A"/>
          <w:sz w:val="22"/>
          <w:szCs w:val="22"/>
        </w:rPr>
        <w:t xml:space="preserve">Intégrer le scraper CoinAfrique dans un DAG Airflow hebdomadaire séparé.</w:t>
      </w:r>
    </w:p>
    <w:p>
      <w:pPr>
        <w:pStyle w:val="ListParagraph"/>
        <w:numPr>
          <w:ilvl w:val="0"/>
          <w:numId w:val="2"/>
        </w:numPr>
        <w:spacing w:after="60" w:before="60" w:line="320"/>
      </w:pPr>
      <w:r>
        <w:rPr>
          <w:rFonts w:ascii="Arial" w:cs="Arial" w:eastAsia="Arial" w:hAnsi="Arial"/>
          <w:color w:val="2A3D4A"/>
          <w:sz w:val="22"/>
          <w:szCs w:val="22"/>
        </w:rPr>
        <w:t xml:space="preserve">Valider les indices par zone avec des experts du marché.</w:t>
      </w:r>
    </w:p>
    <w:p>
      <w:pPr>
        <w:pStyle w:val="ListParagraph"/>
        <w:numPr>
          <w:ilvl w:val="0"/>
          <w:numId w:val="2"/>
        </w:numPr>
        <w:spacing w:after="60" w:before="60" w:line="320"/>
      </w:pPr>
      <w:r>
        <w:rPr>
          <w:rFonts w:ascii="Arial" w:cs="Arial" w:eastAsia="Arial" w:hAnsi="Arial"/>
          <w:color w:val="2A3D4A"/>
          <w:sz w:val="22"/>
          <w:szCs w:val="22"/>
        </w:rPr>
        <w:t xml:space="preserve">Ouvrir la plateforme aux acteurs institutionnels — notaires, promoteurs, organismes financiers.</w:t>
      </w:r>
    </w:p>
    <w:p>
      <w:pPr>
        <w:spacing w:after="120" w:before="120"/>
      </w:pPr>
      <w:r>
        <w:t xml:space="preserve"/>
      </w:r>
    </w:p>
    <w:p>
      <w:pPr>
        <w:spacing w:after="80" w:before="80" w:line="360"/>
      </w:pPr>
      <w:r>
        <w:rPr>
          <w:rFonts w:ascii="Arial" w:cs="Arial" w:eastAsia="Arial" w:hAnsi="Arial"/>
          <w:color w:val="2A3D4A"/>
          <w:sz w:val="22"/>
          <w:szCs w:val="22"/>
        </w:rPr>
        <w:t xml:space="preserve">L'ambition est claire : faire d'ID Immobilier la première plateforme de transparence du marché immobilier au Togo.</w:t>
      </w:r>
    </w:p>
    <w:p>
      <w:pPr>
        <w:spacing w:after="120" w:before="120"/>
      </w:pPr>
      <w:r>
        <w:t xml:space="preserve"/>
      </w:r>
    </w:p>
    <w:p>
      <w:pPr>
        <w:spacing w:after="240" w:before="240"/>
        <w:jc w:val="center"/>
      </w:pPr>
      <w:r>
        <w:rPr>
          <w:rFonts w:ascii="Arial" w:cs="Arial" w:eastAsia="Arial" w:hAnsi="Arial"/>
          <w:b/>
          <w:bCs/>
          <w:i/>
          <w:iCs/>
          <w:color w:val="1D4E89"/>
          <w:sz w:val="24"/>
          <w:szCs w:val="24"/>
        </w:rPr>
        <w:t xml:space="preserve">Merci pour votre attention. Je reste disponible pour vos questions.</w:t>
      </w:r>
    </w:p>
    <w:p>
      <w:pPr>
        <w:pBdr>
          <w:bottom w:val="single" w:color="028090" w:sz="6" w:space="1"/>
        </w:pBdr>
        <w:spacing w:after="200" w:before="200"/>
      </w:pPr>
      <w:r>
        <w:t xml:space="preserve"/>
      </w:r>
    </w:p>
    <w:p>
      <w:r>
        <w:br w:type="page"/>
      </w:r>
    </w:p>
    <w:p>
      <w:pPr>
        <w:pStyle w:val="Heading1"/>
        <w:spacing w:after="160" w:before="360"/>
      </w:pPr>
      <w:r>
        <w:rPr>
          <w:rFonts w:ascii="Arial" w:cs="Arial" w:eastAsia="Arial" w:hAnsi="Arial"/>
          <w:b/>
          <w:bCs/>
          <w:color w:val="1D4E89"/>
          <w:sz w:val="30"/>
          <w:szCs w:val="30"/>
        </w:rPr>
        <w:t xml:space="preserve">Aide-Mémoire — Questions Probables</w:t>
      </w:r>
    </w:p>
    <w:p>
      <w:pPr>
        <w:spacing w:after="60" w:before="60" w:line="320"/>
        <w:ind w:left="720"/>
      </w:pPr>
      <w:r>
        <w:rPr>
          <w:rFonts w:ascii="Arial" w:cs="Arial" w:eastAsia="Arial" w:hAnsi="Arial"/>
          <w:i/>
          <w:iCs/>
          <w:color w:val="028090"/>
          <w:sz w:val="20"/>
          <w:szCs w:val="20"/>
        </w:rPr>
        <w:t xml:space="preserve">[ À lire avant la présentation. Ne pas nécessairement lire pendant. ]</w:t>
      </w:r>
    </w:p>
    <w:p>
      <w:pPr>
        <w:spacing w:after="120" w:before="120"/>
      </w:pPr>
      <w:r>
        <w:t xml:space="preserve"/>
      </w:r>
    </w:p>
    <w:p>
      <w:pPr>
        <w:spacing w:after="80" w:before="120"/>
      </w:pPr>
      <w:r>
        <w:rPr>
          <w:rFonts w:ascii="Arial" w:cs="Arial" w:eastAsia="Arial" w:hAnsi="Arial"/>
          <w:b/>
          <w:bCs/>
          <w:color w:val="1D4E89"/>
          <w:sz w:val="22"/>
          <w:szCs w:val="22"/>
        </w:rPr>
        <w:t xml:space="preserve">Q : Pourquoi Spark et pas Pandas ?</w:t>
      </w:r>
    </w:p>
    <w:p>
      <w:pPr>
        <w:spacing w:after="80" w:before="80" w:line="360"/>
      </w:pPr>
      <w:r>
        <w:rPr>
          <w:rFonts w:ascii="Arial" w:cs="Arial" w:eastAsia="Arial" w:hAnsi="Arial"/>
          <w:color w:val="2A3D4A"/>
          <w:sz w:val="22"/>
          <w:szCs w:val="22"/>
        </w:rPr>
        <w:t xml:space="preserve">Pandas suffirait pour 5 000 lignes aujourd'hui, mais Spark nous prépare à la montée en charge. Quand le volume atteindra 500 000 annonces, l'infrastructure sera déjà en place sans refactoring majeur.</w:t>
      </w:r>
    </w:p>
    <w:p>
      <w:pPr>
        <w:spacing w:after="120" w:before="120"/>
      </w:pPr>
      <w:r>
        <w:t xml:space="preserve"/>
      </w:r>
    </w:p>
    <w:p>
      <w:pPr>
        <w:spacing w:after="80" w:before="120"/>
      </w:pPr>
      <w:r>
        <w:rPr>
          <w:rFonts w:ascii="Arial" w:cs="Arial" w:eastAsia="Arial" w:hAnsi="Arial"/>
          <w:b/>
          <w:bCs/>
          <w:color w:val="1D4E89"/>
          <w:sz w:val="22"/>
          <w:szCs w:val="22"/>
        </w:rPr>
        <w:t xml:space="preserve">Q : Pourquoi MySQL et pas PostgreSQL ou une base NoSQL ?</w:t>
      </w:r>
    </w:p>
    <w:p>
      <w:pPr>
        <w:spacing w:after="80" w:before="80" w:line="360"/>
      </w:pPr>
      <w:r>
        <w:rPr>
          <w:rFonts w:ascii="Arial" w:cs="Arial" w:eastAsia="Arial" w:hAnsi="Arial"/>
          <w:color w:val="2A3D4A"/>
          <w:sz w:val="22"/>
          <w:szCs w:val="22"/>
        </w:rPr>
        <w:t xml:space="preserve">Le modèle de données est relationnel et bien défini. MySQL est robuste, largement supporté, et parfaitement adapté pour notre cas d'usage. Une migration PostgreSQL est envisageable en Phase 3.</w:t>
      </w:r>
    </w:p>
    <w:p>
      <w:pPr>
        <w:spacing w:after="120" w:before="120"/>
      </w:pPr>
      <w:r>
        <w:t xml:space="preserve"/>
      </w:r>
    </w:p>
    <w:p>
      <w:pPr>
        <w:spacing w:after="80" w:before="120"/>
      </w:pPr>
      <w:r>
        <w:rPr>
          <w:rFonts w:ascii="Arial" w:cs="Arial" w:eastAsia="Arial" w:hAnsi="Arial"/>
          <w:b/>
          <w:bCs/>
          <w:color w:val="1D4E89"/>
          <w:sz w:val="22"/>
          <w:szCs w:val="22"/>
        </w:rPr>
        <w:t xml:space="preserve">Q : Comment gérez-vous la fiabilité des données scrappées ?</w:t>
      </w:r>
    </w:p>
    <w:p>
      <w:pPr>
        <w:spacing w:after="80" w:before="80" w:line="360"/>
      </w:pPr>
      <w:r>
        <w:rPr>
          <w:rFonts w:ascii="Arial" w:cs="Arial" w:eastAsia="Arial" w:hAnsi="Arial"/>
          <w:color w:val="2A3D4A"/>
          <w:sz w:val="22"/>
          <w:szCs w:val="22"/>
        </w:rPr>
        <w:t xml:space="preserve">Via les règles de nettoyage Spark — validation des prix, standardisation des types, déduplication. Le taux de rejet de 3,1 % montre que la majorité des données sont exploitables. Les rejets sont tracés dans un fichier séparé pour audit.</w:t>
      </w:r>
    </w:p>
    <w:p>
      <w:pPr>
        <w:spacing w:after="120" w:before="120"/>
      </w:pPr>
      <w:r>
        <w:t xml:space="preserve"/>
      </w:r>
    </w:p>
    <w:p>
      <w:pPr>
        <w:spacing w:after="80" w:before="120"/>
      </w:pPr>
      <w:r>
        <w:rPr>
          <w:rFonts w:ascii="Arial" w:cs="Arial" w:eastAsia="Arial" w:hAnsi="Arial"/>
          <w:b/>
          <w:bCs/>
          <w:color w:val="1D4E89"/>
          <w:sz w:val="22"/>
          <w:szCs w:val="22"/>
        </w:rPr>
        <w:t xml:space="preserve">Q : Comment est calculé l'indice ID Immobilier ?</w:t>
      </w:r>
    </w:p>
    <w:p>
      <w:pPr>
        <w:spacing w:after="80" w:before="80" w:line="360"/>
      </w:pPr>
      <w:r>
        <w:rPr>
          <w:rFonts w:ascii="Arial" w:cs="Arial" w:eastAsia="Arial" w:hAnsi="Arial"/>
          <w:color w:val="2A3D4A"/>
          <w:sz w:val="22"/>
          <w:szCs w:val="22"/>
        </w:rPr>
        <w:t xml:space="preserve">L'indice est calculé sur la base 100 de la période de référence. Pour chaque zone et chaque type de bien, on compare le prix moyen au mètre carré de la période actuelle au prix de référence. Une variation positive classe la zone en HAUSSE, nulle en STABLE, négative en BAISSE.</w:t>
      </w:r>
    </w:p>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spacing w:before="100"/>
    </w:pPr>
    <w:r>
      <w:rPr>
        <w:rFonts w:ascii="Arial" w:cs="Arial" w:eastAsia="Arial" w:hAnsi="Arial"/>
        <w:color w:val="5A7A8A"/>
        <w:sz w:val="16"/>
        <w:szCs w:val="16"/>
      </w:rPr>
      <w:t xml:space="preserve">ID Immobilier · Marché Immobilier du Togo · 2025–2026</w:t>
    </w:r>
    <w:r>
      <w:rPr>
        <w:rFonts w:ascii="Arial" w:cs="Arial" w:eastAsia="Arial" w:hAnsi="Arial"/>
        <w:color w:val="5A7A8A"/>
        <w:sz w:val="16"/>
        <w:szCs w:val="16"/>
      </w:rPr>
      <w:t xml:space="preserve">	Page </w:t>
    </w:r>
    <w:r>
      <w:rPr>
        <w:color w:val="5A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4" w:space="1"/>
      </w:pBdr>
      <w:spacing w:after="100"/>
    </w:pPr>
    <w:r>
      <w:rPr>
        <w:rFonts w:ascii="Arial" w:cs="Arial" w:eastAsia="Arial" w:hAnsi="Arial"/>
        <w:b/>
        <w:bCs/>
        <w:color w:val="5A7A8A"/>
        <w:sz w:val="18"/>
        <w:szCs w:val="18"/>
      </w:rPr>
      <w:t xml:space="preserve">ID Immobilier — Script de Présentation</w:t>
    </w:r>
    <w:r>
      <w:rPr>
        <w:rFonts w:ascii="Arial" w:cs="Arial" w:eastAsia="Arial" w:hAnsi="Arial"/>
        <w:color w:val="AABCCC"/>
        <w:sz w:val="16"/>
        <w:szCs w:val="16"/>
      </w:rPr>
      <w:t xml:space="preserve">    |    Confidentiel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4E8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E85D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2026-03-08T15:32:19.192Z</dcterms:created>
  <dcterms:modified xsi:type="dcterms:W3CDTF">2026-03-08T15:32:19.193Z</dcterms:modified>
</cp:coreProperties>
</file>

<file path=docProps/custom.xml><?xml version="1.0" encoding="utf-8"?>
<Properties xmlns="http://schemas.openxmlformats.org/officeDocument/2006/custom-properties" xmlns:vt="http://schemas.openxmlformats.org/officeDocument/2006/docPropsVTypes"/>
</file>