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10E0" w:rsidRPr="003A10E0" w:rsidRDefault="003A10E0" w:rsidP="003A10E0">
      <w:pPr>
        <w:shd w:val="clear" w:color="auto" w:fill="23282F"/>
        <w:spacing w:line="600" w:lineRule="atLeast"/>
        <w:outlineLvl w:val="0"/>
        <w:rPr>
          <w:rFonts w:ascii="ElsevierGulliver" w:eastAsia="Times New Roman" w:hAnsi="ElsevierGulliver"/>
          <w:color w:val="FFFFFF"/>
          <w:kern w:val="36"/>
          <w:sz w:val="48"/>
          <w:szCs w:val="48"/>
          <w:lang w:eastAsia="fr-FR"/>
        </w:rPr>
      </w:pPr>
      <w:bookmarkStart w:id="0" w:name="_Toc216069491"/>
      <w:r w:rsidRPr="003A10E0">
        <w:rPr>
          <w:rFonts w:ascii="ElsevierGulliver" w:eastAsia="Times New Roman" w:hAnsi="ElsevierGulliver"/>
          <w:color w:val="FFFFFF"/>
          <w:kern w:val="36"/>
          <w:sz w:val="48"/>
          <w:szCs w:val="48"/>
          <w:lang w:eastAsia="fr-FR"/>
        </w:rPr>
        <w:t>Astrocyte</w:t>
      </w:r>
      <w:bookmarkEnd w:id="0"/>
    </w:p>
    <w:p w:rsidR="003A10E0" w:rsidRPr="003A10E0" w:rsidRDefault="003A10E0" w:rsidP="003A10E0">
      <w:pPr>
        <w:shd w:val="clear" w:color="auto" w:fill="23282F"/>
        <w:rPr>
          <w:rFonts w:ascii="Times New Roman" w:eastAsia="Times New Roman" w:hAnsi="Times New Roman"/>
          <w:color w:val="FFFFFF"/>
          <w:sz w:val="24"/>
          <w:szCs w:val="24"/>
          <w:lang w:eastAsia="fr-FR"/>
        </w:rPr>
      </w:pPr>
      <w:r w:rsidRPr="003A10E0">
        <w:rPr>
          <w:rFonts w:ascii="Times New Roman" w:eastAsia="Times New Roman" w:hAnsi="Times New Roman"/>
          <w:color w:val="FFFFFF"/>
          <w:sz w:val="24"/>
          <w:szCs w:val="24"/>
          <w:lang w:eastAsia="fr-FR"/>
        </w:rPr>
        <w:t>In subject area: </w:t>
      </w:r>
      <w:hyperlink r:id="rId5" w:history="1">
        <w:r w:rsidRPr="003A10E0">
          <w:rPr>
            <w:rFonts w:ascii="Times New Roman" w:eastAsia="Times New Roman" w:hAnsi="Times New Roman"/>
            <w:color w:val="FFFFFF"/>
            <w:sz w:val="24"/>
            <w:szCs w:val="24"/>
            <w:lang w:eastAsia="fr-FR"/>
          </w:rPr>
          <w:t>Neuroscience</w:t>
        </w:r>
      </w:hyperlink>
    </w:p>
    <w:p w:rsidR="003A10E0" w:rsidRPr="003A10E0" w:rsidRDefault="003A10E0" w:rsidP="003A10E0">
      <w:pPr>
        <w:shd w:val="clear" w:color="auto" w:fill="23282F"/>
        <w:spacing w:line="420" w:lineRule="atLeast"/>
        <w:outlineLvl w:val="1"/>
        <w:rPr>
          <w:rFonts w:ascii="Times New Roman" w:eastAsia="Times New Roman" w:hAnsi="Times New Roman"/>
          <w:b/>
          <w:bCs/>
          <w:color w:val="FFFFFF"/>
          <w:sz w:val="30"/>
          <w:szCs w:val="30"/>
          <w:lang w:eastAsia="fr-FR"/>
        </w:rPr>
      </w:pPr>
      <w:bookmarkStart w:id="1" w:name="_Toc216069492"/>
      <w:r w:rsidRPr="003A10E0">
        <w:rPr>
          <w:rFonts w:ascii="Times New Roman" w:eastAsia="Times New Roman" w:hAnsi="Times New Roman"/>
          <w:b/>
          <w:bCs/>
          <w:color w:val="FFFFFF"/>
          <w:sz w:val="30"/>
          <w:szCs w:val="30"/>
          <w:lang w:eastAsia="fr-FR"/>
        </w:rPr>
        <w:t>Definition of topic</w:t>
      </w:r>
      <w:bookmarkEnd w:id="1"/>
    </w:p>
    <w:p w:rsidR="003A10E0" w:rsidRPr="003A10E0" w:rsidRDefault="003A10E0" w:rsidP="003A10E0">
      <w:pPr>
        <w:shd w:val="clear" w:color="auto" w:fill="23282F"/>
        <w:rPr>
          <w:rFonts w:ascii="Times New Roman" w:eastAsia="Times New Roman" w:hAnsi="Times New Roman"/>
          <w:color w:val="FFFFFF"/>
          <w:sz w:val="24"/>
          <w:szCs w:val="24"/>
          <w:lang w:eastAsia="fr-FR"/>
        </w:rPr>
      </w:pPr>
      <w:r w:rsidRPr="003A10E0">
        <w:rPr>
          <w:rFonts w:ascii="ElsevierSans" w:eastAsia="Times New Roman" w:hAnsi="ElsevierSans"/>
          <w:b/>
          <w:bCs/>
          <w:color w:val="1F1F1F"/>
          <w:sz w:val="18"/>
          <w:szCs w:val="18"/>
          <w:shd w:val="clear" w:color="auto" w:fill="FFFFFF"/>
          <w:lang w:eastAsia="fr-FR"/>
        </w:rPr>
        <w:t>AI</w:t>
      </w:r>
    </w:p>
    <w:p w:rsidR="003A10E0" w:rsidRPr="003A10E0" w:rsidRDefault="003A10E0" w:rsidP="003A10E0">
      <w:pPr>
        <w:shd w:val="clear" w:color="auto" w:fill="23282F"/>
        <w:spacing w:line="360" w:lineRule="atLeast"/>
        <w:rPr>
          <w:rFonts w:ascii="Times New Roman" w:eastAsia="Times New Roman" w:hAnsi="Times New Roman"/>
          <w:color w:val="FFFFFF"/>
          <w:sz w:val="24"/>
          <w:szCs w:val="24"/>
          <w:lang w:eastAsia="fr-FR"/>
        </w:rPr>
      </w:pPr>
      <w:r w:rsidRPr="003A10E0">
        <w:rPr>
          <w:rFonts w:ascii="Times New Roman" w:eastAsia="Times New Roman" w:hAnsi="Times New Roman"/>
          <w:color w:val="FFFFFF"/>
          <w:sz w:val="24"/>
          <w:szCs w:val="24"/>
          <w:lang w:eastAsia="fr-FR"/>
        </w:rPr>
        <w:t xml:space="preserve">Astrocytes are star-shaped glial cells that primarily occupy gray matter, playing crucial roles in forming the blood-brain barrier, providing growth cues to neurons, and regulating ion and neurotransmitter metabolism in healthy brain tissue. In response to neural injury, they become reactive, leading to the formation of a glial scar characterized by tightly packed, </w:t>
      </w:r>
      <w:proofErr w:type="spellStart"/>
      <w:r w:rsidRPr="003A10E0">
        <w:rPr>
          <w:rFonts w:ascii="Times New Roman" w:eastAsia="Times New Roman" w:hAnsi="Times New Roman"/>
          <w:color w:val="FFFFFF"/>
          <w:sz w:val="24"/>
          <w:szCs w:val="24"/>
          <w:lang w:eastAsia="fr-FR"/>
        </w:rPr>
        <w:t>hyperfilamentous</w:t>
      </w:r>
      <w:proofErr w:type="spellEnd"/>
      <w:r w:rsidRPr="003A10E0">
        <w:rPr>
          <w:rFonts w:ascii="Times New Roman" w:eastAsia="Times New Roman" w:hAnsi="Times New Roman"/>
          <w:color w:val="FFFFFF"/>
          <w:sz w:val="24"/>
          <w:szCs w:val="24"/>
          <w:lang w:eastAsia="fr-FR"/>
        </w:rPr>
        <w:t xml:space="preserve"> astrocytes.</w:t>
      </w:r>
    </w:p>
    <w:p w:rsidR="003A10E0" w:rsidRPr="003A10E0" w:rsidRDefault="003A10E0" w:rsidP="003A10E0">
      <w:pPr>
        <w:spacing w:line="420" w:lineRule="atLeast"/>
        <w:rPr>
          <w:rFonts w:ascii="ElsevierSans" w:eastAsia="Times New Roman" w:hAnsi="ElsevierSans"/>
          <w:color w:val="000000"/>
          <w:sz w:val="30"/>
          <w:szCs w:val="30"/>
          <w:lang w:eastAsia="fr-FR"/>
        </w:rPr>
      </w:pPr>
      <w:r w:rsidRPr="003A10E0">
        <w:rPr>
          <w:rFonts w:ascii="ElsevierSans" w:eastAsia="Times New Roman" w:hAnsi="ElsevierSans"/>
          <w:color w:val="000000"/>
          <w:sz w:val="30"/>
          <w:szCs w:val="30"/>
          <w:lang w:eastAsia="fr-FR"/>
        </w:rPr>
        <w:t xml:space="preserve">Topic </w:t>
      </w:r>
      <w:proofErr w:type="spellStart"/>
      <w:r w:rsidRPr="003A10E0">
        <w:rPr>
          <w:rFonts w:ascii="ElsevierSans" w:eastAsia="Times New Roman" w:hAnsi="ElsevierSans"/>
          <w:color w:val="000000"/>
          <w:sz w:val="30"/>
          <w:szCs w:val="30"/>
          <w:lang w:eastAsia="fr-FR"/>
        </w:rPr>
        <w:t>summary</w:t>
      </w:r>
      <w:r w:rsidRPr="003A10E0">
        <w:rPr>
          <w:rFonts w:ascii="ElsevierSans" w:eastAsia="Times New Roman" w:hAnsi="ElsevierSans"/>
          <w:b/>
          <w:bCs/>
          <w:color w:val="FFFFFF"/>
          <w:sz w:val="18"/>
          <w:szCs w:val="18"/>
          <w:shd w:val="clear" w:color="auto" w:fill="2E354D"/>
          <w:lang w:eastAsia="fr-FR"/>
        </w:rPr>
        <w:t>AI</w:t>
      </w:r>
      <w:proofErr w:type="spellEnd"/>
    </w:p>
    <w:p w:rsidR="002928F6" w:rsidRDefault="002928F6" w:rsidP="003A10E0">
      <w:pPr>
        <w:spacing w:line="420" w:lineRule="atLeast"/>
        <w:outlineLvl w:val="1"/>
        <w:rPr>
          <w:rFonts w:ascii="ElsevierSans" w:eastAsia="Times New Roman" w:hAnsi="ElsevierSans"/>
          <w:color w:val="000000"/>
          <w:sz w:val="30"/>
          <w:szCs w:val="30"/>
          <w:lang w:eastAsia="fr-FR"/>
        </w:rPr>
      </w:pPr>
      <w:r w:rsidRPr="002928F6">
        <w:rPr>
          <w:rFonts w:ascii="ElsevierSans" w:eastAsia="Times New Roman" w:hAnsi="ElsevierSans"/>
          <w:color w:val="000000"/>
          <w:sz w:val="30"/>
          <w:szCs w:val="30"/>
          <w:highlight w:val="green"/>
          <w:lang w:eastAsia="fr-FR"/>
        </w:rPr>
        <w:t>https://www.sciencedirect.com/topics/neuroscience/astrocyte</w:t>
      </w:r>
    </w:p>
    <w:p w:rsidR="002928F6" w:rsidRDefault="002928F6" w:rsidP="003A10E0">
      <w:pPr>
        <w:spacing w:line="420" w:lineRule="atLeast"/>
        <w:outlineLvl w:val="1"/>
        <w:rPr>
          <w:rFonts w:ascii="ElsevierSans" w:eastAsia="Times New Roman" w:hAnsi="ElsevierSans"/>
          <w:color w:val="000000"/>
          <w:sz w:val="30"/>
          <w:szCs w:val="30"/>
          <w:lang w:eastAsia="fr-FR"/>
        </w:rPr>
      </w:pPr>
    </w:p>
    <w:p w:rsidR="003A10E0" w:rsidRDefault="002928F6" w:rsidP="003A10E0">
      <w:pPr>
        <w:spacing w:line="420" w:lineRule="atLeast"/>
        <w:outlineLvl w:val="1"/>
        <w:rPr>
          <w:rFonts w:ascii="ElsevierSans" w:eastAsia="Times New Roman" w:hAnsi="ElsevierSans"/>
          <w:b/>
          <w:bCs/>
          <w:color w:val="1F1F1F"/>
          <w:sz w:val="18"/>
          <w:szCs w:val="18"/>
          <w:lang w:eastAsia="fr-FR"/>
        </w:rPr>
        <w:sectPr w:rsidR="003A10E0">
          <w:pgSz w:w="11906" w:h="16838"/>
          <w:pgMar w:top="1417" w:right="1417" w:bottom="1417" w:left="1417" w:header="708" w:footer="708" w:gutter="0"/>
          <w:cols w:space="708"/>
          <w:docGrid w:linePitch="360"/>
        </w:sectPr>
      </w:pPr>
      <w:r>
        <w:rPr>
          <w:rFonts w:ascii="ElsevierSans" w:eastAsia="Times New Roman" w:hAnsi="ElsevierSans"/>
          <w:color w:val="000000"/>
          <w:sz w:val="30"/>
          <w:szCs w:val="30"/>
          <w:lang w:eastAsia="fr-FR"/>
        </w:rPr>
        <w:t>ScienceDirect -Astrocyte</w:t>
      </w:r>
      <w:r w:rsidR="003A10E0">
        <w:rPr>
          <w:rFonts w:ascii="ElsevierSans" w:eastAsia="Times New Roman" w:hAnsi="ElsevierSans"/>
          <w:color w:val="000000"/>
          <w:sz w:val="30"/>
          <w:szCs w:val="30"/>
          <w:lang w:eastAsia="fr-FR"/>
        </w:rPr>
        <w:br/>
      </w:r>
    </w:p>
    <w:p w:rsidR="003A10E0" w:rsidRDefault="003A10E0">
      <w:pPr>
        <w:pStyle w:val="TM1"/>
        <w:tabs>
          <w:tab w:val="right" w:leader="dot" w:pos="4869"/>
        </w:tabs>
        <w:rPr>
          <w:noProof/>
        </w:rPr>
      </w:pPr>
      <w:r>
        <w:rPr>
          <w:rStyle w:val="lev"/>
          <w:highlight w:val="green"/>
        </w:rPr>
        <w:fldChar w:fldCharType="begin"/>
      </w:r>
      <w:r>
        <w:rPr>
          <w:rStyle w:val="lev"/>
          <w:highlight w:val="green"/>
        </w:rPr>
        <w:instrText xml:space="preserve"> TOC \o "1-7" \h \z \u </w:instrText>
      </w:r>
      <w:r>
        <w:rPr>
          <w:rStyle w:val="lev"/>
          <w:highlight w:val="green"/>
        </w:rPr>
        <w:fldChar w:fldCharType="separate"/>
      </w:r>
      <w:hyperlink w:anchor="_Toc216069491" w:history="1">
        <w:r w:rsidRPr="001E5C64">
          <w:rPr>
            <w:rStyle w:val="Lienhypertexte"/>
            <w:rFonts w:ascii="ElsevierGulliver" w:eastAsia="Times New Roman" w:hAnsi="ElsevierGulliver"/>
            <w:noProof/>
            <w:kern w:val="36"/>
            <w:lang w:eastAsia="fr-FR"/>
          </w:rPr>
          <w:t>Astro</w:t>
        </w:r>
        <w:r w:rsidRPr="001E5C64">
          <w:rPr>
            <w:rStyle w:val="Lienhypertexte"/>
            <w:rFonts w:ascii="ElsevierGulliver" w:eastAsia="Times New Roman" w:hAnsi="ElsevierGulliver"/>
            <w:noProof/>
            <w:kern w:val="36"/>
            <w:lang w:eastAsia="fr-FR"/>
          </w:rPr>
          <w:t>c</w:t>
        </w:r>
        <w:r w:rsidRPr="001E5C64">
          <w:rPr>
            <w:rStyle w:val="Lienhypertexte"/>
            <w:rFonts w:ascii="ElsevierGulliver" w:eastAsia="Times New Roman" w:hAnsi="ElsevierGulliver"/>
            <w:noProof/>
            <w:kern w:val="36"/>
            <w:lang w:eastAsia="fr-FR"/>
          </w:rPr>
          <w:t>yte</w:t>
        </w:r>
        <w:r>
          <w:rPr>
            <w:noProof/>
            <w:webHidden/>
          </w:rPr>
          <w:tab/>
        </w:r>
        <w:r>
          <w:rPr>
            <w:noProof/>
            <w:webHidden/>
          </w:rPr>
          <w:fldChar w:fldCharType="begin"/>
        </w:r>
        <w:r>
          <w:rPr>
            <w:noProof/>
            <w:webHidden/>
          </w:rPr>
          <w:instrText xml:space="preserve"> PAGEREF _Toc216069491 \h </w:instrText>
        </w:r>
        <w:r>
          <w:rPr>
            <w:noProof/>
            <w:webHidden/>
          </w:rPr>
        </w:r>
        <w:r>
          <w:rPr>
            <w:noProof/>
            <w:webHidden/>
          </w:rPr>
          <w:fldChar w:fldCharType="separate"/>
        </w:r>
        <w:r>
          <w:rPr>
            <w:noProof/>
            <w:webHidden/>
          </w:rPr>
          <w:t>1</w:t>
        </w:r>
        <w:r>
          <w:rPr>
            <w:noProof/>
            <w:webHidden/>
          </w:rPr>
          <w:fldChar w:fldCharType="end"/>
        </w:r>
      </w:hyperlink>
    </w:p>
    <w:p w:rsidR="003A10E0" w:rsidRDefault="003A10E0">
      <w:pPr>
        <w:pStyle w:val="TM2"/>
        <w:tabs>
          <w:tab w:val="right" w:leader="dot" w:pos="4869"/>
        </w:tabs>
        <w:rPr>
          <w:noProof/>
        </w:rPr>
      </w:pPr>
      <w:hyperlink w:anchor="_Toc216069492" w:history="1">
        <w:r w:rsidRPr="001E5C64">
          <w:rPr>
            <w:rStyle w:val="Lienhypertexte"/>
            <w:rFonts w:ascii="Times New Roman" w:eastAsia="Times New Roman" w:hAnsi="Times New Roman"/>
            <w:b/>
            <w:bCs/>
            <w:noProof/>
            <w:lang w:eastAsia="fr-FR"/>
          </w:rPr>
          <w:t>Definition of topic</w:t>
        </w:r>
        <w:r>
          <w:rPr>
            <w:noProof/>
            <w:webHidden/>
          </w:rPr>
          <w:tab/>
        </w:r>
        <w:r>
          <w:rPr>
            <w:noProof/>
            <w:webHidden/>
          </w:rPr>
          <w:fldChar w:fldCharType="begin"/>
        </w:r>
        <w:r>
          <w:rPr>
            <w:noProof/>
            <w:webHidden/>
          </w:rPr>
          <w:instrText xml:space="preserve"> PAGEREF _Toc216069492 \h </w:instrText>
        </w:r>
        <w:r>
          <w:rPr>
            <w:noProof/>
            <w:webHidden/>
          </w:rPr>
        </w:r>
        <w:r>
          <w:rPr>
            <w:noProof/>
            <w:webHidden/>
          </w:rPr>
          <w:fldChar w:fldCharType="separate"/>
        </w:r>
        <w:r>
          <w:rPr>
            <w:noProof/>
            <w:webHidden/>
          </w:rPr>
          <w:t>1</w:t>
        </w:r>
        <w:r>
          <w:rPr>
            <w:noProof/>
            <w:webHidden/>
          </w:rPr>
          <w:fldChar w:fldCharType="end"/>
        </w:r>
      </w:hyperlink>
    </w:p>
    <w:p w:rsidR="003A10E0" w:rsidRDefault="003A10E0">
      <w:pPr>
        <w:pStyle w:val="TM2"/>
        <w:tabs>
          <w:tab w:val="right" w:leader="dot" w:pos="4869"/>
        </w:tabs>
        <w:rPr>
          <w:noProof/>
        </w:rPr>
      </w:pPr>
      <w:hyperlink w:anchor="_Toc216069493" w:history="1">
        <w:r w:rsidRPr="001E5C64">
          <w:rPr>
            <w:rStyle w:val="Lienhypertexte"/>
            <w:noProof/>
            <w:highlight w:val="green"/>
          </w:rPr>
          <w:t>1. Introduction to Astrocytes in Neuro Science</w:t>
        </w:r>
        <w:r>
          <w:rPr>
            <w:noProof/>
            <w:webHidden/>
          </w:rPr>
          <w:tab/>
        </w:r>
        <w:r>
          <w:rPr>
            <w:noProof/>
            <w:webHidden/>
          </w:rPr>
          <w:fldChar w:fldCharType="begin"/>
        </w:r>
        <w:r>
          <w:rPr>
            <w:noProof/>
            <w:webHidden/>
          </w:rPr>
          <w:instrText xml:space="preserve"> PAGEREF _Toc216069493 \h </w:instrText>
        </w:r>
        <w:r>
          <w:rPr>
            <w:noProof/>
            <w:webHidden/>
          </w:rPr>
        </w:r>
        <w:r>
          <w:rPr>
            <w:noProof/>
            <w:webHidden/>
          </w:rPr>
          <w:fldChar w:fldCharType="separate"/>
        </w:r>
        <w:r>
          <w:rPr>
            <w:noProof/>
            <w:webHidden/>
          </w:rPr>
          <w:t>1</w:t>
        </w:r>
        <w:r>
          <w:rPr>
            <w:noProof/>
            <w:webHidden/>
          </w:rPr>
          <w:fldChar w:fldCharType="end"/>
        </w:r>
      </w:hyperlink>
    </w:p>
    <w:p w:rsidR="003A10E0" w:rsidRDefault="003A10E0">
      <w:pPr>
        <w:pStyle w:val="TM2"/>
        <w:tabs>
          <w:tab w:val="right" w:leader="dot" w:pos="4869"/>
        </w:tabs>
        <w:rPr>
          <w:noProof/>
        </w:rPr>
      </w:pPr>
      <w:hyperlink w:anchor="_Toc216069494" w:history="1">
        <w:r w:rsidRPr="001E5C64">
          <w:rPr>
            <w:rStyle w:val="Lienhypertexte"/>
            <w:b/>
            <w:bCs/>
            <w:noProof/>
            <w:lang w:eastAsia="fr-FR"/>
          </w:rPr>
          <w:t>2. Morphology, Classification, and Molecular Markers of Astrocytes</w:t>
        </w:r>
        <w:r>
          <w:rPr>
            <w:noProof/>
            <w:webHidden/>
          </w:rPr>
          <w:tab/>
        </w:r>
        <w:r>
          <w:rPr>
            <w:noProof/>
            <w:webHidden/>
          </w:rPr>
          <w:fldChar w:fldCharType="begin"/>
        </w:r>
        <w:r>
          <w:rPr>
            <w:noProof/>
            <w:webHidden/>
          </w:rPr>
          <w:instrText xml:space="preserve"> PAGEREF _Toc216069494 \h </w:instrText>
        </w:r>
        <w:r>
          <w:rPr>
            <w:noProof/>
            <w:webHidden/>
          </w:rPr>
        </w:r>
        <w:r>
          <w:rPr>
            <w:noProof/>
            <w:webHidden/>
          </w:rPr>
          <w:fldChar w:fldCharType="separate"/>
        </w:r>
        <w:r>
          <w:rPr>
            <w:noProof/>
            <w:webHidden/>
          </w:rPr>
          <w:t>1</w:t>
        </w:r>
        <w:r>
          <w:rPr>
            <w:noProof/>
            <w:webHidden/>
          </w:rPr>
          <w:fldChar w:fldCharType="end"/>
        </w:r>
      </w:hyperlink>
    </w:p>
    <w:p w:rsidR="003A10E0" w:rsidRDefault="003A10E0">
      <w:pPr>
        <w:pStyle w:val="TM2"/>
        <w:tabs>
          <w:tab w:val="right" w:leader="dot" w:pos="4869"/>
        </w:tabs>
        <w:rPr>
          <w:noProof/>
        </w:rPr>
      </w:pPr>
      <w:hyperlink w:anchor="_Toc216069495" w:history="1">
        <w:r w:rsidRPr="001E5C64">
          <w:rPr>
            <w:rStyle w:val="Lienhypertexte"/>
            <w:b/>
            <w:bCs/>
            <w:noProof/>
            <w:lang w:eastAsia="fr-FR"/>
          </w:rPr>
          <w:t>3. Functional Roles of Astrocytes in the Nervous System</w:t>
        </w:r>
        <w:r>
          <w:rPr>
            <w:noProof/>
            <w:webHidden/>
          </w:rPr>
          <w:tab/>
        </w:r>
        <w:r>
          <w:rPr>
            <w:noProof/>
            <w:webHidden/>
          </w:rPr>
          <w:fldChar w:fldCharType="begin"/>
        </w:r>
        <w:r>
          <w:rPr>
            <w:noProof/>
            <w:webHidden/>
          </w:rPr>
          <w:instrText xml:space="preserve"> PAGEREF _Toc216069495 \h </w:instrText>
        </w:r>
        <w:r>
          <w:rPr>
            <w:noProof/>
            <w:webHidden/>
          </w:rPr>
        </w:r>
        <w:r>
          <w:rPr>
            <w:noProof/>
            <w:webHidden/>
          </w:rPr>
          <w:fldChar w:fldCharType="separate"/>
        </w:r>
        <w:r>
          <w:rPr>
            <w:noProof/>
            <w:webHidden/>
          </w:rPr>
          <w:t>2</w:t>
        </w:r>
        <w:r>
          <w:rPr>
            <w:noProof/>
            <w:webHidden/>
          </w:rPr>
          <w:fldChar w:fldCharType="end"/>
        </w:r>
      </w:hyperlink>
    </w:p>
    <w:p w:rsidR="003A10E0" w:rsidRDefault="003A10E0">
      <w:pPr>
        <w:pStyle w:val="TM2"/>
        <w:tabs>
          <w:tab w:val="right" w:leader="dot" w:pos="4869"/>
        </w:tabs>
        <w:rPr>
          <w:noProof/>
        </w:rPr>
      </w:pPr>
      <w:hyperlink w:anchor="_Toc216069496" w:history="1">
        <w:r w:rsidRPr="001E5C64">
          <w:rPr>
            <w:rStyle w:val="Lienhypertexte"/>
            <w:b/>
            <w:bCs/>
            <w:noProof/>
            <w:lang w:eastAsia="fr-FR"/>
          </w:rPr>
          <w:t>4. Astrocytes in Neural Development and Plasticity</w:t>
        </w:r>
        <w:r>
          <w:rPr>
            <w:noProof/>
            <w:webHidden/>
          </w:rPr>
          <w:tab/>
        </w:r>
        <w:r>
          <w:rPr>
            <w:noProof/>
            <w:webHidden/>
          </w:rPr>
          <w:fldChar w:fldCharType="begin"/>
        </w:r>
        <w:r>
          <w:rPr>
            <w:noProof/>
            <w:webHidden/>
          </w:rPr>
          <w:instrText xml:space="preserve"> PAGEREF _Toc216069496 \h </w:instrText>
        </w:r>
        <w:r>
          <w:rPr>
            <w:noProof/>
            <w:webHidden/>
          </w:rPr>
        </w:r>
        <w:r>
          <w:rPr>
            <w:noProof/>
            <w:webHidden/>
          </w:rPr>
          <w:fldChar w:fldCharType="separate"/>
        </w:r>
        <w:r>
          <w:rPr>
            <w:noProof/>
            <w:webHidden/>
          </w:rPr>
          <w:t>2</w:t>
        </w:r>
        <w:r>
          <w:rPr>
            <w:noProof/>
            <w:webHidden/>
          </w:rPr>
          <w:fldChar w:fldCharType="end"/>
        </w:r>
      </w:hyperlink>
    </w:p>
    <w:p w:rsidR="003A10E0" w:rsidRDefault="003A10E0">
      <w:pPr>
        <w:pStyle w:val="TM2"/>
        <w:tabs>
          <w:tab w:val="right" w:leader="dot" w:pos="4869"/>
        </w:tabs>
        <w:rPr>
          <w:noProof/>
        </w:rPr>
      </w:pPr>
      <w:hyperlink w:anchor="_Toc216069497" w:history="1">
        <w:r w:rsidRPr="001E5C64">
          <w:rPr>
            <w:rStyle w:val="Lienhypertexte"/>
            <w:b/>
            <w:bCs/>
            <w:noProof/>
            <w:lang w:eastAsia="fr-FR"/>
          </w:rPr>
          <w:t>5. Astrocytes in Neurological Disorders and Therapeutic Potential</w:t>
        </w:r>
        <w:r>
          <w:rPr>
            <w:noProof/>
            <w:webHidden/>
          </w:rPr>
          <w:tab/>
        </w:r>
        <w:r>
          <w:rPr>
            <w:noProof/>
            <w:webHidden/>
          </w:rPr>
          <w:fldChar w:fldCharType="begin"/>
        </w:r>
        <w:r>
          <w:rPr>
            <w:noProof/>
            <w:webHidden/>
          </w:rPr>
          <w:instrText xml:space="preserve"> PAGEREF _Toc216069497 \h </w:instrText>
        </w:r>
        <w:r>
          <w:rPr>
            <w:noProof/>
            <w:webHidden/>
          </w:rPr>
        </w:r>
        <w:r>
          <w:rPr>
            <w:noProof/>
            <w:webHidden/>
          </w:rPr>
          <w:fldChar w:fldCharType="separate"/>
        </w:r>
        <w:r>
          <w:rPr>
            <w:noProof/>
            <w:webHidden/>
          </w:rPr>
          <w:t>2</w:t>
        </w:r>
        <w:r>
          <w:rPr>
            <w:noProof/>
            <w:webHidden/>
          </w:rPr>
          <w:fldChar w:fldCharType="end"/>
        </w:r>
      </w:hyperlink>
    </w:p>
    <w:p w:rsidR="003A10E0" w:rsidRDefault="003A10E0">
      <w:pPr>
        <w:pStyle w:val="TM2"/>
        <w:tabs>
          <w:tab w:val="right" w:leader="dot" w:pos="4869"/>
        </w:tabs>
        <w:rPr>
          <w:noProof/>
        </w:rPr>
      </w:pPr>
      <w:hyperlink w:anchor="_Toc216069498" w:history="1">
        <w:r w:rsidRPr="001E5C64">
          <w:rPr>
            <w:rStyle w:val="Lienhypertexte"/>
            <w:b/>
            <w:bCs/>
            <w:noProof/>
            <w:lang w:eastAsia="fr-FR"/>
          </w:rPr>
          <w:t>6. Conclusion</w:t>
        </w:r>
        <w:r>
          <w:rPr>
            <w:noProof/>
            <w:webHidden/>
          </w:rPr>
          <w:tab/>
        </w:r>
        <w:r>
          <w:rPr>
            <w:noProof/>
            <w:webHidden/>
          </w:rPr>
          <w:fldChar w:fldCharType="begin"/>
        </w:r>
        <w:r>
          <w:rPr>
            <w:noProof/>
            <w:webHidden/>
          </w:rPr>
          <w:instrText xml:space="preserve"> PAGEREF _Toc216069498 \h </w:instrText>
        </w:r>
        <w:r>
          <w:rPr>
            <w:noProof/>
            <w:webHidden/>
          </w:rPr>
        </w:r>
        <w:r>
          <w:rPr>
            <w:noProof/>
            <w:webHidden/>
          </w:rPr>
          <w:fldChar w:fldCharType="separate"/>
        </w:r>
        <w:r>
          <w:rPr>
            <w:noProof/>
            <w:webHidden/>
          </w:rPr>
          <w:t>3</w:t>
        </w:r>
        <w:r>
          <w:rPr>
            <w:noProof/>
            <w:webHidden/>
          </w:rPr>
          <w:fldChar w:fldCharType="end"/>
        </w:r>
      </w:hyperlink>
    </w:p>
    <w:p w:rsidR="003A10E0" w:rsidRPr="003A10E0" w:rsidRDefault="003A10E0" w:rsidP="003A10E0">
      <w:pPr>
        <w:pStyle w:val="Titre2"/>
        <w:rPr>
          <w:rStyle w:val="lev"/>
          <w:lang w:val="en-US"/>
        </w:rPr>
      </w:pPr>
      <w:r>
        <w:rPr>
          <w:rStyle w:val="lev"/>
          <w:highlight w:val="green"/>
        </w:rPr>
        <w:fldChar w:fldCharType="end"/>
      </w:r>
      <w:bookmarkStart w:id="2" w:name="_Toc216069493"/>
      <w:r w:rsidRPr="003A10E0">
        <w:rPr>
          <w:rStyle w:val="lev"/>
          <w:highlight w:val="green"/>
          <w:lang w:val="en-US"/>
        </w:rPr>
        <w:t>1. Introduction to Astrocytes in Neuro Science</w:t>
      </w:r>
      <w:bookmarkEnd w:id="2"/>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Astrocytes, also known as </w:t>
      </w:r>
      <w:hyperlink r:id="rId6" w:history="1">
        <w:r w:rsidRPr="003A10E0">
          <w:rPr>
            <w:rFonts w:ascii="ElsevierSans" w:eastAsia="Times New Roman" w:hAnsi="ElsevierSans"/>
            <w:color w:val="1F1F1F"/>
            <w:sz w:val="18"/>
            <w:szCs w:val="18"/>
            <w:u w:val="single"/>
            <w:lang w:eastAsia="fr-FR"/>
          </w:rPr>
          <w:t>astroglia</w:t>
        </w:r>
      </w:hyperlink>
      <w:r w:rsidRPr="003A10E0">
        <w:rPr>
          <w:rFonts w:ascii="ElsevierSans" w:eastAsia="Times New Roman" w:hAnsi="ElsevierSans"/>
          <w:color w:val="1F1F1F"/>
          <w:sz w:val="18"/>
          <w:szCs w:val="18"/>
          <w:lang w:eastAsia="fr-FR"/>
        </w:rPr>
        <w:t>, are the most abundant </w:t>
      </w:r>
      <w:hyperlink r:id="rId7" w:history="1">
        <w:r w:rsidRPr="003A10E0">
          <w:rPr>
            <w:rFonts w:ascii="ElsevierSans" w:eastAsia="Times New Roman" w:hAnsi="ElsevierSans"/>
            <w:color w:val="1F1F1F"/>
            <w:sz w:val="18"/>
            <w:szCs w:val="18"/>
            <w:u w:val="single"/>
            <w:lang w:eastAsia="fr-FR"/>
          </w:rPr>
          <w:t>glial cells</w:t>
        </w:r>
      </w:hyperlink>
      <w:r w:rsidRPr="003A10E0">
        <w:rPr>
          <w:rFonts w:ascii="ElsevierSans" w:eastAsia="Times New Roman" w:hAnsi="ElsevierSans"/>
          <w:color w:val="1F1F1F"/>
          <w:sz w:val="18"/>
          <w:szCs w:val="18"/>
          <w:lang w:eastAsia="fr-FR"/>
        </w:rPr>
        <w:t> in the </w:t>
      </w:r>
      <w:hyperlink r:id="rId8" w:history="1">
        <w:r w:rsidRPr="003A10E0">
          <w:rPr>
            <w:rFonts w:ascii="ElsevierSans" w:eastAsia="Times New Roman" w:hAnsi="ElsevierSans"/>
            <w:color w:val="1F1F1F"/>
            <w:sz w:val="18"/>
            <w:szCs w:val="18"/>
            <w:u w:val="single"/>
            <w:lang w:eastAsia="fr-FR"/>
          </w:rPr>
          <w:t>central nervous system</w:t>
        </w:r>
      </w:hyperlink>
      <w:r w:rsidRPr="003A10E0">
        <w:rPr>
          <w:rFonts w:ascii="ElsevierSans" w:eastAsia="Times New Roman" w:hAnsi="ElsevierSans"/>
          <w:color w:val="1F1F1F"/>
          <w:sz w:val="18"/>
          <w:szCs w:val="18"/>
          <w:lang w:eastAsia="fr-FR"/>
        </w:rPr>
        <w:t xml:space="preserve"> (CNS), </w:t>
      </w:r>
      <w:r w:rsidRPr="003A10E0">
        <w:rPr>
          <w:rFonts w:ascii="ElsevierSans" w:eastAsia="Times New Roman" w:hAnsi="ElsevierSans"/>
          <w:color w:val="1F1F1F"/>
          <w:sz w:val="18"/>
          <w:szCs w:val="18"/>
          <w:highlight w:val="yellow"/>
          <w:lang w:eastAsia="fr-FR"/>
        </w:rPr>
        <w:t>outnumbering neurons by over five-fold in some regions and comprising up to 20–40% of the adult human brain’s cellular</w:t>
      </w:r>
      <w:r w:rsidRPr="003A10E0">
        <w:rPr>
          <w:rFonts w:ascii="ElsevierSans" w:eastAsia="Times New Roman" w:hAnsi="ElsevierSans"/>
          <w:color w:val="1F1F1F"/>
          <w:sz w:val="18"/>
          <w:szCs w:val="18"/>
          <w:lang w:eastAsia="fr-FR"/>
        </w:rPr>
        <w:t xml:space="preserve"> population. 1 2 3 Historically, astrocytes were first described as “nerve glue” (</w:t>
      </w:r>
      <w:proofErr w:type="spellStart"/>
      <w:r w:rsidRPr="003A10E0">
        <w:rPr>
          <w:rFonts w:ascii="ElsevierSans" w:eastAsia="Times New Roman" w:hAnsi="ElsevierSans"/>
          <w:color w:val="1F1F1F"/>
          <w:sz w:val="18"/>
          <w:szCs w:val="18"/>
          <w:lang w:eastAsia="fr-FR"/>
        </w:rPr>
        <w:t>Nervenkitt</w:t>
      </w:r>
      <w:proofErr w:type="spellEnd"/>
      <w:r w:rsidRPr="003A10E0">
        <w:rPr>
          <w:rFonts w:ascii="ElsevierSans" w:eastAsia="Times New Roman" w:hAnsi="ElsevierSans"/>
          <w:color w:val="1F1F1F"/>
          <w:sz w:val="18"/>
          <w:szCs w:val="18"/>
          <w:lang w:eastAsia="fr-FR"/>
        </w:rPr>
        <w:t>) by Rudolf Virchow in 1858, with the term “astrocyte” later coined by </w:t>
      </w:r>
      <w:hyperlink r:id="rId9" w:history="1">
        <w:r w:rsidRPr="003A10E0">
          <w:rPr>
            <w:rFonts w:ascii="ElsevierSans" w:eastAsia="Times New Roman" w:hAnsi="ElsevierSans"/>
            <w:color w:val="1F1F1F"/>
            <w:sz w:val="18"/>
            <w:szCs w:val="18"/>
            <w:u w:val="single"/>
            <w:lang w:eastAsia="fr-FR"/>
          </w:rPr>
          <w:t>Michael</w:t>
        </w:r>
      </w:hyperlink>
      <w:r w:rsidRPr="003A10E0">
        <w:rPr>
          <w:rFonts w:ascii="ElsevierSans" w:eastAsia="Times New Roman" w:hAnsi="ElsevierSans"/>
          <w:color w:val="1F1F1F"/>
          <w:sz w:val="18"/>
          <w:szCs w:val="18"/>
          <w:lang w:eastAsia="fr-FR"/>
        </w:rPr>
        <w:t xml:space="preserve"> von </w:t>
      </w:r>
      <w:proofErr w:type="spellStart"/>
      <w:r w:rsidRPr="003A10E0">
        <w:rPr>
          <w:rFonts w:ascii="ElsevierSans" w:eastAsia="Times New Roman" w:hAnsi="ElsevierSans"/>
          <w:color w:val="1F1F1F"/>
          <w:sz w:val="18"/>
          <w:szCs w:val="18"/>
          <w:lang w:eastAsia="fr-FR"/>
        </w:rPr>
        <w:t>Lenhossék</w:t>
      </w:r>
      <w:proofErr w:type="spellEnd"/>
      <w:r w:rsidRPr="003A10E0">
        <w:rPr>
          <w:rFonts w:ascii="ElsevierSans" w:eastAsia="Times New Roman" w:hAnsi="ElsevierSans"/>
          <w:color w:val="1F1F1F"/>
          <w:sz w:val="18"/>
          <w:szCs w:val="18"/>
          <w:lang w:eastAsia="fr-FR"/>
        </w:rPr>
        <w:t xml:space="preserve"> in 1893 to reflect their star-shaped morphology. 4 5 6 Early research considered astrocytes as passive support cells, providing structural scaffolding for neurons, but subsequent studies have revealed their active and multifaceted roles in brain physiology. 7 8</w:t>
      </w:r>
      <w:r>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 xml:space="preserve">Astrocytes are critical for </w:t>
      </w:r>
      <w:r w:rsidRPr="003A10E0">
        <w:rPr>
          <w:rFonts w:ascii="ElsevierSans" w:eastAsia="Times New Roman" w:hAnsi="ElsevierSans"/>
          <w:color w:val="1F1F1F"/>
          <w:sz w:val="18"/>
          <w:szCs w:val="18"/>
          <w:highlight w:val="yellow"/>
          <w:lang w:eastAsia="fr-FR"/>
        </w:rPr>
        <w:t>maintaining neural </w:t>
      </w:r>
      <w:hyperlink r:id="rId10" w:history="1">
        <w:r w:rsidRPr="003A10E0">
          <w:rPr>
            <w:rFonts w:ascii="ElsevierSans" w:eastAsia="Times New Roman" w:hAnsi="ElsevierSans"/>
            <w:color w:val="1F1F1F"/>
            <w:sz w:val="18"/>
            <w:szCs w:val="18"/>
            <w:highlight w:val="yellow"/>
            <w:u w:val="single"/>
            <w:lang w:eastAsia="fr-FR"/>
          </w:rPr>
          <w:t>homeostasis</w:t>
        </w:r>
      </w:hyperlink>
      <w:r w:rsidRPr="003A10E0">
        <w:rPr>
          <w:rFonts w:ascii="ElsevierSans" w:eastAsia="Times New Roman" w:hAnsi="ElsevierSans"/>
          <w:color w:val="1F1F1F"/>
          <w:sz w:val="18"/>
          <w:szCs w:val="18"/>
          <w:highlight w:val="yellow"/>
          <w:lang w:eastAsia="fr-FR"/>
        </w:rPr>
        <w:t>, including regulation of extracellular </w:t>
      </w:r>
      <w:hyperlink r:id="rId11" w:history="1">
        <w:r w:rsidRPr="003A10E0">
          <w:rPr>
            <w:rFonts w:ascii="ElsevierSans" w:eastAsia="Times New Roman" w:hAnsi="ElsevierSans"/>
            <w:color w:val="1F1F1F"/>
            <w:sz w:val="18"/>
            <w:szCs w:val="18"/>
            <w:highlight w:val="yellow"/>
            <w:u w:val="single"/>
            <w:lang w:eastAsia="fr-FR"/>
          </w:rPr>
          <w:t>ion concentrations</w:t>
        </w:r>
      </w:hyperlink>
      <w:r w:rsidRPr="003A10E0">
        <w:rPr>
          <w:rFonts w:ascii="ElsevierSans" w:eastAsia="Times New Roman" w:hAnsi="ElsevierSans"/>
          <w:color w:val="1F1F1F"/>
          <w:sz w:val="18"/>
          <w:szCs w:val="18"/>
          <w:highlight w:val="yellow"/>
          <w:lang w:eastAsia="fr-FR"/>
        </w:rPr>
        <w:t>, </w:t>
      </w:r>
      <w:hyperlink r:id="rId12" w:history="1">
        <w:r w:rsidRPr="003A10E0">
          <w:rPr>
            <w:rFonts w:ascii="ElsevierSans" w:eastAsia="Times New Roman" w:hAnsi="ElsevierSans"/>
            <w:color w:val="1F1F1F"/>
            <w:sz w:val="18"/>
            <w:szCs w:val="18"/>
            <w:highlight w:val="yellow"/>
            <w:u w:val="single"/>
            <w:lang w:eastAsia="fr-FR"/>
          </w:rPr>
          <w:t>neurotransmitter</w:t>
        </w:r>
      </w:hyperlink>
      <w:r w:rsidRPr="003A10E0">
        <w:rPr>
          <w:rFonts w:ascii="ElsevierSans" w:eastAsia="Times New Roman" w:hAnsi="ElsevierSans"/>
          <w:color w:val="1F1F1F"/>
          <w:sz w:val="18"/>
          <w:szCs w:val="18"/>
          <w:highlight w:val="yellow"/>
          <w:lang w:eastAsia="fr-FR"/>
        </w:rPr>
        <w:t> clearance, and pH balance.</w:t>
      </w:r>
      <w:r w:rsidRPr="003A10E0">
        <w:rPr>
          <w:rFonts w:ascii="ElsevierSans" w:eastAsia="Times New Roman" w:hAnsi="ElsevierSans"/>
          <w:color w:val="1F1F1F"/>
          <w:sz w:val="18"/>
          <w:szCs w:val="18"/>
          <w:lang w:eastAsia="fr-FR"/>
        </w:rPr>
        <w:t xml:space="preserve"> 9 10 They modulate synaptic function by </w:t>
      </w:r>
      <w:r w:rsidRPr="003A10E0">
        <w:rPr>
          <w:rFonts w:ascii="ElsevierSans" w:eastAsia="Times New Roman" w:hAnsi="ElsevierSans"/>
          <w:color w:val="1F1F1F"/>
          <w:sz w:val="18"/>
          <w:szCs w:val="18"/>
          <w:lang w:eastAsia="fr-FR"/>
        </w:rPr>
        <w:t>enveloping </w:t>
      </w:r>
      <w:hyperlink r:id="rId13" w:history="1">
        <w:r w:rsidRPr="003A10E0">
          <w:rPr>
            <w:rFonts w:ascii="ElsevierSans" w:eastAsia="Times New Roman" w:hAnsi="ElsevierSans"/>
            <w:color w:val="1F1F1F"/>
            <w:sz w:val="18"/>
            <w:szCs w:val="18"/>
            <w:u w:val="single"/>
            <w:lang w:eastAsia="fr-FR"/>
          </w:rPr>
          <w:t>synapses</w:t>
        </w:r>
      </w:hyperlink>
      <w:r w:rsidRPr="003A10E0">
        <w:rPr>
          <w:rFonts w:ascii="ElsevierSans" w:eastAsia="Times New Roman" w:hAnsi="ElsevierSans"/>
          <w:color w:val="1F1F1F"/>
          <w:sz w:val="18"/>
          <w:szCs w:val="18"/>
          <w:lang w:eastAsia="fr-FR"/>
        </w:rPr>
        <w:t xml:space="preserve">, participating in the tripartite synapse, and </w:t>
      </w:r>
      <w:r w:rsidRPr="003A10E0">
        <w:rPr>
          <w:rFonts w:ascii="ElsevierSans" w:eastAsia="Times New Roman" w:hAnsi="ElsevierSans"/>
          <w:b/>
          <w:bCs/>
          <w:color w:val="1F1F1F"/>
          <w:sz w:val="18"/>
          <w:szCs w:val="18"/>
          <w:highlight w:val="yellow"/>
          <w:lang w:eastAsia="fr-FR"/>
        </w:rPr>
        <w:t>releasing gliotransmitters such as glutamate, </w:t>
      </w:r>
      <w:hyperlink r:id="rId14" w:history="1">
        <w:r w:rsidRPr="003A10E0">
          <w:rPr>
            <w:rFonts w:ascii="ElsevierSans" w:eastAsia="Times New Roman" w:hAnsi="ElsevierSans"/>
            <w:b/>
            <w:bCs/>
            <w:color w:val="1F1F1F"/>
            <w:sz w:val="18"/>
            <w:szCs w:val="18"/>
            <w:highlight w:val="yellow"/>
            <w:u w:val="single"/>
            <w:lang w:eastAsia="fr-FR"/>
          </w:rPr>
          <w:t>adenosine triphosphate</w:t>
        </w:r>
      </w:hyperlink>
      <w:r w:rsidRPr="003A10E0">
        <w:rPr>
          <w:rFonts w:ascii="ElsevierSans" w:eastAsia="Times New Roman" w:hAnsi="ElsevierSans"/>
          <w:b/>
          <w:bCs/>
          <w:color w:val="1F1F1F"/>
          <w:sz w:val="18"/>
          <w:szCs w:val="18"/>
          <w:highlight w:val="yellow"/>
          <w:lang w:eastAsia="fr-FR"/>
        </w:rPr>
        <w:t> (ATP), and D-serine,</w:t>
      </w:r>
      <w:r w:rsidRPr="003A10E0">
        <w:rPr>
          <w:rFonts w:ascii="ElsevierSans" w:eastAsia="Times New Roman" w:hAnsi="ElsevierSans"/>
          <w:b/>
          <w:bCs/>
          <w:color w:val="1F1F1F"/>
          <w:sz w:val="18"/>
          <w:szCs w:val="18"/>
          <w:lang w:eastAsia="fr-FR"/>
        </w:rPr>
        <w:t xml:space="preserve"> which influence synaptic transmission and plasticity. 11</w:t>
      </w:r>
      <w:r w:rsidRPr="003A10E0">
        <w:rPr>
          <w:rFonts w:ascii="ElsevierSans" w:eastAsia="Times New Roman" w:hAnsi="ElsevierSans"/>
          <w:color w:val="1F1F1F"/>
          <w:sz w:val="18"/>
          <w:szCs w:val="18"/>
          <w:lang w:eastAsia="fr-FR"/>
        </w:rPr>
        <w:t xml:space="preserve"> 12 13 Astrocytes also play a central role in </w:t>
      </w:r>
      <w:r w:rsidRPr="003A10E0">
        <w:rPr>
          <w:rFonts w:ascii="ElsevierSans" w:eastAsia="Times New Roman" w:hAnsi="ElsevierSans"/>
          <w:b/>
          <w:bCs/>
          <w:color w:val="1F1F1F"/>
          <w:sz w:val="18"/>
          <w:szCs w:val="18"/>
          <w:highlight w:val="green"/>
          <w:lang w:eastAsia="fr-FR"/>
        </w:rPr>
        <w:t>neurovascular coupling,</w:t>
      </w:r>
      <w:r w:rsidRPr="003A10E0">
        <w:rPr>
          <w:rFonts w:ascii="ElsevierSans" w:eastAsia="Times New Roman" w:hAnsi="ElsevierSans"/>
          <w:color w:val="1F1F1F"/>
          <w:sz w:val="18"/>
          <w:szCs w:val="18"/>
          <w:lang w:eastAsia="fr-FR"/>
        </w:rPr>
        <w:t xml:space="preserve"> integrating neuronal activity with cerebral blood </w:t>
      </w:r>
      <w:r w:rsidRPr="003A10E0">
        <w:rPr>
          <w:rFonts w:ascii="ElsevierSans" w:eastAsia="Times New Roman" w:hAnsi="ElsevierSans"/>
          <w:color w:val="1F1F1F"/>
          <w:sz w:val="18"/>
          <w:szCs w:val="18"/>
          <w:highlight w:val="yellow"/>
          <w:lang w:eastAsia="fr-FR"/>
        </w:rPr>
        <w:t xml:space="preserve">flow through their </w:t>
      </w:r>
      <w:proofErr w:type="spellStart"/>
      <w:r w:rsidRPr="003A10E0">
        <w:rPr>
          <w:rFonts w:ascii="ElsevierSans" w:eastAsia="Times New Roman" w:hAnsi="ElsevierSans"/>
          <w:color w:val="1F1F1F"/>
          <w:sz w:val="18"/>
          <w:szCs w:val="18"/>
          <w:highlight w:val="yellow"/>
          <w:lang w:eastAsia="fr-FR"/>
        </w:rPr>
        <w:t>endfeet</w:t>
      </w:r>
      <w:proofErr w:type="spellEnd"/>
      <w:r w:rsidRPr="003A10E0">
        <w:rPr>
          <w:rFonts w:ascii="ElsevierSans" w:eastAsia="Times New Roman" w:hAnsi="ElsevierSans"/>
          <w:color w:val="1F1F1F"/>
          <w:sz w:val="18"/>
          <w:szCs w:val="18"/>
          <w:highlight w:val="yellow"/>
          <w:lang w:eastAsia="fr-FR"/>
        </w:rPr>
        <w:t xml:space="preserve"> that contact blood vessels and release vasoactive substances</w:t>
      </w:r>
      <w:r w:rsidRPr="003A10E0">
        <w:rPr>
          <w:rFonts w:ascii="ElsevierSans" w:eastAsia="Times New Roman" w:hAnsi="ElsevierSans"/>
          <w:color w:val="1F1F1F"/>
          <w:sz w:val="18"/>
          <w:szCs w:val="18"/>
          <w:lang w:eastAsia="fr-FR"/>
        </w:rPr>
        <w:t>. 14 15 Their involvement in neural circuits extends to supporting synaptogenesis, synaptic remodeling, and acting as neural progenitors in specific brain regions. 8 16 17</w:t>
      </w:r>
      <w:r>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In both healthy and diseased states, astrocytes are essential for </w:t>
      </w:r>
      <w:hyperlink r:id="rId15" w:history="1">
        <w:r w:rsidRPr="003A10E0">
          <w:rPr>
            <w:rFonts w:ascii="ElsevierSans" w:eastAsia="Times New Roman" w:hAnsi="ElsevierSans"/>
            <w:color w:val="1F1F1F"/>
            <w:sz w:val="18"/>
            <w:szCs w:val="18"/>
            <w:u w:val="single"/>
            <w:lang w:eastAsia="fr-FR"/>
          </w:rPr>
          <w:t>brain function</w:t>
        </w:r>
      </w:hyperlink>
      <w:r w:rsidRPr="003A10E0">
        <w:rPr>
          <w:rFonts w:ascii="ElsevierSans" w:eastAsia="Times New Roman" w:hAnsi="ElsevierSans"/>
          <w:color w:val="1F1F1F"/>
          <w:sz w:val="18"/>
          <w:szCs w:val="18"/>
          <w:lang w:eastAsia="fr-FR"/>
        </w:rPr>
        <w:t>, contributing to </w:t>
      </w:r>
      <w:hyperlink r:id="rId16" w:history="1">
        <w:r w:rsidRPr="003A10E0">
          <w:rPr>
            <w:rFonts w:ascii="ElsevierSans" w:eastAsia="Times New Roman" w:hAnsi="ElsevierSans"/>
            <w:color w:val="1F1F1F"/>
            <w:sz w:val="18"/>
            <w:szCs w:val="18"/>
            <w:u w:val="single"/>
            <w:lang w:eastAsia="fr-FR"/>
          </w:rPr>
          <w:t>neuroprotection</w:t>
        </w:r>
      </w:hyperlink>
      <w:r w:rsidRPr="003A10E0">
        <w:rPr>
          <w:rFonts w:ascii="ElsevierSans" w:eastAsia="Times New Roman" w:hAnsi="ElsevierSans"/>
          <w:color w:val="1F1F1F"/>
          <w:sz w:val="18"/>
          <w:szCs w:val="18"/>
          <w:lang w:eastAsia="fr-FR"/>
        </w:rPr>
        <w:t>, immune responses, and tissue repair following injury. 18 19 15 </w:t>
      </w:r>
      <w:r w:rsidRPr="003A10E0">
        <w:rPr>
          <w:rFonts w:ascii="ElsevierSans" w:eastAsia="Times New Roman" w:hAnsi="ElsevierSans"/>
          <w:b/>
          <w:bCs/>
          <w:color w:val="1F1F1F"/>
          <w:sz w:val="18"/>
          <w:szCs w:val="18"/>
          <w:lang w:eastAsia="fr-FR"/>
        </w:rPr>
        <w:t>Their dysfunction is increasingly recognized as a factor in </w:t>
      </w:r>
      <w:hyperlink r:id="rId17" w:history="1">
        <w:r w:rsidRPr="003A10E0">
          <w:rPr>
            <w:rFonts w:ascii="ElsevierSans" w:eastAsia="Times New Roman" w:hAnsi="ElsevierSans"/>
            <w:b/>
            <w:bCs/>
            <w:color w:val="1F1F1F"/>
            <w:sz w:val="18"/>
            <w:szCs w:val="18"/>
            <w:u w:val="single"/>
            <w:lang w:eastAsia="fr-FR"/>
          </w:rPr>
          <w:t>neurodegenerative and neuropsychiatric disorders</w:t>
        </w:r>
      </w:hyperlink>
      <w:r w:rsidRPr="003A10E0">
        <w:rPr>
          <w:rFonts w:ascii="ElsevierSans" w:eastAsia="Times New Roman" w:hAnsi="ElsevierSans"/>
          <w:b/>
          <w:bCs/>
          <w:color w:val="1F1F1F"/>
          <w:sz w:val="18"/>
          <w:szCs w:val="18"/>
          <w:lang w:eastAsia="fr-FR"/>
        </w:rPr>
        <w:t>. </w:t>
      </w:r>
      <w:r w:rsidRPr="003A10E0">
        <w:rPr>
          <w:rFonts w:ascii="ElsevierSans" w:eastAsia="Times New Roman" w:hAnsi="ElsevierSans"/>
          <w:color w:val="1F1F1F"/>
          <w:sz w:val="18"/>
          <w:szCs w:val="18"/>
          <w:lang w:eastAsia="fr-FR"/>
        </w:rPr>
        <w:t>20 Astrocytes exhibit remarkable morphological and molecular heterogeneity, with distinct subtypes identified across the CNS. 21 2 9</w:t>
      </w:r>
    </w:p>
    <w:p w:rsidR="003A10E0" w:rsidRPr="003A10E0" w:rsidRDefault="003A10E0" w:rsidP="003A10E0">
      <w:pPr>
        <w:spacing w:line="420" w:lineRule="atLeast"/>
        <w:outlineLvl w:val="1"/>
        <w:rPr>
          <w:rStyle w:val="lev"/>
          <w:lang w:eastAsia="fr-FR"/>
        </w:rPr>
      </w:pPr>
      <w:bookmarkStart w:id="3" w:name="_Toc216069494"/>
      <w:r w:rsidRPr="003A10E0">
        <w:rPr>
          <w:rStyle w:val="lev"/>
          <w:highlight w:val="green"/>
          <w:lang w:eastAsia="fr-FR"/>
        </w:rPr>
        <w:t>2. Morphology, Classification, and Molecular Markers of Astrocytes</w:t>
      </w:r>
      <w:bookmarkEnd w:id="3"/>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Astrocytes are star-shaped glial cells derived from radial </w:t>
      </w:r>
      <w:hyperlink r:id="rId18" w:history="1">
        <w:r w:rsidRPr="003A10E0">
          <w:rPr>
            <w:rFonts w:ascii="ElsevierSans" w:eastAsia="Times New Roman" w:hAnsi="ElsevierSans"/>
            <w:color w:val="1F1F1F"/>
            <w:sz w:val="18"/>
            <w:szCs w:val="18"/>
            <w:u w:val="single"/>
            <w:lang w:eastAsia="fr-FR"/>
          </w:rPr>
          <w:t>glia</w:t>
        </w:r>
      </w:hyperlink>
      <w:r w:rsidRPr="003A10E0">
        <w:rPr>
          <w:rFonts w:ascii="ElsevierSans" w:eastAsia="Times New Roman" w:hAnsi="ElsevierSans"/>
          <w:color w:val="1F1F1F"/>
          <w:sz w:val="18"/>
          <w:szCs w:val="18"/>
          <w:lang w:eastAsia="fr-FR"/>
        </w:rPr>
        <w:t xml:space="preserve"> in the </w:t>
      </w:r>
      <w:proofErr w:type="spellStart"/>
      <w:r w:rsidRPr="003A10E0">
        <w:rPr>
          <w:rFonts w:ascii="ElsevierSans" w:eastAsia="Times New Roman" w:hAnsi="ElsevierSans"/>
          <w:color w:val="1F1F1F"/>
          <w:sz w:val="18"/>
          <w:szCs w:val="18"/>
          <w:lang w:eastAsia="fr-FR"/>
        </w:rPr>
        <w:t>neurepithelium</w:t>
      </w:r>
      <w:proofErr w:type="spellEnd"/>
      <w:r w:rsidRPr="003A10E0">
        <w:rPr>
          <w:rFonts w:ascii="ElsevierSans" w:eastAsia="Times New Roman" w:hAnsi="ElsevierSans"/>
          <w:color w:val="1F1F1F"/>
          <w:sz w:val="18"/>
          <w:szCs w:val="18"/>
          <w:lang w:eastAsia="fr-FR"/>
        </w:rPr>
        <w:t xml:space="preserve">. 22 Morphologically, they are classically divided into </w:t>
      </w:r>
      <w:r w:rsidRPr="003A10E0">
        <w:rPr>
          <w:rFonts w:ascii="ElsevierSans" w:eastAsia="Times New Roman" w:hAnsi="ElsevierSans"/>
          <w:color w:val="1F1F1F"/>
          <w:sz w:val="18"/>
          <w:szCs w:val="18"/>
          <w:highlight w:val="green"/>
          <w:lang w:eastAsia="fr-FR"/>
        </w:rPr>
        <w:t>two main types</w:t>
      </w:r>
      <w:r w:rsidRPr="003A10E0">
        <w:rPr>
          <w:rFonts w:ascii="ElsevierSans" w:eastAsia="Times New Roman" w:hAnsi="ElsevierSans"/>
          <w:color w:val="1F1F1F"/>
          <w:sz w:val="18"/>
          <w:szCs w:val="18"/>
          <w:lang w:eastAsia="fr-FR"/>
        </w:rPr>
        <w:t xml:space="preserve">: </w:t>
      </w:r>
      <w:r>
        <w:rPr>
          <w:rFonts w:ascii="ElsevierSans" w:eastAsia="Times New Roman" w:hAnsi="ElsevierSans"/>
          <w:color w:val="1F1F1F"/>
          <w:sz w:val="18"/>
          <w:szCs w:val="18"/>
          <w:lang w:eastAsia="fr-FR"/>
        </w:rPr>
        <w:br/>
        <w:t>-</w:t>
      </w:r>
      <w:r w:rsidRPr="003A10E0">
        <w:rPr>
          <w:rFonts w:ascii="ElsevierSans" w:eastAsia="Times New Roman" w:hAnsi="ElsevierSans"/>
          <w:color w:val="1F1F1F"/>
          <w:sz w:val="18"/>
          <w:szCs w:val="18"/>
          <w:lang w:eastAsia="fr-FR"/>
        </w:rPr>
        <w:t xml:space="preserve">protoplasmic astrocytes, found in the gray matter, which exhibit short, extensively branched processes with a bushy architecture; </w:t>
      </w:r>
      <w:r>
        <w:rPr>
          <w:rFonts w:ascii="ElsevierSans" w:eastAsia="Times New Roman" w:hAnsi="ElsevierSans"/>
          <w:color w:val="1F1F1F"/>
          <w:sz w:val="18"/>
          <w:szCs w:val="18"/>
          <w:lang w:eastAsia="fr-FR"/>
        </w:rPr>
        <w:br/>
        <w:t xml:space="preserve">- </w:t>
      </w:r>
      <w:r w:rsidRPr="003A10E0">
        <w:rPr>
          <w:rFonts w:ascii="ElsevierSans" w:eastAsia="Times New Roman" w:hAnsi="ElsevierSans"/>
          <w:color w:val="1F1F1F"/>
          <w:sz w:val="18"/>
          <w:szCs w:val="18"/>
          <w:lang w:eastAsia="fr-FR"/>
        </w:rPr>
        <w:t>and fibrous astrocytes, located in the white matter, which possess long, elaborate processes. 23 </w:t>
      </w:r>
      <w:r>
        <w:rPr>
          <w:rFonts w:ascii="ElsevierSans" w:eastAsia="Times New Roman" w:hAnsi="ElsevierSans"/>
          <w:color w:val="1F1F1F"/>
          <w:sz w:val="18"/>
          <w:szCs w:val="18"/>
          <w:lang w:eastAsia="fr-FR"/>
        </w:rPr>
        <w:br/>
      </w:r>
      <w:r>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green"/>
          <w:lang w:eastAsia="fr-FR"/>
        </w:rPr>
        <w:t>Protoplasmic astrocytes</w:t>
      </w:r>
      <w:r w:rsidRPr="003A10E0">
        <w:rPr>
          <w:rFonts w:ascii="ElsevierSans" w:eastAsia="Times New Roman" w:hAnsi="ElsevierSans"/>
          <w:color w:val="1F1F1F"/>
          <w:sz w:val="18"/>
          <w:szCs w:val="18"/>
          <w:lang w:eastAsia="fr-FR"/>
        </w:rPr>
        <w:t xml:space="preserve"> are arranged in non-overlapping domains and envelop neuronal cell bodies and synapses, while </w:t>
      </w:r>
      <w:r w:rsidRPr="003A10E0">
        <w:rPr>
          <w:rFonts w:ascii="ElsevierSans" w:eastAsia="Times New Roman" w:hAnsi="ElsevierSans"/>
          <w:color w:val="1F1F1F"/>
          <w:sz w:val="18"/>
          <w:szCs w:val="18"/>
          <w:highlight w:val="green"/>
          <w:lang w:eastAsia="fr-FR"/>
        </w:rPr>
        <w:t xml:space="preserve">fibrous astrocytes </w:t>
      </w:r>
      <w:r w:rsidRPr="003A10E0">
        <w:rPr>
          <w:rFonts w:ascii="ElsevierSans" w:eastAsia="Times New Roman" w:hAnsi="ElsevierSans"/>
          <w:color w:val="1F1F1F"/>
          <w:sz w:val="18"/>
          <w:szCs w:val="18"/>
          <w:highlight w:val="yellow"/>
          <w:lang w:eastAsia="fr-FR"/>
        </w:rPr>
        <w:t>interact with the nodes of Ranvier</w:t>
      </w:r>
      <w:r w:rsidRPr="003A10E0">
        <w:rPr>
          <w:rFonts w:ascii="ElsevierSans" w:eastAsia="Times New Roman" w:hAnsi="ElsevierSans"/>
          <w:color w:val="1F1F1F"/>
          <w:sz w:val="18"/>
          <w:szCs w:val="18"/>
          <w:lang w:eastAsia="fr-FR"/>
        </w:rPr>
        <w:t>. </w:t>
      </w:r>
      <w:r>
        <w:rPr>
          <w:rFonts w:ascii="ElsevierSans" w:eastAsia="Times New Roman" w:hAnsi="ElsevierSans"/>
          <w:color w:val="1F1F1F"/>
          <w:sz w:val="18"/>
          <w:szCs w:val="18"/>
          <w:lang w:eastAsia="fr-FR"/>
        </w:rPr>
        <w:br/>
      </w:r>
      <w:r>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Specialized subtypes include Bergmann glial cells in the </w:t>
      </w:r>
      <w:hyperlink r:id="rId19" w:history="1">
        <w:r w:rsidRPr="003A10E0">
          <w:rPr>
            <w:rFonts w:ascii="ElsevierSans" w:eastAsia="Times New Roman" w:hAnsi="ElsevierSans"/>
            <w:color w:val="1F1F1F"/>
            <w:sz w:val="18"/>
            <w:szCs w:val="18"/>
            <w:u w:val="single"/>
            <w:lang w:eastAsia="fr-FR"/>
          </w:rPr>
          <w:t>cerebellum</w:t>
        </w:r>
      </w:hyperlink>
      <w:r w:rsidRPr="003A10E0">
        <w:rPr>
          <w:rFonts w:ascii="ElsevierSans" w:eastAsia="Times New Roman" w:hAnsi="ElsevierSans"/>
          <w:color w:val="1F1F1F"/>
          <w:sz w:val="18"/>
          <w:szCs w:val="18"/>
          <w:lang w:eastAsia="fr-FR"/>
        </w:rPr>
        <w:t xml:space="preserve"> and </w:t>
      </w:r>
      <w:r w:rsidRPr="003A10E0">
        <w:rPr>
          <w:rFonts w:ascii="ElsevierSans" w:eastAsia="Times New Roman" w:hAnsi="ElsevierSans"/>
          <w:color w:val="1F1F1F"/>
          <w:sz w:val="18"/>
          <w:szCs w:val="18"/>
          <w:highlight w:val="green"/>
          <w:lang w:eastAsia="fr-FR"/>
        </w:rPr>
        <w:t>Müller cells in the retina</w:t>
      </w:r>
      <w:r w:rsidRPr="003A10E0">
        <w:rPr>
          <w:rFonts w:ascii="ElsevierSans" w:eastAsia="Times New Roman" w:hAnsi="ElsevierSans"/>
          <w:color w:val="1F1F1F"/>
          <w:sz w:val="18"/>
          <w:szCs w:val="18"/>
          <w:lang w:eastAsia="fr-FR"/>
        </w:rPr>
        <w:t xml:space="preserve">, which display </w:t>
      </w:r>
      <w:r w:rsidRPr="003A10E0">
        <w:rPr>
          <w:rFonts w:ascii="ElsevierSans" w:eastAsia="Times New Roman" w:hAnsi="ElsevierSans"/>
          <w:color w:val="1F1F1F"/>
          <w:sz w:val="18"/>
          <w:szCs w:val="18"/>
          <w:lang w:eastAsia="fr-FR"/>
        </w:rPr>
        <w:lastRenderedPageBreak/>
        <w:t>distinct morphologies and functions. 24</w:t>
      </w:r>
      <w:r>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Astrocytes demonstrate significant regional and functional heterogeneity, with variable genetic and molecular expression profiles depending on the brain region from which they are isolated. 22 23 24 </w:t>
      </w:r>
      <w:r w:rsidR="00A90556">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 xml:space="preserve">In </w:t>
      </w:r>
      <w:r w:rsidRPr="003A10E0">
        <w:rPr>
          <w:rFonts w:ascii="ElsevierSans" w:eastAsia="Times New Roman" w:hAnsi="ElsevierSans"/>
          <w:b/>
          <w:bCs/>
          <w:color w:val="1F1F1F"/>
          <w:sz w:val="18"/>
          <w:szCs w:val="18"/>
          <w:highlight w:val="yellow"/>
          <w:lang w:eastAsia="fr-FR"/>
        </w:rPr>
        <w:t>humans</w:t>
      </w:r>
      <w:r w:rsidRPr="003A10E0">
        <w:rPr>
          <w:rFonts w:ascii="ElsevierSans" w:eastAsia="Times New Roman" w:hAnsi="ElsevierSans"/>
          <w:color w:val="1F1F1F"/>
          <w:sz w:val="18"/>
          <w:szCs w:val="18"/>
          <w:highlight w:val="yellow"/>
          <w:lang w:eastAsia="fr-FR"/>
        </w:rPr>
        <w:t xml:space="preserve">, astrocytes exhibit greater volumes, </w:t>
      </w:r>
      <w:r w:rsidRPr="003A10E0">
        <w:rPr>
          <w:rFonts w:ascii="ElsevierSans" w:eastAsia="Times New Roman" w:hAnsi="ElsevierSans"/>
          <w:b/>
          <w:bCs/>
          <w:color w:val="1F1F1F"/>
          <w:sz w:val="18"/>
          <w:szCs w:val="18"/>
          <w:highlight w:val="yellow"/>
          <w:lang w:eastAsia="fr-FR"/>
        </w:rPr>
        <w:t>more branches,</w:t>
      </w:r>
      <w:r w:rsidRPr="003A10E0">
        <w:rPr>
          <w:rFonts w:ascii="ElsevierSans" w:eastAsia="Times New Roman" w:hAnsi="ElsevierSans"/>
          <w:color w:val="1F1F1F"/>
          <w:sz w:val="18"/>
          <w:szCs w:val="18"/>
          <w:highlight w:val="yellow"/>
          <w:lang w:eastAsia="fr-FR"/>
        </w:rPr>
        <w:t xml:space="preserve"> and higher arborization complexity compared to rodents. 25</w:t>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 xml:space="preserve">Molecular markers commonly used to identify astrocytes and their subtypes include glial fibrillary acidic protein </w:t>
      </w:r>
      <w:r w:rsidRPr="003A10E0">
        <w:rPr>
          <w:rFonts w:ascii="ElsevierSans" w:eastAsia="Times New Roman" w:hAnsi="ElsevierSans"/>
          <w:color w:val="1F1F1F"/>
          <w:sz w:val="18"/>
          <w:szCs w:val="18"/>
          <w:highlight w:val="yellow"/>
          <w:lang w:eastAsia="fr-FR"/>
        </w:rPr>
        <w:t>(GFAP),</w:t>
      </w:r>
      <w:r w:rsidRPr="003A10E0">
        <w:rPr>
          <w:rFonts w:ascii="ElsevierSans" w:eastAsia="Times New Roman" w:hAnsi="ElsevierSans"/>
          <w:color w:val="1F1F1F"/>
          <w:sz w:val="18"/>
          <w:szCs w:val="18"/>
          <w:lang w:eastAsia="fr-FR"/>
        </w:rPr>
        <w:t xml:space="preserve"> S100B calcium-binding protein, </w:t>
      </w:r>
      <w:hyperlink r:id="rId20" w:history="1">
        <w:r w:rsidRPr="003A10E0">
          <w:rPr>
            <w:rFonts w:ascii="ElsevierSans" w:eastAsia="Times New Roman" w:hAnsi="ElsevierSans"/>
            <w:color w:val="1F1F1F"/>
            <w:sz w:val="18"/>
            <w:szCs w:val="18"/>
            <w:u w:val="single"/>
            <w:lang w:eastAsia="fr-FR"/>
          </w:rPr>
          <w:t>aldehyde</w:t>
        </w:r>
      </w:hyperlink>
      <w:r w:rsidRPr="003A10E0">
        <w:rPr>
          <w:rFonts w:ascii="ElsevierSans" w:eastAsia="Times New Roman" w:hAnsi="ElsevierSans"/>
          <w:color w:val="1F1F1F"/>
          <w:sz w:val="18"/>
          <w:szCs w:val="18"/>
          <w:lang w:eastAsia="fr-FR"/>
        </w:rPr>
        <w:t> </w:t>
      </w:r>
      <w:hyperlink r:id="rId21" w:history="1">
        <w:r w:rsidRPr="003A10E0">
          <w:rPr>
            <w:rFonts w:ascii="ElsevierSans" w:eastAsia="Times New Roman" w:hAnsi="ElsevierSans"/>
            <w:color w:val="1F1F1F"/>
            <w:sz w:val="18"/>
            <w:szCs w:val="18"/>
            <w:u w:val="single"/>
            <w:lang w:eastAsia="fr-FR"/>
          </w:rPr>
          <w:t>dehydrogenase</w:t>
        </w:r>
      </w:hyperlink>
      <w:r w:rsidRPr="003A10E0">
        <w:rPr>
          <w:rFonts w:ascii="ElsevierSans" w:eastAsia="Times New Roman" w:hAnsi="ElsevierSans"/>
          <w:color w:val="1F1F1F"/>
          <w:sz w:val="18"/>
          <w:szCs w:val="18"/>
          <w:lang w:eastAsia="fr-FR"/>
        </w:rPr>
        <w:t> 1 family member L1 (</w:t>
      </w:r>
      <w:r w:rsidRPr="003A10E0">
        <w:rPr>
          <w:rFonts w:ascii="ElsevierSans" w:eastAsia="Times New Roman" w:hAnsi="ElsevierSans"/>
          <w:color w:val="1F1F1F"/>
          <w:sz w:val="18"/>
          <w:szCs w:val="18"/>
          <w:highlight w:val="yellow"/>
          <w:lang w:eastAsia="fr-FR"/>
        </w:rPr>
        <w:t>Aldh1L1</w:t>
      </w:r>
      <w:r w:rsidRPr="003A10E0">
        <w:rPr>
          <w:rFonts w:ascii="ElsevierSans" w:eastAsia="Times New Roman" w:hAnsi="ElsevierSans"/>
          <w:color w:val="1F1F1F"/>
          <w:sz w:val="18"/>
          <w:szCs w:val="18"/>
          <w:lang w:eastAsia="fr-FR"/>
        </w:rPr>
        <w:t xml:space="preserve">), and </w:t>
      </w:r>
      <w:proofErr w:type="spellStart"/>
      <w:r w:rsidRPr="003A10E0">
        <w:rPr>
          <w:rFonts w:ascii="ElsevierSans" w:eastAsia="Times New Roman" w:hAnsi="ElsevierSans"/>
          <w:color w:val="1F1F1F"/>
          <w:sz w:val="18"/>
          <w:szCs w:val="18"/>
          <w:lang w:eastAsia="fr-FR"/>
        </w:rPr>
        <w:t>astroglial</w:t>
      </w:r>
      <w:proofErr w:type="spellEnd"/>
      <w:r w:rsidRPr="003A10E0">
        <w:rPr>
          <w:rFonts w:ascii="ElsevierSans" w:eastAsia="Times New Roman" w:hAnsi="ElsevierSans"/>
          <w:color w:val="1F1F1F"/>
          <w:sz w:val="18"/>
          <w:szCs w:val="18"/>
          <w:lang w:eastAsia="fr-FR"/>
        </w:rPr>
        <w:t xml:space="preserve"> glutamate transporters such as </w:t>
      </w:r>
      <w:hyperlink r:id="rId22" w:history="1">
        <w:r w:rsidRPr="003A10E0">
          <w:rPr>
            <w:rFonts w:ascii="ElsevierSans" w:eastAsia="Times New Roman" w:hAnsi="ElsevierSans"/>
            <w:color w:val="1F1F1F"/>
            <w:sz w:val="18"/>
            <w:szCs w:val="18"/>
            <w:highlight w:val="yellow"/>
            <w:u w:val="single"/>
            <w:lang w:eastAsia="fr-FR"/>
          </w:rPr>
          <w:t>GLAST</w:t>
        </w:r>
      </w:hyperlink>
      <w:r w:rsidRPr="003A10E0">
        <w:rPr>
          <w:rFonts w:ascii="ElsevierSans" w:eastAsia="Times New Roman" w:hAnsi="ElsevierSans"/>
          <w:color w:val="1F1F1F"/>
          <w:sz w:val="18"/>
          <w:szCs w:val="18"/>
          <w:lang w:eastAsia="fr-FR"/>
        </w:rPr>
        <w:t> (glutamate </w:t>
      </w:r>
      <w:hyperlink r:id="rId23" w:history="1">
        <w:r w:rsidRPr="003A10E0">
          <w:rPr>
            <w:rFonts w:ascii="ElsevierSans" w:eastAsia="Times New Roman" w:hAnsi="ElsevierSans"/>
            <w:color w:val="1F1F1F"/>
            <w:sz w:val="18"/>
            <w:szCs w:val="18"/>
            <w:u w:val="single"/>
            <w:lang w:eastAsia="fr-FR"/>
          </w:rPr>
          <w:t>aspartate</w:t>
        </w:r>
      </w:hyperlink>
      <w:r w:rsidRPr="003A10E0">
        <w:rPr>
          <w:rFonts w:ascii="ElsevierSans" w:eastAsia="Times New Roman" w:hAnsi="ElsevierSans"/>
          <w:color w:val="1F1F1F"/>
          <w:sz w:val="18"/>
          <w:szCs w:val="18"/>
          <w:lang w:eastAsia="fr-FR"/>
        </w:rPr>
        <w:t xml:space="preserve"> transporter, also known as excitatory amino acid transporter 1, EAAT1) and </w:t>
      </w:r>
      <w:r w:rsidRPr="003A10E0">
        <w:rPr>
          <w:rFonts w:ascii="ElsevierSans" w:eastAsia="Times New Roman" w:hAnsi="ElsevierSans"/>
          <w:color w:val="1F1F1F"/>
          <w:sz w:val="18"/>
          <w:szCs w:val="18"/>
          <w:highlight w:val="green"/>
          <w:lang w:eastAsia="fr-FR"/>
        </w:rPr>
        <w:t>GLT-1</w:t>
      </w:r>
      <w:r w:rsidRPr="003A10E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highlight w:val="yellow"/>
          <w:lang w:eastAsia="fr-FR"/>
        </w:rPr>
        <w:t>glutamate transporter 1</w:t>
      </w:r>
      <w:r w:rsidRPr="003A10E0">
        <w:rPr>
          <w:rFonts w:ascii="ElsevierSans" w:eastAsia="Times New Roman" w:hAnsi="ElsevierSans"/>
          <w:color w:val="1F1F1F"/>
          <w:sz w:val="18"/>
          <w:szCs w:val="18"/>
          <w:lang w:eastAsia="fr-FR"/>
        </w:rPr>
        <w:t>, also known as EAAT2). 25 24 </w:t>
      </w:r>
      <w:r w:rsidR="00A90556">
        <w:rPr>
          <w:rFonts w:ascii="ElsevierSans" w:eastAsia="Times New Roman" w:hAnsi="ElsevierSans"/>
          <w:color w:val="1F1F1F"/>
          <w:sz w:val="18"/>
          <w:szCs w:val="18"/>
          <w:lang w:eastAsia="fr-FR"/>
        </w:rPr>
        <w:br/>
      </w:r>
      <w:r w:rsidR="00A90556">
        <w:rPr>
          <w:rFonts w:ascii="ElsevierSans" w:eastAsia="Times New Roman" w:hAnsi="ElsevierSans"/>
          <w:color w:val="1F1F1F"/>
          <w:sz w:val="18"/>
          <w:szCs w:val="18"/>
          <w:lang w:eastAsia="fr-FR"/>
        </w:rPr>
        <w:br/>
      </w:r>
      <w:r w:rsidR="00A90556">
        <w:rPr>
          <w:rFonts w:ascii="ElsevierSans" w:eastAsia="Times New Roman" w:hAnsi="ElsevierSans"/>
          <w:i/>
          <w:iCs/>
          <w:color w:val="1F1F1F"/>
          <w:sz w:val="18"/>
          <w:szCs w:val="18"/>
          <w:lang w:eastAsia="fr-FR"/>
        </w:rPr>
        <w:t xml:space="preserve">- </w:t>
      </w:r>
      <w:r w:rsidRPr="003A10E0">
        <w:rPr>
          <w:rFonts w:ascii="ElsevierSans" w:eastAsia="Times New Roman" w:hAnsi="ElsevierSans"/>
          <w:i/>
          <w:iCs/>
          <w:color w:val="1F1F1F"/>
          <w:sz w:val="18"/>
          <w:szCs w:val="18"/>
          <w:lang w:eastAsia="fr-FR"/>
        </w:rPr>
        <w:t xml:space="preserve">GFAP is highly expressed in most astrocytes in vitro but is </w:t>
      </w:r>
      <w:r w:rsidRPr="003A10E0">
        <w:rPr>
          <w:rFonts w:ascii="ElsevierSans" w:eastAsia="Times New Roman" w:hAnsi="ElsevierSans"/>
          <w:i/>
          <w:iCs/>
          <w:color w:val="1F1F1F"/>
          <w:sz w:val="18"/>
          <w:szCs w:val="18"/>
          <w:highlight w:val="yellow"/>
          <w:lang w:eastAsia="fr-FR"/>
        </w:rPr>
        <w:t>not detected in the majority of astrocytes in healthy brain tissue</w:t>
      </w:r>
      <w:r w:rsidRPr="003A10E0">
        <w:rPr>
          <w:rFonts w:ascii="ElsevierSans" w:eastAsia="Times New Roman" w:hAnsi="ElsevierSans"/>
          <w:i/>
          <w:iCs/>
          <w:color w:val="1F1F1F"/>
          <w:sz w:val="18"/>
          <w:szCs w:val="18"/>
          <w:lang w:eastAsia="fr-FR"/>
        </w:rPr>
        <w:t xml:space="preserve"> by immunohistochemistry, resulting in a substantial sub-population not labeled by GFAP antibodies.</w:t>
      </w:r>
      <w:r w:rsidRPr="003A10E0">
        <w:rPr>
          <w:rFonts w:ascii="ElsevierSans" w:eastAsia="Times New Roman" w:hAnsi="ElsevierSans"/>
          <w:color w:val="1F1F1F"/>
          <w:sz w:val="18"/>
          <w:szCs w:val="18"/>
          <w:lang w:eastAsia="fr-FR"/>
        </w:rPr>
        <w:t> </w:t>
      </w:r>
      <w:r w:rsidR="00A90556">
        <w:rPr>
          <w:rFonts w:ascii="ElsevierSans" w:eastAsia="Times New Roman" w:hAnsi="ElsevierSans"/>
          <w:color w:val="1F1F1F"/>
          <w:sz w:val="18"/>
          <w:szCs w:val="18"/>
          <w:lang w:eastAsia="fr-FR"/>
        </w:rPr>
        <w:br/>
        <w:t xml:space="preserve">- </w:t>
      </w:r>
      <w:r w:rsidRPr="003A10E0">
        <w:rPr>
          <w:rFonts w:ascii="ElsevierSans" w:eastAsia="Times New Roman" w:hAnsi="ElsevierSans"/>
          <w:color w:val="1F1F1F"/>
          <w:sz w:val="18"/>
          <w:szCs w:val="18"/>
          <w:lang w:eastAsia="fr-FR"/>
        </w:rPr>
        <w:t xml:space="preserve">S100B is expressed throughout the </w:t>
      </w:r>
      <w:proofErr w:type="spellStart"/>
      <w:r w:rsidRPr="003A10E0">
        <w:rPr>
          <w:rFonts w:ascii="ElsevierSans" w:eastAsia="Times New Roman" w:hAnsi="ElsevierSans"/>
          <w:color w:val="1F1F1F"/>
          <w:sz w:val="18"/>
          <w:szCs w:val="18"/>
          <w:lang w:eastAsia="fr-FR"/>
        </w:rPr>
        <w:t>astroglial</w:t>
      </w:r>
      <w:proofErr w:type="spellEnd"/>
      <w:r w:rsidRPr="003A10E0">
        <w:rPr>
          <w:rFonts w:ascii="ElsevierSans" w:eastAsia="Times New Roman" w:hAnsi="ElsevierSans"/>
          <w:color w:val="1F1F1F"/>
          <w:sz w:val="18"/>
          <w:szCs w:val="18"/>
          <w:lang w:eastAsia="fr-FR"/>
        </w:rPr>
        <w:t xml:space="preserve"> cytoplasm but is less selective than GFAP. </w:t>
      </w:r>
      <w:r w:rsidR="00A90556">
        <w:rPr>
          <w:rFonts w:ascii="ElsevierSans" w:eastAsia="Times New Roman" w:hAnsi="ElsevierSans"/>
          <w:color w:val="1F1F1F"/>
          <w:sz w:val="18"/>
          <w:szCs w:val="18"/>
          <w:lang w:eastAsia="fr-FR"/>
        </w:rPr>
        <w:br/>
      </w:r>
      <w:r w:rsidR="00A90556" w:rsidRPr="00A90556">
        <w:rPr>
          <w:rFonts w:ascii="ElsevierSans" w:eastAsia="Times New Roman" w:hAnsi="ElsevierSans"/>
          <w:color w:val="1F1F1F"/>
          <w:sz w:val="18"/>
          <w:szCs w:val="18"/>
          <w:highlight w:val="yellow"/>
          <w:lang w:eastAsia="fr-FR"/>
        </w:rPr>
        <w:t xml:space="preserve">- </w:t>
      </w:r>
      <w:r w:rsidRPr="003A10E0">
        <w:rPr>
          <w:rFonts w:ascii="ElsevierSans" w:eastAsia="Times New Roman" w:hAnsi="ElsevierSans"/>
          <w:color w:val="1F1F1F"/>
          <w:sz w:val="18"/>
          <w:szCs w:val="18"/>
          <w:highlight w:val="yellow"/>
          <w:lang w:eastAsia="fr-FR"/>
        </w:rPr>
        <w:t>Aldh1L1 has been identified as a pan-astrocytic marker.</w:t>
      </w:r>
      <w:r w:rsidRPr="003A10E0">
        <w:rPr>
          <w:rFonts w:ascii="ElsevierSans" w:eastAsia="Times New Roman" w:hAnsi="ElsevierSans"/>
          <w:color w:val="1F1F1F"/>
          <w:sz w:val="18"/>
          <w:szCs w:val="18"/>
          <w:lang w:eastAsia="fr-FR"/>
        </w:rPr>
        <w:t> </w:t>
      </w:r>
      <w:r w:rsidR="00A90556">
        <w:rPr>
          <w:rFonts w:ascii="ElsevierSans" w:eastAsia="Times New Roman" w:hAnsi="ElsevierSans"/>
          <w:color w:val="1F1F1F"/>
          <w:sz w:val="18"/>
          <w:szCs w:val="18"/>
          <w:lang w:eastAsia="fr-FR"/>
        </w:rPr>
        <w:br/>
      </w:r>
      <w:r w:rsidR="00A90556">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 xml:space="preserve">The expression pattern of </w:t>
      </w:r>
      <w:proofErr w:type="spellStart"/>
      <w:r w:rsidRPr="003A10E0">
        <w:rPr>
          <w:rFonts w:ascii="ElsevierSans" w:eastAsia="Times New Roman" w:hAnsi="ElsevierSans"/>
          <w:color w:val="1F1F1F"/>
          <w:sz w:val="18"/>
          <w:szCs w:val="18"/>
          <w:lang w:eastAsia="fr-FR"/>
        </w:rPr>
        <w:t>astroglial</w:t>
      </w:r>
      <w:proofErr w:type="spellEnd"/>
      <w:r w:rsidRPr="003A10E0">
        <w:rPr>
          <w:rFonts w:ascii="ElsevierSans" w:eastAsia="Times New Roman" w:hAnsi="ElsevierSans"/>
          <w:color w:val="1F1F1F"/>
          <w:sz w:val="18"/>
          <w:szCs w:val="18"/>
          <w:lang w:eastAsia="fr-FR"/>
        </w:rPr>
        <w:t xml:space="preserve"> markers changes during development and aging and differs between brain regions; astrocytes often co-express more than one marker.</w:t>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Limitations of classical markers have prompted the use of </w:t>
      </w:r>
      <w:hyperlink r:id="rId24" w:history="1">
        <w:r w:rsidRPr="003A10E0">
          <w:rPr>
            <w:rFonts w:ascii="ElsevierSans" w:eastAsia="Times New Roman" w:hAnsi="ElsevierSans"/>
            <w:color w:val="1F1F1F"/>
            <w:sz w:val="18"/>
            <w:szCs w:val="18"/>
            <w:u w:val="single"/>
            <w:lang w:eastAsia="fr-FR"/>
          </w:rPr>
          <w:t>transcriptomic</w:t>
        </w:r>
      </w:hyperlink>
      <w:r w:rsidRPr="003A10E0">
        <w:rPr>
          <w:rFonts w:ascii="ElsevierSans" w:eastAsia="Times New Roman" w:hAnsi="ElsevierSans"/>
          <w:color w:val="1F1F1F"/>
          <w:sz w:val="18"/>
          <w:szCs w:val="18"/>
          <w:lang w:eastAsia="fr-FR"/>
        </w:rPr>
        <w:t xml:space="preserve"> profiling, which has revealed extensive astrocyte diversity. </w:t>
      </w:r>
      <w:r w:rsidR="00A90556">
        <w:rPr>
          <w:rFonts w:ascii="ElsevierSans" w:eastAsia="Times New Roman" w:hAnsi="ElsevierSans"/>
          <w:color w:val="1F1F1F"/>
          <w:sz w:val="18"/>
          <w:szCs w:val="18"/>
          <w:lang w:eastAsia="fr-FR"/>
        </w:rPr>
        <w:br/>
      </w:r>
      <w:r w:rsidR="00A90556">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Single-cell </w:t>
      </w:r>
      <w:hyperlink r:id="rId25" w:history="1">
        <w:r w:rsidRPr="003A10E0">
          <w:rPr>
            <w:rFonts w:ascii="ElsevierSans" w:eastAsia="Times New Roman" w:hAnsi="ElsevierSans"/>
            <w:color w:val="1F1F1F"/>
            <w:sz w:val="18"/>
            <w:szCs w:val="18"/>
            <w:u w:val="single"/>
            <w:lang w:eastAsia="fr-FR"/>
          </w:rPr>
          <w:t>RNA sequencing</w:t>
        </w:r>
      </w:hyperlink>
      <w:r w:rsidRPr="003A10E0">
        <w:rPr>
          <w:rFonts w:ascii="ElsevierSans" w:eastAsia="Times New Roman" w:hAnsi="ElsevierSans"/>
          <w:color w:val="1F1F1F"/>
          <w:sz w:val="18"/>
          <w:szCs w:val="18"/>
          <w:lang w:eastAsia="fr-FR"/>
        </w:rPr>
        <w:t xml:space="preserve"> has identified </w:t>
      </w:r>
      <w:r w:rsidRPr="003A10E0">
        <w:rPr>
          <w:rFonts w:ascii="ElsevierSans" w:eastAsia="Times New Roman" w:hAnsi="ElsevierSans"/>
          <w:color w:val="1F1F1F"/>
          <w:sz w:val="18"/>
          <w:szCs w:val="18"/>
          <w:highlight w:val="yellow"/>
          <w:lang w:eastAsia="fr-FR"/>
        </w:rPr>
        <w:t>up to seven distinct astrocyte subpopulations</w:t>
      </w:r>
      <w:r w:rsidRPr="003A10E0">
        <w:rPr>
          <w:rFonts w:ascii="ElsevierSans" w:eastAsia="Times New Roman" w:hAnsi="ElsevierSans"/>
          <w:color w:val="1F1F1F"/>
          <w:sz w:val="18"/>
          <w:szCs w:val="18"/>
          <w:lang w:eastAsia="fr-FR"/>
        </w:rPr>
        <w:t xml:space="preserve"> with regionally restricted distributions in the adult mouse </w:t>
      </w:r>
      <w:hyperlink r:id="rId26" w:history="1">
        <w:r w:rsidRPr="003A10E0">
          <w:rPr>
            <w:rFonts w:ascii="ElsevierSans" w:eastAsia="Times New Roman" w:hAnsi="ElsevierSans"/>
            <w:color w:val="1F1F1F"/>
            <w:sz w:val="18"/>
            <w:szCs w:val="18"/>
            <w:u w:val="single"/>
            <w:lang w:eastAsia="fr-FR"/>
          </w:rPr>
          <w:t>nervous system</w:t>
        </w:r>
      </w:hyperlink>
      <w:r w:rsidRPr="003A10E0">
        <w:rPr>
          <w:rFonts w:ascii="ElsevierSans" w:eastAsia="Times New Roman" w:hAnsi="ElsevierSans"/>
          <w:color w:val="1F1F1F"/>
          <w:sz w:val="18"/>
          <w:szCs w:val="18"/>
          <w:lang w:eastAsia="fr-FR"/>
        </w:rPr>
        <w:t>, and </w:t>
      </w:r>
      <w:hyperlink r:id="rId27" w:history="1">
        <w:r w:rsidRPr="003A10E0">
          <w:rPr>
            <w:rFonts w:ascii="ElsevierSans" w:eastAsia="Times New Roman" w:hAnsi="ElsevierSans"/>
            <w:color w:val="1F1F1F"/>
            <w:sz w:val="18"/>
            <w:szCs w:val="18"/>
            <w:u w:val="single"/>
            <w:lang w:eastAsia="fr-FR"/>
          </w:rPr>
          <w:t>transcriptome</w:t>
        </w:r>
      </w:hyperlink>
      <w:r w:rsidRPr="003A10E0">
        <w:rPr>
          <w:rFonts w:ascii="ElsevierSans" w:eastAsia="Times New Roman" w:hAnsi="ElsevierSans"/>
          <w:color w:val="1F1F1F"/>
          <w:sz w:val="18"/>
          <w:szCs w:val="18"/>
          <w:lang w:eastAsia="fr-FR"/>
        </w:rPr>
        <w:t xml:space="preserve"> comparisons show that </w:t>
      </w:r>
      <w:r w:rsidRPr="003A10E0">
        <w:rPr>
          <w:rFonts w:ascii="ElsevierSans" w:eastAsia="Times New Roman" w:hAnsi="ElsevierSans"/>
          <w:color w:val="1F1F1F"/>
          <w:sz w:val="18"/>
          <w:szCs w:val="18"/>
          <w:highlight w:val="yellow"/>
          <w:lang w:eastAsia="fr-FR"/>
        </w:rPr>
        <w:t>only 30% of human astrocyte-enriched genes are also enriched in mouse astrocytes. 26</w:t>
      </w:r>
    </w:p>
    <w:p w:rsidR="003A10E0" w:rsidRPr="003A10E0" w:rsidRDefault="003A10E0" w:rsidP="003A10E0">
      <w:pPr>
        <w:spacing w:line="420" w:lineRule="atLeast"/>
        <w:outlineLvl w:val="1"/>
        <w:rPr>
          <w:rStyle w:val="lev"/>
          <w:lang w:eastAsia="fr-FR"/>
        </w:rPr>
      </w:pPr>
      <w:bookmarkStart w:id="4" w:name="_Toc216069495"/>
      <w:r w:rsidRPr="003A10E0">
        <w:rPr>
          <w:rStyle w:val="lev"/>
          <w:highlight w:val="green"/>
          <w:lang w:eastAsia="fr-FR"/>
        </w:rPr>
        <w:t>3. Functional Roles of Astrocytes in the Nervous System</w:t>
      </w:r>
      <w:bookmarkEnd w:id="4"/>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green"/>
          <w:lang w:eastAsia="fr-FR"/>
        </w:rPr>
        <w:t>Astrocytes maintain extracellular </w:t>
      </w:r>
      <w:hyperlink r:id="rId28" w:history="1">
        <w:r w:rsidRPr="003A10E0">
          <w:rPr>
            <w:rFonts w:ascii="ElsevierSans" w:eastAsia="Times New Roman" w:hAnsi="ElsevierSans"/>
            <w:color w:val="1F1F1F"/>
            <w:sz w:val="18"/>
            <w:szCs w:val="18"/>
            <w:highlight w:val="green"/>
            <w:u w:val="single"/>
            <w:lang w:eastAsia="fr-FR"/>
          </w:rPr>
          <w:t>ion homeostasis</w:t>
        </w:r>
      </w:hyperlink>
      <w:r w:rsidRPr="003A10E0">
        <w:rPr>
          <w:rFonts w:ascii="ElsevierSans" w:eastAsia="Times New Roman" w:hAnsi="ElsevierSans"/>
          <w:color w:val="1F1F1F"/>
          <w:sz w:val="18"/>
          <w:szCs w:val="18"/>
          <w:highlight w:val="green"/>
          <w:lang w:eastAsia="fr-FR"/>
        </w:rPr>
        <w:t> by regulating concentrations of sodium (Na+), potassium (K+), hydrogen (H+), and chloride (Cl−) ions</w:t>
      </w:r>
      <w:r w:rsidRPr="003A10E0">
        <w:rPr>
          <w:rFonts w:ascii="ElsevierSans" w:eastAsia="Times New Roman" w:hAnsi="ElsevierSans"/>
          <w:color w:val="1F1F1F"/>
          <w:sz w:val="18"/>
          <w:szCs w:val="18"/>
          <w:lang w:eastAsia="fr-FR"/>
        </w:rPr>
        <w:t xml:space="preserve"> through ion exchangers, </w:t>
      </w:r>
      <w:r w:rsidRPr="003A10E0">
        <w:rPr>
          <w:rFonts w:ascii="ElsevierSans" w:eastAsia="Times New Roman" w:hAnsi="ElsevierSans"/>
          <w:b/>
          <w:bCs/>
          <w:color w:val="1F1F1F"/>
          <w:sz w:val="18"/>
          <w:szCs w:val="18"/>
          <w:lang w:eastAsia="fr-FR"/>
        </w:rPr>
        <w:t>transporters</w:t>
      </w:r>
      <w:r w:rsidRPr="003A10E0">
        <w:rPr>
          <w:rFonts w:ascii="ElsevierSans" w:eastAsia="Times New Roman" w:hAnsi="ElsevierSans"/>
          <w:color w:val="1F1F1F"/>
          <w:sz w:val="18"/>
          <w:szCs w:val="18"/>
          <w:lang w:eastAsia="fr-FR"/>
        </w:rPr>
        <w:t xml:space="preserve">, and channels, including </w:t>
      </w:r>
      <w:r w:rsidR="00A90556">
        <w:rPr>
          <w:rFonts w:ascii="ElsevierSans" w:eastAsia="Times New Roman" w:hAnsi="ElsevierSans"/>
          <w:color w:val="1F1F1F"/>
          <w:sz w:val="18"/>
          <w:szCs w:val="18"/>
          <w:lang w:eastAsia="fr-FR"/>
        </w:rPr>
        <w:br/>
      </w:r>
      <w:r w:rsidR="00A90556" w:rsidRPr="00A90556">
        <w:rPr>
          <w:rFonts w:ascii="ElsevierSans" w:eastAsia="Times New Roman" w:hAnsi="ElsevierSans"/>
          <w:b/>
          <w:bCs/>
          <w:color w:val="1F1F1F"/>
          <w:sz w:val="18"/>
          <w:szCs w:val="18"/>
          <w:lang w:eastAsia="fr-FR"/>
        </w:rPr>
        <w:t xml:space="preserve">- </w:t>
      </w:r>
      <w:r w:rsidRPr="003A10E0">
        <w:rPr>
          <w:rFonts w:ascii="ElsevierSans" w:eastAsia="Times New Roman" w:hAnsi="ElsevierSans"/>
          <w:b/>
          <w:bCs/>
          <w:color w:val="1F1F1F"/>
          <w:sz w:val="18"/>
          <w:szCs w:val="18"/>
          <w:lang w:eastAsia="fr-FR"/>
        </w:rPr>
        <w:t>Na+/K+ </w:t>
      </w:r>
      <w:hyperlink r:id="rId29" w:history="1">
        <w:r w:rsidRPr="003A10E0">
          <w:rPr>
            <w:rFonts w:ascii="ElsevierSans" w:eastAsia="Times New Roman" w:hAnsi="ElsevierSans"/>
            <w:b/>
            <w:bCs/>
            <w:color w:val="1F1F1F"/>
            <w:sz w:val="18"/>
            <w:szCs w:val="18"/>
            <w:u w:val="single"/>
            <w:lang w:eastAsia="fr-FR"/>
          </w:rPr>
          <w:t>adenosine</w:t>
        </w:r>
      </w:hyperlink>
      <w:r w:rsidRPr="003A10E0">
        <w:rPr>
          <w:rFonts w:ascii="ElsevierSans" w:eastAsia="Times New Roman" w:hAnsi="ElsevierSans"/>
          <w:b/>
          <w:bCs/>
          <w:color w:val="1F1F1F"/>
          <w:sz w:val="18"/>
          <w:szCs w:val="18"/>
          <w:lang w:eastAsia="fr-FR"/>
        </w:rPr>
        <w:t xml:space="preserve"> triphosphatase (ATPase), </w:t>
      </w:r>
      <w:r w:rsidR="00A90556" w:rsidRPr="00A90556">
        <w:rPr>
          <w:rFonts w:ascii="ElsevierSans" w:eastAsia="Times New Roman" w:hAnsi="ElsevierSans"/>
          <w:b/>
          <w:bCs/>
          <w:color w:val="1F1F1F"/>
          <w:sz w:val="18"/>
          <w:szCs w:val="18"/>
          <w:lang w:eastAsia="fr-FR"/>
        </w:rPr>
        <w:br/>
        <w:t xml:space="preserve">- </w:t>
      </w:r>
      <w:r w:rsidRPr="003A10E0">
        <w:rPr>
          <w:rFonts w:ascii="ElsevierSans" w:eastAsia="Times New Roman" w:hAnsi="ElsevierSans"/>
          <w:b/>
          <w:bCs/>
          <w:color w:val="1F1F1F"/>
          <w:sz w:val="18"/>
          <w:szCs w:val="18"/>
          <w:lang w:eastAsia="fr-FR"/>
        </w:rPr>
        <w:t>Na+/Ca2+ </w:t>
      </w:r>
      <w:hyperlink r:id="rId30" w:history="1">
        <w:r w:rsidRPr="003A10E0">
          <w:rPr>
            <w:rFonts w:ascii="ElsevierSans" w:eastAsia="Times New Roman" w:hAnsi="ElsevierSans"/>
            <w:b/>
            <w:bCs/>
            <w:color w:val="1F1F1F"/>
            <w:sz w:val="18"/>
            <w:szCs w:val="18"/>
            <w:u w:val="single"/>
            <w:lang w:eastAsia="fr-FR"/>
          </w:rPr>
          <w:t xml:space="preserve">exchanger, </w:t>
        </w:r>
        <w:r w:rsidR="00A90556" w:rsidRPr="00A90556">
          <w:rPr>
            <w:rFonts w:ascii="ElsevierSans" w:eastAsia="Times New Roman" w:hAnsi="ElsevierSans"/>
            <w:b/>
            <w:bCs/>
            <w:color w:val="1F1F1F"/>
            <w:sz w:val="18"/>
            <w:szCs w:val="18"/>
            <w:u w:val="single"/>
            <w:lang w:eastAsia="fr-FR"/>
          </w:rPr>
          <w:br/>
        </w:r>
        <w:r w:rsidR="00A90556" w:rsidRPr="00A90556">
          <w:rPr>
            <w:rFonts w:ascii="ElsevierSans" w:eastAsia="Times New Roman" w:hAnsi="ElsevierSans"/>
            <w:b/>
            <w:bCs/>
            <w:color w:val="1F1F1F"/>
            <w:sz w:val="18"/>
            <w:szCs w:val="18"/>
            <w:u w:val="single"/>
            <w:lang w:eastAsia="fr-FR"/>
          </w:rPr>
          <w:t>-</w:t>
        </w:r>
        <w:r w:rsidR="00A90556" w:rsidRPr="00A90556">
          <w:rPr>
            <w:rFonts w:ascii="ElsevierSans" w:eastAsia="Times New Roman" w:hAnsi="ElsevierSans"/>
            <w:b/>
            <w:bCs/>
            <w:color w:val="1F1F1F"/>
            <w:sz w:val="18"/>
            <w:szCs w:val="18"/>
            <w:u w:val="single"/>
            <w:lang w:eastAsia="fr-FR"/>
          </w:rPr>
          <w:t xml:space="preserve"> </w:t>
        </w:r>
        <w:r w:rsidRPr="003A10E0">
          <w:rPr>
            <w:rFonts w:ascii="ElsevierSans" w:eastAsia="Times New Roman" w:hAnsi="ElsevierSans"/>
            <w:b/>
            <w:bCs/>
            <w:color w:val="1F1F1F"/>
            <w:sz w:val="18"/>
            <w:szCs w:val="18"/>
            <w:u w:val="single"/>
            <w:lang w:eastAsia="fr-FR"/>
          </w:rPr>
          <w:t>Na+/H</w:t>
        </w:r>
      </w:hyperlink>
      <w:r w:rsidRPr="003A10E0">
        <w:rPr>
          <w:rFonts w:ascii="ElsevierSans" w:eastAsia="Times New Roman" w:hAnsi="ElsevierSans"/>
          <w:b/>
          <w:bCs/>
          <w:color w:val="1F1F1F"/>
          <w:sz w:val="18"/>
          <w:szCs w:val="18"/>
          <w:lang w:eastAsia="fr-FR"/>
        </w:rPr>
        <w:t>+, Na+/H+/CO3−, and K+/Na+/Cl− </w:t>
      </w:r>
      <w:hyperlink r:id="rId31" w:history="1">
        <w:r w:rsidRPr="003A10E0">
          <w:rPr>
            <w:rFonts w:ascii="ElsevierSans" w:eastAsia="Times New Roman" w:hAnsi="ElsevierSans"/>
            <w:b/>
            <w:bCs/>
            <w:color w:val="1F1F1F"/>
            <w:sz w:val="18"/>
            <w:szCs w:val="18"/>
            <w:u w:val="single"/>
            <w:lang w:eastAsia="fr-FR"/>
          </w:rPr>
          <w:t>cotransporters</w:t>
        </w:r>
      </w:hyperlink>
      <w:r w:rsidRPr="003A10E0">
        <w:rPr>
          <w:rFonts w:ascii="ElsevierSans" w:eastAsia="Times New Roman" w:hAnsi="ElsevierSans"/>
          <w:b/>
          <w:bCs/>
          <w:color w:val="1F1F1F"/>
          <w:sz w:val="18"/>
          <w:szCs w:val="18"/>
          <w:lang w:eastAsia="fr-FR"/>
        </w:rPr>
        <w:t>,</w:t>
      </w:r>
      <w:r w:rsidRPr="003A10E0">
        <w:rPr>
          <w:rFonts w:ascii="ElsevierSans" w:eastAsia="Times New Roman" w:hAnsi="ElsevierSans"/>
          <w:color w:val="1F1F1F"/>
          <w:sz w:val="18"/>
          <w:szCs w:val="18"/>
          <w:lang w:eastAsia="fr-FR"/>
        </w:rPr>
        <w:t xml:space="preserve"> which are essential for neuronal excitability and extracellular potassium buffering. 27 28 29 </w:t>
      </w:r>
      <w:r w:rsidR="00A90556">
        <w:rPr>
          <w:rFonts w:ascii="ElsevierSans" w:eastAsia="Times New Roman" w:hAnsi="ElsevierSans"/>
          <w:color w:val="1F1F1F"/>
          <w:sz w:val="18"/>
          <w:szCs w:val="18"/>
          <w:lang w:eastAsia="fr-FR"/>
        </w:rPr>
        <w:br/>
      </w:r>
      <w:r w:rsidR="00A90556">
        <w:rPr>
          <w:rFonts w:ascii="ElsevierSans" w:eastAsia="Times New Roman" w:hAnsi="ElsevierSans"/>
          <w:color w:val="1F1F1F"/>
          <w:sz w:val="18"/>
          <w:szCs w:val="18"/>
          <w:lang w:eastAsia="fr-FR"/>
        </w:rPr>
        <w:br/>
      </w:r>
      <w:r w:rsidRPr="003A10E0">
        <w:rPr>
          <w:rFonts w:ascii="ElsevierSans" w:eastAsia="Times New Roman" w:hAnsi="ElsevierSans"/>
          <w:b/>
          <w:bCs/>
          <w:color w:val="1F1F1F"/>
          <w:sz w:val="18"/>
          <w:szCs w:val="18"/>
          <w:highlight w:val="yellow"/>
          <w:lang w:eastAsia="fr-FR"/>
        </w:rPr>
        <w:t>Astrocytes control extracellular potassium concentration</w:t>
      </w:r>
      <w:r w:rsidRPr="003A10E0">
        <w:rPr>
          <w:rFonts w:ascii="ElsevierSans" w:eastAsia="Times New Roman" w:hAnsi="ElsevierSans"/>
          <w:color w:val="1F1F1F"/>
          <w:sz w:val="18"/>
          <w:szCs w:val="18"/>
          <w:lang w:eastAsia="fr-FR"/>
        </w:rPr>
        <w:t xml:space="preserve">, which can rise from a resting level of approximately 3 mM to 10–12 mM during neuronal activity, and up to 50 mM in pathological conditions; </w:t>
      </w:r>
      <w:r w:rsidRPr="003A10E0">
        <w:rPr>
          <w:rFonts w:ascii="ElsevierSans" w:eastAsia="Times New Roman" w:hAnsi="ElsevierSans"/>
          <w:color w:val="1F1F1F"/>
          <w:sz w:val="18"/>
          <w:szCs w:val="18"/>
          <w:highlight w:val="yellow"/>
          <w:lang w:eastAsia="fr-FR"/>
        </w:rPr>
        <w:t>excess potassium is removed by mechanisms such as local uptake via Kir4.1</w:t>
      </w:r>
      <w:r w:rsidRPr="003A10E0">
        <w:rPr>
          <w:rFonts w:ascii="ElsevierSans" w:eastAsia="Times New Roman" w:hAnsi="ElsevierSans"/>
          <w:color w:val="1F1F1F"/>
          <w:sz w:val="18"/>
          <w:szCs w:val="18"/>
          <w:lang w:eastAsia="fr-FR"/>
        </w:rPr>
        <w:t xml:space="preserve"> inward rectifier channels, Na+/K+ pumps, and spatial buffering through gap junctions. 30 31 32</w:t>
      </w:r>
      <w:r w:rsidR="00A90556">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b/>
          <w:bCs/>
          <w:color w:val="1F1F1F"/>
          <w:sz w:val="18"/>
          <w:szCs w:val="18"/>
          <w:highlight w:val="yellow"/>
          <w:lang w:eastAsia="fr-FR"/>
        </w:rPr>
        <w:t xml:space="preserve">Astrocytes regulate neurotransmitter levels by </w:t>
      </w:r>
      <w:proofErr w:type="spellStart"/>
      <w:r w:rsidRPr="003A10E0">
        <w:rPr>
          <w:rFonts w:ascii="ElsevierSans" w:eastAsia="Times New Roman" w:hAnsi="ElsevierSans"/>
          <w:b/>
          <w:bCs/>
          <w:color w:val="1F1F1F"/>
          <w:sz w:val="18"/>
          <w:szCs w:val="18"/>
          <w:highlight w:val="yellow"/>
          <w:lang w:eastAsia="fr-FR"/>
        </w:rPr>
        <w:t>uptaking</w:t>
      </w:r>
      <w:proofErr w:type="spellEnd"/>
      <w:r w:rsidRPr="003A10E0">
        <w:rPr>
          <w:rFonts w:ascii="ElsevierSans" w:eastAsia="Times New Roman" w:hAnsi="ElsevierSans"/>
          <w:b/>
          <w:bCs/>
          <w:color w:val="1F1F1F"/>
          <w:sz w:val="18"/>
          <w:szCs w:val="18"/>
          <w:highlight w:val="yellow"/>
          <w:lang w:eastAsia="fr-FR"/>
        </w:rPr>
        <w:t xml:space="preserve"> and recycling glutamate</w:t>
      </w:r>
      <w:r w:rsidRPr="003A10E0">
        <w:rPr>
          <w:rFonts w:ascii="ElsevierSans" w:eastAsia="Times New Roman" w:hAnsi="ElsevierSans"/>
          <w:color w:val="1F1F1F"/>
          <w:sz w:val="18"/>
          <w:szCs w:val="18"/>
          <w:lang w:eastAsia="fr-FR"/>
        </w:rPr>
        <w:t xml:space="preserve"> from the synaptic </w:t>
      </w:r>
      <w:hyperlink r:id="rId32" w:history="1">
        <w:r w:rsidRPr="003A10E0">
          <w:rPr>
            <w:rFonts w:ascii="ElsevierSans" w:eastAsia="Times New Roman" w:hAnsi="ElsevierSans"/>
            <w:color w:val="1F1F1F"/>
            <w:sz w:val="18"/>
            <w:szCs w:val="18"/>
            <w:u w:val="single"/>
            <w:lang w:eastAsia="fr-FR"/>
          </w:rPr>
          <w:t>cleft</w:t>
        </w:r>
      </w:hyperlink>
      <w:r w:rsidRPr="003A10E0">
        <w:rPr>
          <w:rFonts w:ascii="ElsevierSans" w:eastAsia="Times New Roman" w:hAnsi="ElsevierSans"/>
          <w:color w:val="1F1F1F"/>
          <w:sz w:val="18"/>
          <w:szCs w:val="18"/>
          <w:lang w:eastAsia="fr-FR"/>
        </w:rPr>
        <w:t>, primarily through sodium-dependent transporters GLAST (EAAT1) and GLT-1 (EAAT2), converting glutamate to </w:t>
      </w:r>
      <w:hyperlink r:id="rId33" w:history="1">
        <w:r w:rsidRPr="003A10E0">
          <w:rPr>
            <w:rFonts w:ascii="ElsevierSans" w:eastAsia="Times New Roman" w:hAnsi="ElsevierSans"/>
            <w:color w:val="1F1F1F"/>
            <w:sz w:val="18"/>
            <w:szCs w:val="18"/>
            <w:u w:val="single"/>
            <w:lang w:eastAsia="fr-FR"/>
          </w:rPr>
          <w:t>glutamine</w:t>
        </w:r>
      </w:hyperlink>
      <w:r w:rsidRPr="003A10E0">
        <w:rPr>
          <w:rFonts w:ascii="ElsevierSans" w:eastAsia="Times New Roman" w:hAnsi="ElsevierSans"/>
          <w:color w:val="1F1F1F"/>
          <w:sz w:val="18"/>
          <w:szCs w:val="18"/>
          <w:lang w:eastAsia="fr-FR"/>
        </w:rPr>
        <w:t> via </w:t>
      </w:r>
      <w:hyperlink r:id="rId34" w:history="1">
        <w:r w:rsidRPr="003A10E0">
          <w:rPr>
            <w:rFonts w:ascii="ElsevierSans" w:eastAsia="Times New Roman" w:hAnsi="ElsevierSans"/>
            <w:color w:val="1F1F1F"/>
            <w:sz w:val="18"/>
            <w:szCs w:val="18"/>
            <w:u w:val="single"/>
            <w:lang w:eastAsia="fr-FR"/>
          </w:rPr>
          <w:t>glutamine synthetase</w:t>
        </w:r>
      </w:hyperlink>
      <w:r w:rsidRPr="003A10E0">
        <w:rPr>
          <w:rFonts w:ascii="ElsevierSans" w:eastAsia="Times New Roman" w:hAnsi="ElsevierSans"/>
          <w:color w:val="1F1F1F"/>
          <w:sz w:val="18"/>
          <w:szCs w:val="18"/>
          <w:lang w:eastAsia="fr-FR"/>
        </w:rPr>
        <w:t xml:space="preserve">, and releasing glutamine for neuronal uptake and resynthesis of glutamate, constituting the </w:t>
      </w:r>
      <w:r w:rsidRPr="003A10E0">
        <w:rPr>
          <w:rFonts w:ascii="ElsevierSans" w:eastAsia="Times New Roman" w:hAnsi="ElsevierSans"/>
          <w:b/>
          <w:bCs/>
          <w:color w:val="1F1F1F"/>
          <w:sz w:val="18"/>
          <w:szCs w:val="18"/>
          <w:highlight w:val="green"/>
          <w:lang w:eastAsia="fr-FR"/>
        </w:rPr>
        <w:t>glutamate-glutamine cycle</w:t>
      </w:r>
      <w:r w:rsidRPr="003A10E0">
        <w:rPr>
          <w:rFonts w:ascii="ElsevierSans" w:eastAsia="Times New Roman" w:hAnsi="ElsevierSans"/>
          <w:color w:val="1F1F1F"/>
          <w:sz w:val="18"/>
          <w:szCs w:val="18"/>
          <w:lang w:eastAsia="fr-FR"/>
        </w:rPr>
        <w:t xml:space="preserve">. 33 34 35 This process is </w:t>
      </w:r>
      <w:r w:rsidRPr="003A10E0">
        <w:rPr>
          <w:rFonts w:ascii="ElsevierSans" w:eastAsia="Times New Roman" w:hAnsi="ElsevierSans"/>
          <w:color w:val="1F1F1F"/>
          <w:sz w:val="18"/>
          <w:szCs w:val="18"/>
          <w:highlight w:val="cyan"/>
          <w:lang w:eastAsia="fr-FR"/>
        </w:rPr>
        <w:t>critical for preventing </w:t>
      </w:r>
      <w:hyperlink r:id="rId35" w:history="1">
        <w:r w:rsidRPr="003A10E0">
          <w:rPr>
            <w:rFonts w:ascii="ElsevierSans" w:eastAsia="Times New Roman" w:hAnsi="ElsevierSans"/>
            <w:color w:val="1F1F1F"/>
            <w:sz w:val="18"/>
            <w:szCs w:val="18"/>
            <w:highlight w:val="cyan"/>
            <w:u w:val="single"/>
            <w:lang w:eastAsia="fr-FR"/>
          </w:rPr>
          <w:t>excitotoxicity</w:t>
        </w:r>
      </w:hyperlink>
      <w:r w:rsidRPr="003A10E0">
        <w:rPr>
          <w:rFonts w:ascii="ElsevierSans" w:eastAsia="Times New Roman" w:hAnsi="ElsevierSans"/>
          <w:color w:val="1F1F1F"/>
          <w:sz w:val="18"/>
          <w:szCs w:val="18"/>
          <w:lang w:eastAsia="fr-FR"/>
        </w:rPr>
        <w:t> and supporting </w:t>
      </w:r>
      <w:hyperlink r:id="rId36" w:history="1">
        <w:r w:rsidRPr="003A10E0">
          <w:rPr>
            <w:rFonts w:ascii="ElsevierSans" w:eastAsia="Times New Roman" w:hAnsi="ElsevierSans"/>
            <w:color w:val="1F1F1F"/>
            <w:sz w:val="18"/>
            <w:szCs w:val="18"/>
            <w:u w:val="single"/>
            <w:lang w:eastAsia="fr-FR"/>
          </w:rPr>
          <w:t>gamma-aminobutyric acid</w:t>
        </w:r>
      </w:hyperlink>
      <w:r w:rsidRPr="003A10E0">
        <w:rPr>
          <w:rFonts w:ascii="ElsevierSans" w:eastAsia="Times New Roman" w:hAnsi="ElsevierSans"/>
          <w:color w:val="1F1F1F"/>
          <w:sz w:val="18"/>
          <w:szCs w:val="18"/>
          <w:lang w:eastAsia="fr-FR"/>
        </w:rPr>
        <w:t> (GABA) synthesis. 36</w:t>
      </w:r>
      <w:r w:rsidR="00A90556">
        <w:rPr>
          <w:rFonts w:ascii="ElsevierSans" w:eastAsia="Times New Roman" w:hAnsi="ElsevierSans"/>
          <w:color w:val="1F1F1F"/>
          <w:sz w:val="18"/>
          <w:szCs w:val="18"/>
          <w:lang w:eastAsia="fr-FR"/>
        </w:rPr>
        <w:br/>
      </w:r>
    </w:p>
    <w:p w:rsid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 xml:space="preserve">Metabolic support to neurons is provided by astrocytes through the </w:t>
      </w:r>
      <w:r w:rsidRPr="003A10E0">
        <w:rPr>
          <w:rFonts w:ascii="ElsevierSans" w:eastAsia="Times New Roman" w:hAnsi="ElsevierSans"/>
          <w:b/>
          <w:bCs/>
          <w:color w:val="1F1F1F"/>
          <w:sz w:val="18"/>
          <w:szCs w:val="18"/>
          <w:highlight w:val="green"/>
          <w:lang w:eastAsia="fr-FR"/>
        </w:rPr>
        <w:t>astrocyte-neuron </w:t>
      </w:r>
      <w:hyperlink r:id="rId37" w:history="1">
        <w:r w:rsidRPr="003A10E0">
          <w:rPr>
            <w:rFonts w:ascii="ElsevierSans" w:eastAsia="Times New Roman" w:hAnsi="ElsevierSans"/>
            <w:b/>
            <w:bCs/>
            <w:color w:val="1F1F1F"/>
            <w:sz w:val="18"/>
            <w:szCs w:val="18"/>
            <w:highlight w:val="green"/>
            <w:u w:val="single"/>
            <w:lang w:eastAsia="fr-FR"/>
          </w:rPr>
          <w:t>lactate shuttle</w:t>
        </w:r>
      </w:hyperlink>
      <w:r w:rsidRPr="003A10E0">
        <w:rPr>
          <w:rFonts w:ascii="ElsevierSans" w:eastAsia="Times New Roman" w:hAnsi="ElsevierSans"/>
          <w:color w:val="1F1F1F"/>
          <w:sz w:val="18"/>
          <w:szCs w:val="18"/>
          <w:lang w:eastAsia="fr-FR"/>
        </w:rPr>
        <w:t xml:space="preserve">, in which </w:t>
      </w:r>
      <w:r w:rsidRPr="003A10E0">
        <w:rPr>
          <w:rFonts w:ascii="ElsevierSans" w:eastAsia="Times New Roman" w:hAnsi="ElsevierSans"/>
          <w:color w:val="1F1F1F"/>
          <w:sz w:val="18"/>
          <w:szCs w:val="18"/>
          <w:highlight w:val="green"/>
          <w:lang w:eastAsia="fr-FR"/>
        </w:rPr>
        <w:t>glucose taken up by astrocytes via </w:t>
      </w:r>
      <w:hyperlink r:id="rId38" w:history="1">
        <w:r w:rsidRPr="003A10E0">
          <w:rPr>
            <w:rFonts w:ascii="ElsevierSans" w:eastAsia="Times New Roman" w:hAnsi="ElsevierSans"/>
            <w:color w:val="1F1F1F"/>
            <w:sz w:val="18"/>
            <w:szCs w:val="18"/>
            <w:highlight w:val="green"/>
            <w:u w:val="single"/>
            <w:lang w:eastAsia="fr-FR"/>
          </w:rPr>
          <w:t>glucose transporter type 1</w:t>
        </w:r>
      </w:hyperlink>
      <w:r w:rsidRPr="003A10E0">
        <w:rPr>
          <w:rFonts w:ascii="ElsevierSans" w:eastAsia="Times New Roman" w:hAnsi="ElsevierSans"/>
          <w:color w:val="1F1F1F"/>
          <w:sz w:val="18"/>
          <w:szCs w:val="18"/>
          <w:highlight w:val="green"/>
          <w:lang w:eastAsia="fr-FR"/>
        </w:rPr>
        <w:t xml:space="preserve"> (GLUT1) is metabolized to lactate and shuttled to neurons </w:t>
      </w:r>
      <w:r w:rsidRPr="003A10E0">
        <w:rPr>
          <w:rFonts w:ascii="ElsevierSans" w:eastAsia="Times New Roman" w:hAnsi="ElsevierSans"/>
          <w:color w:val="1F1F1F"/>
          <w:sz w:val="18"/>
          <w:szCs w:val="18"/>
          <w:highlight w:val="green"/>
          <w:lang w:eastAsia="fr-FR"/>
        </w:rPr>
        <w:t>via </w:t>
      </w:r>
      <w:hyperlink r:id="rId39" w:history="1">
        <w:r w:rsidRPr="003A10E0">
          <w:rPr>
            <w:rFonts w:ascii="ElsevierSans" w:eastAsia="Times New Roman" w:hAnsi="ElsevierSans"/>
            <w:color w:val="1F1F1F"/>
            <w:sz w:val="18"/>
            <w:szCs w:val="18"/>
            <w:highlight w:val="green"/>
            <w:u w:val="single"/>
            <w:lang w:eastAsia="fr-FR"/>
          </w:rPr>
          <w:t>monocarboxylate transporters</w:t>
        </w:r>
      </w:hyperlink>
      <w:r w:rsidRPr="003A10E0">
        <w:rPr>
          <w:rFonts w:ascii="ElsevierSans" w:eastAsia="Times New Roman" w:hAnsi="ElsevierSans"/>
          <w:color w:val="1F1F1F"/>
          <w:sz w:val="18"/>
          <w:szCs w:val="18"/>
          <w:highlight w:val="green"/>
          <w:lang w:eastAsia="fr-FR"/>
        </w:rPr>
        <w:t> (MCT1 and MCT2),</w:t>
      </w:r>
      <w:r w:rsidRPr="003A10E0">
        <w:rPr>
          <w:rFonts w:ascii="ElsevierSans" w:eastAsia="Times New Roman" w:hAnsi="ElsevierSans"/>
          <w:color w:val="1F1F1F"/>
          <w:sz w:val="18"/>
          <w:szCs w:val="18"/>
          <w:lang w:eastAsia="fr-FR"/>
        </w:rPr>
        <w:t xml:space="preserve"> supporting neuronal </w:t>
      </w:r>
      <w:hyperlink r:id="rId40" w:history="1">
        <w:r w:rsidRPr="003A10E0">
          <w:rPr>
            <w:rFonts w:ascii="ElsevierSans" w:eastAsia="Times New Roman" w:hAnsi="ElsevierSans"/>
            <w:color w:val="1F1F1F"/>
            <w:sz w:val="18"/>
            <w:szCs w:val="18"/>
            <w:u w:val="single"/>
            <w:lang w:eastAsia="fr-FR"/>
          </w:rPr>
          <w:t>oxidative phosphorylation</w:t>
        </w:r>
      </w:hyperlink>
      <w:r w:rsidRPr="003A10E0">
        <w:rPr>
          <w:rFonts w:ascii="ElsevierSans" w:eastAsia="Times New Roman" w:hAnsi="ElsevierSans"/>
          <w:color w:val="1F1F1F"/>
          <w:sz w:val="18"/>
          <w:szCs w:val="18"/>
          <w:lang w:eastAsia="fr-FR"/>
        </w:rPr>
        <w:t> and energy demands. 27 37 38 </w:t>
      </w:r>
      <w:r w:rsidR="00694533">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 xml:space="preserve">Astrocytes are the major </w:t>
      </w:r>
      <w:r w:rsidRPr="003A10E0">
        <w:rPr>
          <w:rFonts w:ascii="ElsevierSans" w:eastAsia="Times New Roman" w:hAnsi="ElsevierSans"/>
          <w:b/>
          <w:bCs/>
          <w:color w:val="1F1F1F"/>
          <w:sz w:val="18"/>
          <w:szCs w:val="18"/>
          <w:highlight w:val="yellow"/>
          <w:lang w:eastAsia="fr-FR"/>
        </w:rPr>
        <w:t>glycogen</w:t>
      </w:r>
      <w:r w:rsidRPr="003A10E0">
        <w:rPr>
          <w:rFonts w:ascii="ElsevierSans" w:eastAsia="Times New Roman" w:hAnsi="ElsevierSans"/>
          <w:color w:val="1F1F1F"/>
          <w:sz w:val="18"/>
          <w:szCs w:val="18"/>
          <w:highlight w:val="yellow"/>
          <w:lang w:eastAsia="fr-FR"/>
        </w:rPr>
        <w:t xml:space="preserve"> storage reservoir in the brain,</w:t>
      </w:r>
      <w:r w:rsidRPr="003A10E0">
        <w:rPr>
          <w:rFonts w:ascii="ElsevierSans" w:eastAsia="Times New Roman" w:hAnsi="ElsevierSans"/>
          <w:color w:val="1F1F1F"/>
          <w:sz w:val="18"/>
          <w:szCs w:val="18"/>
          <w:lang w:eastAsia="fr-FR"/>
        </w:rPr>
        <w:t xml:space="preserve"> mobilizing glycogen to lactate during hypoglycemia or increased activity, and </w:t>
      </w:r>
      <w:r w:rsidRPr="003A10E0">
        <w:rPr>
          <w:rFonts w:ascii="ElsevierSans" w:eastAsia="Times New Roman" w:hAnsi="ElsevierSans"/>
          <w:color w:val="1F1F1F"/>
          <w:sz w:val="18"/>
          <w:szCs w:val="18"/>
          <w:highlight w:val="yellow"/>
          <w:lang w:eastAsia="fr-FR"/>
        </w:rPr>
        <w:t>also supply antioxidant precursors such as </w:t>
      </w:r>
      <w:hyperlink r:id="rId41" w:history="1">
        <w:r w:rsidRPr="003A10E0">
          <w:rPr>
            <w:rFonts w:ascii="ElsevierSans" w:eastAsia="Times New Roman" w:hAnsi="ElsevierSans"/>
            <w:color w:val="1F1F1F"/>
            <w:sz w:val="18"/>
            <w:szCs w:val="18"/>
            <w:highlight w:val="yellow"/>
            <w:u w:val="single"/>
            <w:lang w:eastAsia="fr-FR"/>
          </w:rPr>
          <w:t>glutathione</w:t>
        </w:r>
      </w:hyperlink>
      <w:r w:rsidRPr="003A10E0">
        <w:rPr>
          <w:rFonts w:ascii="ElsevierSans" w:eastAsia="Times New Roman" w:hAnsi="ElsevierSans"/>
          <w:color w:val="1F1F1F"/>
          <w:sz w:val="18"/>
          <w:szCs w:val="18"/>
          <w:highlight w:val="yellow"/>
          <w:lang w:eastAsia="fr-FR"/>
        </w:rPr>
        <w:t> to neurons. 39</w:t>
      </w:r>
    </w:p>
    <w:p w:rsidR="00694533" w:rsidRPr="003A10E0" w:rsidRDefault="00694533" w:rsidP="003A10E0">
      <w:pPr>
        <w:rPr>
          <w:rFonts w:ascii="ElsevierSans" w:eastAsia="Times New Roman" w:hAnsi="ElsevierSans"/>
          <w:color w:val="1F1F1F"/>
          <w:sz w:val="18"/>
          <w:szCs w:val="18"/>
          <w:lang w:eastAsia="fr-FR"/>
        </w:rPr>
      </w:pP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yellow"/>
          <w:lang w:eastAsia="fr-FR"/>
        </w:rPr>
        <w:t>Astrocytes modulate synaptic transmission and plasticity by releasing gliotransmitters, including glutamate, ATP, and D-serine</w:t>
      </w:r>
      <w:r w:rsidRPr="003A10E0">
        <w:rPr>
          <w:rFonts w:ascii="ElsevierSans" w:eastAsia="Times New Roman" w:hAnsi="ElsevierSans"/>
          <w:color w:val="1F1F1F"/>
          <w:sz w:val="18"/>
          <w:szCs w:val="18"/>
          <w:lang w:eastAsia="fr-FR"/>
        </w:rPr>
        <w:t>, in a calcium-dependent manner, influencing synaptic strength and efficacy at excitatory synapses. 12 40 41 </w:t>
      </w:r>
      <w:r w:rsidR="00694533">
        <w:rPr>
          <w:rFonts w:ascii="ElsevierSans" w:eastAsia="Times New Roman" w:hAnsi="ElsevierSans"/>
          <w:color w:val="1F1F1F"/>
          <w:sz w:val="18"/>
          <w:szCs w:val="18"/>
          <w:lang w:eastAsia="fr-FR"/>
        </w:rPr>
        <w:br/>
      </w:r>
      <w:r w:rsidR="00694533">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 xml:space="preserve">Astrocytes form </w:t>
      </w:r>
      <w:r w:rsidRPr="003A10E0">
        <w:rPr>
          <w:rFonts w:ascii="ElsevierSans" w:eastAsia="Times New Roman" w:hAnsi="ElsevierSans"/>
          <w:b/>
          <w:bCs/>
          <w:color w:val="1F1F1F"/>
          <w:sz w:val="18"/>
          <w:szCs w:val="18"/>
          <w:highlight w:val="green"/>
          <w:lang w:eastAsia="fr-FR"/>
        </w:rPr>
        <w:t xml:space="preserve">the tripartite synapse by </w:t>
      </w:r>
      <w:proofErr w:type="spellStart"/>
      <w:r w:rsidRPr="003A10E0">
        <w:rPr>
          <w:rFonts w:ascii="ElsevierSans" w:eastAsia="Times New Roman" w:hAnsi="ElsevierSans"/>
          <w:b/>
          <w:bCs/>
          <w:color w:val="1F1F1F"/>
          <w:sz w:val="18"/>
          <w:szCs w:val="18"/>
          <w:highlight w:val="green"/>
          <w:lang w:eastAsia="fr-FR"/>
        </w:rPr>
        <w:t>ensheathing</w:t>
      </w:r>
      <w:proofErr w:type="spellEnd"/>
      <w:r w:rsidRPr="003A10E0">
        <w:rPr>
          <w:rFonts w:ascii="ElsevierSans" w:eastAsia="Times New Roman" w:hAnsi="ElsevierSans"/>
          <w:color w:val="1F1F1F"/>
          <w:sz w:val="18"/>
          <w:szCs w:val="18"/>
          <w:lang w:eastAsia="fr-FR"/>
        </w:rPr>
        <w:t xml:space="preserve"> pre- and postsynaptic elements, actively exchanging information and </w:t>
      </w:r>
      <w:r w:rsidRPr="003A10E0">
        <w:rPr>
          <w:rFonts w:ascii="ElsevierSans" w:eastAsia="Times New Roman" w:hAnsi="ElsevierSans"/>
          <w:color w:val="1F1F1F"/>
          <w:sz w:val="18"/>
          <w:szCs w:val="18"/>
          <w:highlight w:val="yellow"/>
          <w:lang w:eastAsia="fr-FR"/>
        </w:rPr>
        <w:t>regulating synaptic activity, including </w:t>
      </w:r>
      <w:hyperlink r:id="rId42" w:history="1">
        <w:r w:rsidRPr="003A10E0">
          <w:rPr>
            <w:rFonts w:ascii="ElsevierSans" w:eastAsia="Times New Roman" w:hAnsi="ElsevierSans"/>
            <w:color w:val="1F1F1F"/>
            <w:sz w:val="18"/>
            <w:szCs w:val="18"/>
            <w:highlight w:val="yellow"/>
            <w:u w:val="single"/>
            <w:lang w:eastAsia="fr-FR"/>
          </w:rPr>
          <w:t>long-term potentiation</w:t>
        </w:r>
      </w:hyperlink>
      <w:r w:rsidRPr="003A10E0">
        <w:rPr>
          <w:rFonts w:ascii="ElsevierSans" w:eastAsia="Times New Roman" w:hAnsi="ElsevierSans"/>
          <w:color w:val="1F1F1F"/>
          <w:sz w:val="18"/>
          <w:szCs w:val="18"/>
          <w:highlight w:val="yellow"/>
          <w:lang w:eastAsia="fr-FR"/>
        </w:rPr>
        <w:t> (LTP).</w:t>
      </w:r>
      <w:r w:rsidRPr="003A10E0">
        <w:rPr>
          <w:rFonts w:ascii="ElsevierSans" w:eastAsia="Times New Roman" w:hAnsi="ElsevierSans"/>
          <w:color w:val="1F1F1F"/>
          <w:sz w:val="18"/>
          <w:szCs w:val="18"/>
          <w:lang w:eastAsia="fr-FR"/>
        </w:rPr>
        <w:t> 42 43 44</w:t>
      </w:r>
      <w:r w:rsidR="00694533">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Astrocytes contribute to </w:t>
      </w:r>
      <w:hyperlink r:id="rId43" w:history="1">
        <w:r w:rsidRPr="003A10E0">
          <w:rPr>
            <w:rFonts w:ascii="ElsevierSans" w:eastAsia="Times New Roman" w:hAnsi="ElsevierSans"/>
            <w:color w:val="1F1F1F"/>
            <w:sz w:val="18"/>
            <w:szCs w:val="18"/>
            <w:highlight w:val="green"/>
            <w:u w:val="single"/>
            <w:lang w:eastAsia="fr-FR"/>
          </w:rPr>
          <w:t>blood-brain barrier</w:t>
        </w:r>
      </w:hyperlink>
      <w:r w:rsidRPr="003A10E0">
        <w:rPr>
          <w:rFonts w:ascii="ElsevierSans" w:eastAsia="Times New Roman" w:hAnsi="ElsevierSans"/>
          <w:color w:val="1F1F1F"/>
          <w:sz w:val="18"/>
          <w:szCs w:val="18"/>
          <w:highlight w:val="green"/>
          <w:lang w:eastAsia="fr-FR"/>
        </w:rPr>
        <w:t> (BBB) formation</w:t>
      </w:r>
      <w:r w:rsidRPr="003A10E0">
        <w:rPr>
          <w:rFonts w:ascii="ElsevierSans" w:eastAsia="Times New Roman" w:hAnsi="ElsevierSans"/>
          <w:color w:val="1F1F1F"/>
          <w:sz w:val="18"/>
          <w:szCs w:val="18"/>
          <w:lang w:eastAsia="fr-FR"/>
        </w:rPr>
        <w:t xml:space="preserve"> and maintenance </w:t>
      </w:r>
      <w:r w:rsidRPr="003A10E0">
        <w:rPr>
          <w:rFonts w:ascii="ElsevierSans" w:eastAsia="Times New Roman" w:hAnsi="ElsevierSans"/>
          <w:color w:val="1F1F1F"/>
          <w:sz w:val="18"/>
          <w:szCs w:val="18"/>
          <w:highlight w:val="yellow"/>
          <w:lang w:eastAsia="fr-FR"/>
        </w:rPr>
        <w:t xml:space="preserve">through their </w:t>
      </w:r>
      <w:proofErr w:type="spellStart"/>
      <w:r w:rsidRPr="003A10E0">
        <w:rPr>
          <w:rFonts w:ascii="ElsevierSans" w:eastAsia="Times New Roman" w:hAnsi="ElsevierSans"/>
          <w:color w:val="1F1F1F"/>
          <w:sz w:val="18"/>
          <w:szCs w:val="18"/>
          <w:highlight w:val="green"/>
          <w:lang w:eastAsia="fr-FR"/>
        </w:rPr>
        <w:t>endfeet</w:t>
      </w:r>
      <w:proofErr w:type="spellEnd"/>
      <w:r w:rsidRPr="003A10E0">
        <w:rPr>
          <w:rFonts w:ascii="ElsevierSans" w:eastAsia="Times New Roman" w:hAnsi="ElsevierSans"/>
          <w:color w:val="1F1F1F"/>
          <w:sz w:val="18"/>
          <w:szCs w:val="18"/>
          <w:highlight w:val="green"/>
          <w:lang w:eastAsia="fr-FR"/>
        </w:rPr>
        <w:t xml:space="preserve"> </w:t>
      </w:r>
      <w:r w:rsidRPr="003A10E0">
        <w:rPr>
          <w:rFonts w:ascii="ElsevierSans" w:eastAsia="Times New Roman" w:hAnsi="ElsevierSans"/>
          <w:color w:val="1F1F1F"/>
          <w:sz w:val="18"/>
          <w:szCs w:val="18"/>
          <w:highlight w:val="yellow"/>
          <w:lang w:eastAsia="fr-FR"/>
        </w:rPr>
        <w:t>contacting capillary endothelial cells, regulating permeability, and releasing factors that promote </w:t>
      </w:r>
      <w:hyperlink r:id="rId44" w:history="1">
        <w:r w:rsidRPr="003A10E0">
          <w:rPr>
            <w:rFonts w:ascii="ElsevierSans" w:eastAsia="Times New Roman" w:hAnsi="ElsevierSans"/>
            <w:color w:val="1F1F1F"/>
            <w:sz w:val="18"/>
            <w:szCs w:val="18"/>
            <w:highlight w:val="yellow"/>
            <w:u w:val="single"/>
            <w:lang w:eastAsia="fr-FR"/>
          </w:rPr>
          <w:t>tight junction</w:t>
        </w:r>
      </w:hyperlink>
      <w:r w:rsidRPr="003A10E0">
        <w:rPr>
          <w:rFonts w:ascii="ElsevierSans" w:eastAsia="Times New Roman" w:hAnsi="ElsevierSans"/>
          <w:color w:val="1F1F1F"/>
          <w:sz w:val="18"/>
          <w:szCs w:val="18"/>
          <w:highlight w:val="yellow"/>
          <w:lang w:eastAsia="fr-FR"/>
        </w:rPr>
        <w:t> formation and neurovascular coupling,</w:t>
      </w:r>
      <w:r w:rsidRPr="003A10E0">
        <w:rPr>
          <w:rFonts w:ascii="ElsevierSans" w:eastAsia="Times New Roman" w:hAnsi="ElsevierSans"/>
          <w:color w:val="1F1F1F"/>
          <w:sz w:val="18"/>
          <w:szCs w:val="18"/>
          <w:lang w:eastAsia="fr-FR"/>
        </w:rPr>
        <w:t xml:space="preserve"> thereby controlling cerebral blood flow in response to neuronal activity. 45 46 47 Astrocytes are central elements of </w:t>
      </w:r>
      <w:r w:rsidRPr="003A10E0">
        <w:rPr>
          <w:rFonts w:ascii="ElsevierSans" w:eastAsia="Times New Roman" w:hAnsi="ElsevierSans"/>
          <w:color w:val="1F1F1F"/>
          <w:sz w:val="18"/>
          <w:szCs w:val="18"/>
          <w:highlight w:val="green"/>
          <w:lang w:eastAsia="fr-FR"/>
        </w:rPr>
        <w:t>neurovascular units,</w:t>
      </w:r>
      <w:r w:rsidRPr="003A10E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highlight w:val="green"/>
          <w:lang w:eastAsia="fr-FR"/>
        </w:rPr>
        <w:t>integrating neural circuitry with local blood flow and metabolic support. 29</w:t>
      </w:r>
      <w:r w:rsidRPr="003A10E0">
        <w:rPr>
          <w:rFonts w:ascii="ElsevierSans" w:eastAsia="Times New Roman" w:hAnsi="ElsevierSans"/>
          <w:color w:val="1F1F1F"/>
          <w:sz w:val="18"/>
          <w:szCs w:val="18"/>
          <w:lang w:eastAsia="fr-FR"/>
        </w:rPr>
        <w:t> 28</w:t>
      </w:r>
      <w:r w:rsidR="00694533">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During development and adulthood, astrocytes participate in </w:t>
      </w:r>
      <w:hyperlink r:id="rId45" w:history="1">
        <w:r w:rsidRPr="003A10E0">
          <w:rPr>
            <w:rFonts w:ascii="ElsevierSans" w:eastAsia="Times New Roman" w:hAnsi="ElsevierSans"/>
            <w:color w:val="1F1F1F"/>
            <w:sz w:val="18"/>
            <w:szCs w:val="18"/>
            <w:u w:val="single"/>
            <w:lang w:eastAsia="fr-FR"/>
          </w:rPr>
          <w:t>synapse formation</w:t>
        </w:r>
      </w:hyperlink>
      <w:r w:rsidRPr="003A10E0">
        <w:rPr>
          <w:rFonts w:ascii="ElsevierSans" w:eastAsia="Times New Roman" w:hAnsi="ElsevierSans"/>
          <w:color w:val="1F1F1F"/>
          <w:sz w:val="18"/>
          <w:szCs w:val="18"/>
          <w:lang w:eastAsia="fr-FR"/>
        </w:rPr>
        <w:t xml:space="preserve">, maturation, pruning, and remodeling by secreting </w:t>
      </w:r>
      <w:proofErr w:type="spellStart"/>
      <w:r w:rsidRPr="003A10E0">
        <w:rPr>
          <w:rFonts w:ascii="ElsevierSans" w:eastAsia="Times New Roman" w:hAnsi="ElsevierSans"/>
          <w:color w:val="1F1F1F"/>
          <w:sz w:val="18"/>
          <w:szCs w:val="18"/>
          <w:lang w:eastAsia="fr-FR"/>
        </w:rPr>
        <w:t>synaptogenic</w:t>
      </w:r>
      <w:proofErr w:type="spellEnd"/>
      <w:r w:rsidRPr="003A10E0">
        <w:rPr>
          <w:rFonts w:ascii="ElsevierSans" w:eastAsia="Times New Roman" w:hAnsi="ElsevierSans"/>
          <w:color w:val="1F1F1F"/>
          <w:sz w:val="18"/>
          <w:szCs w:val="18"/>
          <w:lang w:eastAsia="fr-FR"/>
        </w:rPr>
        <w:t xml:space="preserve"> factors such as cholesterol, </w:t>
      </w:r>
      <w:hyperlink r:id="rId46" w:history="1">
        <w:r w:rsidRPr="003A10E0">
          <w:rPr>
            <w:rFonts w:ascii="ElsevierSans" w:eastAsia="Times New Roman" w:hAnsi="ElsevierSans"/>
            <w:color w:val="1F1F1F"/>
            <w:sz w:val="18"/>
            <w:szCs w:val="18"/>
            <w:u w:val="single"/>
            <w:lang w:eastAsia="fr-FR"/>
          </w:rPr>
          <w:t>thrombospondins</w:t>
        </w:r>
      </w:hyperlink>
      <w:r w:rsidRPr="003A10E0">
        <w:rPr>
          <w:rFonts w:ascii="ElsevierSans" w:eastAsia="Times New Roman" w:hAnsi="ElsevierSans"/>
          <w:color w:val="1F1F1F"/>
          <w:sz w:val="18"/>
          <w:szCs w:val="18"/>
          <w:lang w:eastAsia="fr-FR"/>
        </w:rPr>
        <w:t xml:space="preserve">, and </w:t>
      </w:r>
      <w:proofErr w:type="spellStart"/>
      <w:r w:rsidRPr="003A10E0">
        <w:rPr>
          <w:rFonts w:ascii="ElsevierSans" w:eastAsia="Times New Roman" w:hAnsi="ElsevierSans"/>
          <w:color w:val="1F1F1F"/>
          <w:sz w:val="18"/>
          <w:szCs w:val="18"/>
          <w:lang w:eastAsia="fr-FR"/>
        </w:rPr>
        <w:t>hevin</w:t>
      </w:r>
      <w:proofErr w:type="spellEnd"/>
      <w:r w:rsidRPr="003A10E0">
        <w:rPr>
          <w:rFonts w:ascii="ElsevierSans" w:eastAsia="Times New Roman" w:hAnsi="ElsevierSans"/>
          <w:color w:val="1F1F1F"/>
          <w:sz w:val="18"/>
          <w:szCs w:val="18"/>
          <w:lang w:eastAsia="fr-FR"/>
        </w:rPr>
        <w:t xml:space="preserve">, and by engaging in synaptic elimination through complement cascade components and phagocytic pathways involving MEGF10 and </w:t>
      </w:r>
      <w:proofErr w:type="spellStart"/>
      <w:r w:rsidRPr="003A10E0">
        <w:rPr>
          <w:rFonts w:ascii="ElsevierSans" w:eastAsia="Times New Roman" w:hAnsi="ElsevierSans"/>
          <w:color w:val="1F1F1F"/>
          <w:sz w:val="18"/>
          <w:szCs w:val="18"/>
          <w:lang w:eastAsia="fr-FR"/>
        </w:rPr>
        <w:t>Mertk</w:t>
      </w:r>
      <w:proofErr w:type="spellEnd"/>
      <w:r w:rsidRPr="003A10E0">
        <w:rPr>
          <w:rFonts w:ascii="ElsevierSans" w:eastAsia="Times New Roman" w:hAnsi="ElsevierSans"/>
          <w:color w:val="1F1F1F"/>
          <w:sz w:val="18"/>
          <w:szCs w:val="18"/>
          <w:lang w:eastAsia="fr-FR"/>
        </w:rPr>
        <w:t>. 29 48 49 </w:t>
      </w:r>
      <w:r w:rsidR="00694533">
        <w:rPr>
          <w:rFonts w:ascii="ElsevierSans" w:eastAsia="Times New Roman" w:hAnsi="ElsevierSans"/>
          <w:color w:val="1F1F1F"/>
          <w:sz w:val="18"/>
          <w:szCs w:val="18"/>
          <w:lang w:eastAsia="fr-FR"/>
        </w:rPr>
        <w:br/>
      </w:r>
      <w:r w:rsidR="00694533">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 xml:space="preserve">Astrocytes regulate synaptic connectivity and plasticity, supporting </w:t>
      </w:r>
      <w:r w:rsidRPr="003A10E0">
        <w:rPr>
          <w:rFonts w:ascii="ElsevierSans" w:eastAsia="Times New Roman" w:hAnsi="ElsevierSans"/>
          <w:b/>
          <w:bCs/>
          <w:color w:val="1F1F1F"/>
          <w:sz w:val="18"/>
          <w:szCs w:val="18"/>
          <w:highlight w:val="yellow"/>
          <w:lang w:eastAsia="fr-FR"/>
        </w:rPr>
        <w:t>learning and memory.</w:t>
      </w:r>
      <w:r w:rsidRPr="003A10E0">
        <w:rPr>
          <w:rFonts w:ascii="ElsevierSans" w:eastAsia="Times New Roman" w:hAnsi="ElsevierSans"/>
          <w:color w:val="1F1F1F"/>
          <w:sz w:val="18"/>
          <w:szCs w:val="18"/>
          <w:highlight w:val="yellow"/>
          <w:lang w:eastAsia="fr-FR"/>
        </w:rPr>
        <w:t> 50 51</w:t>
      </w:r>
      <w:r w:rsidR="00694533">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yellow"/>
          <w:lang w:eastAsia="fr-FR"/>
        </w:rPr>
        <w:t xml:space="preserve">Astrocytes respond to CNS injury and neuroinflammation by undergoing </w:t>
      </w:r>
      <w:r w:rsidRPr="003A10E0">
        <w:rPr>
          <w:rFonts w:ascii="ElsevierSans" w:eastAsia="Times New Roman" w:hAnsi="ElsevierSans"/>
          <w:color w:val="1F1F1F"/>
          <w:sz w:val="18"/>
          <w:szCs w:val="18"/>
          <w:highlight w:val="green"/>
          <w:lang w:eastAsia="fr-FR"/>
        </w:rPr>
        <w:t>reactive </w:t>
      </w:r>
      <w:hyperlink r:id="rId47" w:history="1">
        <w:r w:rsidRPr="003A10E0">
          <w:rPr>
            <w:rFonts w:ascii="ElsevierSans" w:eastAsia="Times New Roman" w:hAnsi="ElsevierSans"/>
            <w:b/>
            <w:bCs/>
            <w:color w:val="1F1F1F"/>
            <w:sz w:val="18"/>
            <w:szCs w:val="18"/>
            <w:highlight w:val="green"/>
            <w:u w:val="single"/>
            <w:lang w:eastAsia="fr-FR"/>
          </w:rPr>
          <w:t>astrogliosis</w:t>
        </w:r>
      </w:hyperlink>
      <w:r w:rsidRPr="003A10E0">
        <w:rPr>
          <w:rFonts w:ascii="ElsevierSans" w:eastAsia="Times New Roman" w:hAnsi="ElsevierSans"/>
          <w:b/>
          <w:bCs/>
          <w:color w:val="1F1F1F"/>
          <w:sz w:val="18"/>
          <w:szCs w:val="18"/>
          <w:highlight w:val="yellow"/>
          <w:lang w:eastAsia="fr-FR"/>
        </w:rPr>
        <w:t xml:space="preserve">, </w:t>
      </w:r>
      <w:r w:rsidRPr="003A10E0">
        <w:rPr>
          <w:rFonts w:ascii="ElsevierSans" w:eastAsia="Times New Roman" w:hAnsi="ElsevierSans"/>
          <w:color w:val="1F1F1F"/>
          <w:sz w:val="18"/>
          <w:szCs w:val="18"/>
          <w:highlight w:val="yellow"/>
          <w:lang w:eastAsia="fr-FR"/>
        </w:rPr>
        <w:t xml:space="preserve">characterized by hypertrophy, </w:t>
      </w:r>
      <w:r w:rsidRPr="003A10E0">
        <w:rPr>
          <w:rFonts w:ascii="ElsevierSans" w:eastAsia="Times New Roman" w:hAnsi="ElsevierSans"/>
          <w:b/>
          <w:bCs/>
          <w:color w:val="1F1F1F"/>
          <w:sz w:val="18"/>
          <w:szCs w:val="18"/>
          <w:highlight w:val="yellow"/>
          <w:lang w:eastAsia="fr-FR"/>
        </w:rPr>
        <w:t>proliferation</w:t>
      </w:r>
      <w:r w:rsidRPr="003A10E0">
        <w:rPr>
          <w:rFonts w:ascii="ElsevierSans" w:eastAsia="Times New Roman" w:hAnsi="ElsevierSans"/>
          <w:color w:val="1F1F1F"/>
          <w:sz w:val="18"/>
          <w:szCs w:val="18"/>
          <w:highlight w:val="yellow"/>
          <w:lang w:eastAsia="fr-FR"/>
        </w:rPr>
        <w:t>, and altered </w:t>
      </w:r>
      <w:hyperlink r:id="rId48" w:history="1">
        <w:r w:rsidRPr="003A10E0">
          <w:rPr>
            <w:rFonts w:ascii="ElsevierSans" w:eastAsia="Times New Roman" w:hAnsi="ElsevierSans"/>
            <w:color w:val="1F1F1F"/>
            <w:sz w:val="18"/>
            <w:szCs w:val="18"/>
            <w:highlight w:val="yellow"/>
            <w:u w:val="single"/>
            <w:lang w:eastAsia="fr-FR"/>
          </w:rPr>
          <w:t>gene expression</w:t>
        </w:r>
      </w:hyperlink>
      <w:r w:rsidRPr="003A10E0">
        <w:rPr>
          <w:rFonts w:ascii="ElsevierSans" w:eastAsia="Times New Roman" w:hAnsi="ElsevierSans"/>
          <w:color w:val="1F1F1F"/>
          <w:sz w:val="18"/>
          <w:szCs w:val="18"/>
          <w:highlight w:val="yellow"/>
          <w:lang w:eastAsia="fr-FR"/>
        </w:rPr>
        <w:t>, which can result in both </w:t>
      </w:r>
      <w:hyperlink r:id="rId49" w:history="1">
        <w:r w:rsidRPr="003A10E0">
          <w:rPr>
            <w:rFonts w:ascii="ElsevierSans" w:eastAsia="Times New Roman" w:hAnsi="ElsevierSans"/>
            <w:color w:val="1F1F1F"/>
            <w:sz w:val="18"/>
            <w:szCs w:val="18"/>
            <w:highlight w:val="yellow"/>
            <w:u w:val="single"/>
            <w:lang w:eastAsia="fr-FR"/>
          </w:rPr>
          <w:t>neuroprotective</w:t>
        </w:r>
      </w:hyperlink>
      <w:r w:rsidRPr="003A10E0">
        <w:rPr>
          <w:rFonts w:ascii="ElsevierSans" w:eastAsia="Times New Roman" w:hAnsi="ElsevierSans"/>
          <w:color w:val="1F1F1F"/>
          <w:sz w:val="18"/>
          <w:szCs w:val="18"/>
          <w:highlight w:val="yellow"/>
          <w:lang w:eastAsia="fr-FR"/>
        </w:rPr>
        <w:t> effects (e.g., glial scar formation, restriction of inflammation, release of </w:t>
      </w:r>
      <w:hyperlink r:id="rId50" w:history="1">
        <w:r w:rsidRPr="003A10E0">
          <w:rPr>
            <w:rFonts w:ascii="ElsevierSans" w:eastAsia="Times New Roman" w:hAnsi="ElsevierSans"/>
            <w:color w:val="1F1F1F"/>
            <w:sz w:val="18"/>
            <w:szCs w:val="18"/>
            <w:highlight w:val="yellow"/>
            <w:u w:val="single"/>
            <w:lang w:eastAsia="fr-FR"/>
          </w:rPr>
          <w:t>neurotrophic factors</w:t>
        </w:r>
      </w:hyperlink>
      <w:r w:rsidRPr="003A10E0">
        <w:rPr>
          <w:rFonts w:ascii="ElsevierSans" w:eastAsia="Times New Roman" w:hAnsi="ElsevierSans"/>
          <w:color w:val="1F1F1F"/>
          <w:sz w:val="18"/>
          <w:szCs w:val="18"/>
          <w:highlight w:val="yellow"/>
          <w:lang w:eastAsia="fr-FR"/>
        </w:rPr>
        <w:t>)</w:t>
      </w:r>
      <w:r w:rsidRPr="003A10E0">
        <w:rPr>
          <w:rFonts w:ascii="ElsevierSans" w:eastAsia="Times New Roman" w:hAnsi="ElsevierSans"/>
          <w:color w:val="1F1F1F"/>
          <w:sz w:val="18"/>
          <w:szCs w:val="18"/>
          <w:lang w:eastAsia="fr-FR"/>
        </w:rPr>
        <w:t xml:space="preserve"> and neurotoxic effects (e.g., release of pro-inflammatory cytokines, complement components, and neurotoxic mediators). 52 53 54 </w:t>
      </w:r>
      <w:r w:rsidR="00694533">
        <w:rPr>
          <w:rFonts w:ascii="ElsevierSans" w:eastAsia="Times New Roman" w:hAnsi="ElsevierSans"/>
          <w:color w:val="1F1F1F"/>
          <w:sz w:val="18"/>
          <w:szCs w:val="18"/>
          <w:lang w:eastAsia="fr-FR"/>
        </w:rPr>
        <w:br/>
      </w:r>
      <w:r w:rsidR="00694533">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Astrocytes interact dynamically with neurons, microglia, and oligodendrocytes, and their functions are context-dependent, varying with physiological and pathological conditions. 55 56 57</w:t>
      </w:r>
    </w:p>
    <w:p w:rsidR="003A10E0" w:rsidRPr="003A10E0" w:rsidRDefault="003A10E0" w:rsidP="003A10E0">
      <w:pPr>
        <w:spacing w:line="420" w:lineRule="atLeast"/>
        <w:outlineLvl w:val="1"/>
        <w:rPr>
          <w:rStyle w:val="lev"/>
          <w:lang w:eastAsia="fr-FR"/>
        </w:rPr>
      </w:pPr>
      <w:bookmarkStart w:id="5" w:name="_Toc216069496"/>
      <w:r w:rsidRPr="003A10E0">
        <w:rPr>
          <w:rStyle w:val="lev"/>
          <w:lang w:eastAsia="fr-FR"/>
        </w:rPr>
        <w:t>4. Astrocytes in Neural Development and Plasticity</w:t>
      </w:r>
      <w:bookmarkEnd w:id="5"/>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yellow"/>
          <w:lang w:eastAsia="fr-FR"/>
        </w:rPr>
        <w:t>Astrocytes originate from radial glia</w:t>
      </w:r>
      <w:r w:rsidRPr="003A10E0">
        <w:rPr>
          <w:rFonts w:ascii="ElsevierSans" w:eastAsia="Times New Roman" w:hAnsi="ElsevierSans"/>
          <w:color w:val="1F1F1F"/>
          <w:sz w:val="18"/>
          <w:szCs w:val="18"/>
          <w:lang w:eastAsia="fr-FR"/>
        </w:rPr>
        <w:t>, which serve as neural progenitor cells during </w:t>
      </w:r>
      <w:hyperlink r:id="rId51" w:history="1">
        <w:r w:rsidRPr="003A10E0">
          <w:rPr>
            <w:rFonts w:ascii="ElsevierSans" w:eastAsia="Times New Roman" w:hAnsi="ElsevierSans"/>
            <w:color w:val="1F1F1F"/>
            <w:sz w:val="18"/>
            <w:szCs w:val="18"/>
            <w:u w:val="single"/>
            <w:lang w:eastAsia="fr-FR"/>
          </w:rPr>
          <w:t>embryonic development</w:t>
        </w:r>
      </w:hyperlink>
      <w:r w:rsidRPr="003A10E0">
        <w:rPr>
          <w:rFonts w:ascii="ElsevierSans" w:eastAsia="Times New Roman" w:hAnsi="ElsevierSans"/>
          <w:color w:val="1F1F1F"/>
          <w:sz w:val="18"/>
          <w:szCs w:val="18"/>
          <w:lang w:eastAsia="fr-FR"/>
        </w:rPr>
        <w:t>, and are essential for guiding </w:t>
      </w:r>
      <w:hyperlink r:id="rId52" w:history="1">
        <w:r w:rsidRPr="003A10E0">
          <w:rPr>
            <w:rFonts w:ascii="ElsevierSans" w:eastAsia="Times New Roman" w:hAnsi="ElsevierSans"/>
            <w:color w:val="1F1F1F"/>
            <w:sz w:val="18"/>
            <w:szCs w:val="18"/>
            <w:u w:val="single"/>
            <w:lang w:eastAsia="fr-FR"/>
          </w:rPr>
          <w:t>neuronal migration</w:t>
        </w:r>
      </w:hyperlink>
      <w:r w:rsidRPr="003A10E0">
        <w:rPr>
          <w:rFonts w:ascii="ElsevierSans" w:eastAsia="Times New Roman" w:hAnsi="ElsevierSans"/>
          <w:color w:val="1F1F1F"/>
          <w:sz w:val="18"/>
          <w:szCs w:val="18"/>
          <w:lang w:eastAsia="fr-FR"/>
        </w:rPr>
        <w:t> and </w:t>
      </w:r>
      <w:hyperlink r:id="rId53" w:history="1">
        <w:r w:rsidRPr="003A10E0">
          <w:rPr>
            <w:rFonts w:ascii="ElsevierSans" w:eastAsia="Times New Roman" w:hAnsi="ElsevierSans"/>
            <w:color w:val="1F1F1F"/>
            <w:sz w:val="18"/>
            <w:szCs w:val="18"/>
            <w:u w:val="single"/>
            <w:lang w:eastAsia="fr-FR"/>
          </w:rPr>
          <w:t>axon pathfinding</w:t>
        </w:r>
      </w:hyperlink>
      <w:r w:rsidRPr="003A10E0">
        <w:rPr>
          <w:rFonts w:ascii="ElsevierSans" w:eastAsia="Times New Roman" w:hAnsi="ElsevierSans"/>
          <w:color w:val="1F1F1F"/>
          <w:sz w:val="18"/>
          <w:szCs w:val="18"/>
          <w:lang w:eastAsia="fr-FR"/>
        </w:rPr>
        <w:t> in the developing brain. 23 58 59 </w:t>
      </w:r>
      <w:r w:rsidR="00106F4C">
        <w:rPr>
          <w:rFonts w:ascii="ElsevierSans" w:eastAsia="Times New Roman" w:hAnsi="ElsevierSans"/>
          <w:color w:val="1F1F1F"/>
          <w:sz w:val="18"/>
          <w:szCs w:val="18"/>
          <w:lang w:eastAsia="fr-FR"/>
        </w:rPr>
        <w:br/>
        <w:t xml:space="preserve">&gt;&gt;&gt; </w:t>
      </w:r>
      <w:r w:rsidRPr="003A10E0">
        <w:rPr>
          <w:rFonts w:ascii="ElsevierSans" w:eastAsia="Times New Roman" w:hAnsi="ElsevierSans"/>
          <w:color w:val="1F1F1F"/>
          <w:sz w:val="18"/>
          <w:szCs w:val="18"/>
          <w:lang w:eastAsia="fr-FR"/>
        </w:rPr>
        <w:t>They regulate axonal outgrowth by establishing boundaries through the release of </w:t>
      </w:r>
      <w:hyperlink r:id="rId54" w:history="1">
        <w:r w:rsidRPr="003A10E0">
          <w:rPr>
            <w:rFonts w:ascii="ElsevierSans" w:eastAsia="Times New Roman" w:hAnsi="ElsevierSans"/>
            <w:color w:val="1F1F1F"/>
            <w:sz w:val="18"/>
            <w:szCs w:val="18"/>
            <w:u w:val="single"/>
            <w:lang w:eastAsia="fr-FR"/>
          </w:rPr>
          <w:t>extracellular matrix</w:t>
        </w:r>
      </w:hyperlink>
      <w:r w:rsidRPr="003A10E0">
        <w:rPr>
          <w:rFonts w:ascii="ElsevierSans" w:eastAsia="Times New Roman" w:hAnsi="ElsevierSans"/>
          <w:color w:val="1F1F1F"/>
          <w:sz w:val="18"/>
          <w:szCs w:val="18"/>
          <w:lang w:eastAsia="fr-FR"/>
        </w:rPr>
        <w:t> </w:t>
      </w:r>
      <w:hyperlink r:id="rId55" w:history="1">
        <w:r w:rsidRPr="003A10E0">
          <w:rPr>
            <w:rFonts w:ascii="ElsevierSans" w:eastAsia="Times New Roman" w:hAnsi="ElsevierSans"/>
            <w:color w:val="1F1F1F"/>
            <w:sz w:val="18"/>
            <w:szCs w:val="18"/>
            <w:u w:val="single"/>
            <w:lang w:eastAsia="fr-FR"/>
          </w:rPr>
          <w:t>glycoproteins</w:t>
        </w:r>
      </w:hyperlink>
      <w:r w:rsidRPr="003A10E0">
        <w:rPr>
          <w:rFonts w:ascii="ElsevierSans" w:eastAsia="Times New Roman" w:hAnsi="ElsevierSans"/>
          <w:color w:val="1F1F1F"/>
          <w:sz w:val="18"/>
          <w:szCs w:val="18"/>
          <w:lang w:eastAsia="fr-FR"/>
        </w:rPr>
        <w:t xml:space="preserve">, such as laminin and fibronectin, and secrete </w:t>
      </w:r>
      <w:proofErr w:type="spellStart"/>
      <w:r w:rsidRPr="003A10E0">
        <w:rPr>
          <w:rFonts w:ascii="ElsevierSans" w:eastAsia="Times New Roman" w:hAnsi="ElsevierSans"/>
          <w:color w:val="1F1F1F"/>
          <w:sz w:val="18"/>
          <w:szCs w:val="18"/>
          <w:lang w:eastAsia="fr-FR"/>
        </w:rPr>
        <w:t>synaptogenic</w:t>
      </w:r>
      <w:proofErr w:type="spellEnd"/>
      <w:r w:rsidRPr="003A10E0">
        <w:rPr>
          <w:rFonts w:ascii="ElsevierSans" w:eastAsia="Times New Roman" w:hAnsi="ElsevierSans"/>
          <w:color w:val="1F1F1F"/>
          <w:sz w:val="18"/>
          <w:szCs w:val="18"/>
          <w:lang w:eastAsia="fr-FR"/>
        </w:rPr>
        <w:t xml:space="preserve"> molecules including </w:t>
      </w:r>
      <w:proofErr w:type="spellStart"/>
      <w:r w:rsidRPr="003A10E0">
        <w:rPr>
          <w:rFonts w:ascii="ElsevierSans" w:eastAsia="Times New Roman" w:hAnsi="ElsevierSans"/>
          <w:color w:val="1F1F1F"/>
          <w:sz w:val="18"/>
          <w:szCs w:val="18"/>
          <w:lang w:eastAsia="fr-FR"/>
        </w:rPr>
        <w:t>ephrins</w:t>
      </w:r>
      <w:proofErr w:type="spellEnd"/>
      <w:r w:rsidRPr="003A10E0">
        <w:rPr>
          <w:rFonts w:ascii="ElsevierSans" w:eastAsia="Times New Roman" w:hAnsi="ElsevierSans"/>
          <w:color w:val="1F1F1F"/>
          <w:sz w:val="18"/>
          <w:szCs w:val="18"/>
          <w:lang w:eastAsia="fr-FR"/>
        </w:rPr>
        <w:t xml:space="preserve"> that </w:t>
      </w:r>
      <w:r w:rsidRPr="003A10E0">
        <w:rPr>
          <w:rFonts w:ascii="ElsevierSans" w:eastAsia="Times New Roman" w:hAnsi="ElsevierSans"/>
          <w:color w:val="1F1F1F"/>
          <w:sz w:val="18"/>
          <w:szCs w:val="18"/>
          <w:highlight w:val="yellow"/>
          <w:lang w:eastAsia="fr-FR"/>
        </w:rPr>
        <w:t>modulate axon dynamics</w:t>
      </w:r>
      <w:r w:rsidRPr="003A10E0">
        <w:rPr>
          <w:rFonts w:ascii="ElsevierSans" w:eastAsia="Times New Roman" w:hAnsi="ElsevierSans"/>
          <w:color w:val="1F1F1F"/>
          <w:sz w:val="18"/>
          <w:szCs w:val="18"/>
          <w:lang w:eastAsia="fr-FR"/>
        </w:rPr>
        <w:t>. 60 The processes of astrocytes guide migration and neurite outgrowth of neurons during embryogenesis and enclose synapses in the mature brain. 61 62</w:t>
      </w:r>
    </w:p>
    <w:p w:rsidR="003A10E0" w:rsidRPr="003A10E0" w:rsidRDefault="00106F4C" w:rsidP="003A10E0">
      <w:pPr>
        <w:rPr>
          <w:rFonts w:ascii="ElsevierSans" w:eastAsia="Times New Roman" w:hAnsi="ElsevierSans"/>
          <w:color w:val="1F1F1F"/>
          <w:sz w:val="18"/>
          <w:szCs w:val="18"/>
          <w:lang w:eastAsia="fr-FR"/>
        </w:rPr>
      </w:pPr>
      <w:r>
        <w:rPr>
          <w:rFonts w:ascii="ElsevierSans" w:eastAsia="Times New Roman" w:hAnsi="ElsevierSans"/>
          <w:color w:val="1F1F1F"/>
          <w:sz w:val="18"/>
          <w:szCs w:val="18"/>
          <w:lang w:eastAsia="fr-FR"/>
        </w:rPr>
        <w:t>&gt;&gt;&gt;</w:t>
      </w:r>
      <w:r w:rsidR="003A10E0" w:rsidRPr="003A10E0">
        <w:rPr>
          <w:rFonts w:ascii="ElsevierSans" w:eastAsia="Times New Roman" w:hAnsi="ElsevierSans"/>
          <w:color w:val="1F1F1F"/>
          <w:sz w:val="18"/>
          <w:szCs w:val="18"/>
          <w:lang w:eastAsia="fr-FR"/>
        </w:rPr>
        <w:t>Astrocytes play a critical role in synaptogenesis, synaptic maturation, and pruning by releasing molecular signals such as thrombospondins, </w:t>
      </w:r>
      <w:hyperlink r:id="rId56" w:history="1">
        <w:r w:rsidR="003A10E0" w:rsidRPr="003A10E0">
          <w:rPr>
            <w:rFonts w:ascii="ElsevierSans" w:eastAsia="Times New Roman" w:hAnsi="ElsevierSans"/>
            <w:color w:val="1F1F1F"/>
            <w:sz w:val="18"/>
            <w:szCs w:val="18"/>
            <w:u w:val="single"/>
            <w:lang w:eastAsia="fr-FR"/>
          </w:rPr>
          <w:t>glypicans</w:t>
        </w:r>
      </w:hyperlink>
      <w:r w:rsidR="003A10E0" w:rsidRPr="003A10E0">
        <w:rPr>
          <w:rFonts w:ascii="ElsevierSans" w:eastAsia="Times New Roman" w:hAnsi="ElsevierSans"/>
          <w:color w:val="1F1F1F"/>
          <w:sz w:val="18"/>
          <w:szCs w:val="18"/>
          <w:lang w:eastAsia="fr-FR"/>
        </w:rPr>
        <w:t xml:space="preserve">, </w:t>
      </w:r>
      <w:proofErr w:type="spellStart"/>
      <w:r w:rsidR="003A10E0" w:rsidRPr="003A10E0">
        <w:rPr>
          <w:rFonts w:ascii="ElsevierSans" w:eastAsia="Times New Roman" w:hAnsi="ElsevierSans"/>
          <w:color w:val="1F1F1F"/>
          <w:sz w:val="18"/>
          <w:szCs w:val="18"/>
          <w:lang w:eastAsia="fr-FR"/>
        </w:rPr>
        <w:t>hevin</w:t>
      </w:r>
      <w:proofErr w:type="spellEnd"/>
      <w:r w:rsidR="003A10E0" w:rsidRPr="003A10E0">
        <w:rPr>
          <w:rFonts w:ascii="ElsevierSans" w:eastAsia="Times New Roman" w:hAnsi="ElsevierSans"/>
          <w:color w:val="1F1F1F"/>
          <w:sz w:val="18"/>
          <w:szCs w:val="18"/>
          <w:lang w:eastAsia="fr-FR"/>
        </w:rPr>
        <w:t>, and neurotrophic factors like </w:t>
      </w:r>
      <w:hyperlink r:id="rId57" w:history="1">
        <w:r w:rsidR="003A10E0" w:rsidRPr="003A10E0">
          <w:rPr>
            <w:rFonts w:ascii="ElsevierSans" w:eastAsia="Times New Roman" w:hAnsi="ElsevierSans"/>
            <w:color w:val="1F1F1F"/>
            <w:sz w:val="18"/>
            <w:szCs w:val="18"/>
            <w:u w:val="single"/>
            <w:lang w:eastAsia="fr-FR"/>
          </w:rPr>
          <w:t>brain-derived neurotrophic factor</w:t>
        </w:r>
      </w:hyperlink>
      <w:r w:rsidR="003A10E0" w:rsidRPr="003A10E0">
        <w:rPr>
          <w:rFonts w:ascii="ElsevierSans" w:eastAsia="Times New Roman" w:hAnsi="ElsevierSans"/>
          <w:color w:val="1F1F1F"/>
          <w:sz w:val="18"/>
          <w:szCs w:val="18"/>
          <w:lang w:eastAsia="fr-FR"/>
        </w:rPr>
        <w:t> (BDNF). 29 52 62 </w:t>
      </w:r>
      <w:r>
        <w:rPr>
          <w:rFonts w:ascii="ElsevierSans" w:eastAsia="Times New Roman" w:hAnsi="ElsevierSans"/>
          <w:color w:val="1F1F1F"/>
          <w:sz w:val="18"/>
          <w:szCs w:val="18"/>
          <w:lang w:eastAsia="fr-FR"/>
        </w:rPr>
        <w:br/>
      </w:r>
      <w:hyperlink r:id="rId58" w:history="1">
        <w:r w:rsidR="003A10E0" w:rsidRPr="003A10E0">
          <w:rPr>
            <w:rFonts w:ascii="ElsevierSans" w:eastAsia="Times New Roman" w:hAnsi="ElsevierSans"/>
            <w:color w:val="1F1F1F"/>
            <w:sz w:val="18"/>
            <w:szCs w:val="18"/>
            <w:u w:val="single"/>
            <w:lang w:eastAsia="fr-FR"/>
          </w:rPr>
          <w:t>Thrombospondins 1 and 2</w:t>
        </w:r>
      </w:hyperlink>
      <w:r w:rsidR="003A10E0" w:rsidRPr="003A10E0">
        <w:rPr>
          <w:rFonts w:ascii="ElsevierSans" w:eastAsia="Times New Roman" w:hAnsi="ElsevierSans"/>
          <w:color w:val="1F1F1F"/>
          <w:sz w:val="18"/>
          <w:szCs w:val="18"/>
          <w:lang w:eastAsia="fr-FR"/>
        </w:rPr>
        <w:t xml:space="preserve">, secreted by astrocytes, are required for the </w:t>
      </w:r>
      <w:r w:rsidR="003A10E0" w:rsidRPr="003A10E0">
        <w:rPr>
          <w:rFonts w:ascii="ElsevierSans" w:eastAsia="Times New Roman" w:hAnsi="ElsevierSans"/>
          <w:color w:val="1F1F1F"/>
          <w:sz w:val="18"/>
          <w:szCs w:val="18"/>
          <w:highlight w:val="yellow"/>
          <w:lang w:eastAsia="fr-FR"/>
        </w:rPr>
        <w:t>generation of excitatory synapses</w:t>
      </w:r>
      <w:r w:rsidR="003A10E0" w:rsidRPr="003A10E0">
        <w:rPr>
          <w:rFonts w:ascii="ElsevierSans" w:eastAsia="Times New Roman" w:hAnsi="ElsevierSans"/>
          <w:color w:val="1F1F1F"/>
          <w:sz w:val="18"/>
          <w:szCs w:val="18"/>
          <w:lang w:eastAsia="fr-FR"/>
        </w:rPr>
        <w:t xml:space="preserve">, while glypicans and </w:t>
      </w:r>
      <w:proofErr w:type="spellStart"/>
      <w:r w:rsidR="003A10E0" w:rsidRPr="003A10E0">
        <w:rPr>
          <w:rFonts w:ascii="ElsevierSans" w:eastAsia="Times New Roman" w:hAnsi="ElsevierSans"/>
          <w:color w:val="1F1F1F"/>
          <w:sz w:val="18"/>
          <w:szCs w:val="18"/>
          <w:lang w:eastAsia="fr-FR"/>
        </w:rPr>
        <w:t>hevin</w:t>
      </w:r>
      <w:proofErr w:type="spellEnd"/>
      <w:r w:rsidR="003A10E0" w:rsidRPr="003A10E0">
        <w:rPr>
          <w:rFonts w:ascii="ElsevierSans" w:eastAsia="Times New Roman" w:hAnsi="ElsevierSans"/>
          <w:color w:val="1F1F1F"/>
          <w:sz w:val="18"/>
          <w:szCs w:val="18"/>
          <w:lang w:eastAsia="fr-FR"/>
        </w:rPr>
        <w:t xml:space="preserve"> also contribute to synaptic formation and maturation. </w:t>
      </w:r>
      <w:r>
        <w:rPr>
          <w:rFonts w:ascii="ElsevierSans" w:eastAsia="Times New Roman" w:hAnsi="ElsevierSans"/>
          <w:color w:val="1F1F1F"/>
          <w:sz w:val="18"/>
          <w:szCs w:val="18"/>
          <w:lang w:eastAsia="fr-FR"/>
        </w:rPr>
        <w:br/>
      </w:r>
      <w:r>
        <w:rPr>
          <w:rFonts w:ascii="ElsevierSans" w:eastAsia="Times New Roman" w:hAnsi="ElsevierSans"/>
          <w:color w:val="1F1F1F"/>
          <w:sz w:val="18"/>
          <w:szCs w:val="18"/>
          <w:lang w:eastAsia="fr-FR"/>
        </w:rPr>
        <w:lastRenderedPageBreak/>
        <w:t xml:space="preserve">&gt;&gt;&gt; </w:t>
      </w:r>
      <w:r w:rsidR="003A10E0" w:rsidRPr="003A10E0">
        <w:rPr>
          <w:rFonts w:ascii="ElsevierSans" w:eastAsia="Times New Roman" w:hAnsi="ElsevierSans"/>
          <w:color w:val="1F1F1F"/>
          <w:sz w:val="18"/>
          <w:szCs w:val="18"/>
          <w:lang w:eastAsia="fr-FR"/>
        </w:rPr>
        <w:t>Astrocytes secrete neurotrophic factors, including BDNF, which regulate neuronal maturation and survival. 63 </w:t>
      </w:r>
      <w:r>
        <w:rPr>
          <w:rFonts w:ascii="ElsevierSans" w:eastAsia="Times New Roman" w:hAnsi="ElsevierSans"/>
          <w:color w:val="1F1F1F"/>
          <w:sz w:val="18"/>
          <w:szCs w:val="18"/>
          <w:lang w:eastAsia="fr-FR"/>
        </w:rPr>
        <w:br/>
        <w:t xml:space="preserve">&gt;&gt;&gt; </w:t>
      </w:r>
      <w:r w:rsidR="003A10E0" w:rsidRPr="003A10E0">
        <w:rPr>
          <w:rFonts w:ascii="ElsevierSans" w:eastAsia="Times New Roman" w:hAnsi="ElsevierSans"/>
          <w:b/>
          <w:bCs/>
          <w:color w:val="1F1F1F"/>
          <w:sz w:val="18"/>
          <w:szCs w:val="18"/>
          <w:highlight w:val="yellow"/>
          <w:lang w:eastAsia="fr-FR"/>
        </w:rPr>
        <w:t>Astrocyte-mediated synaptic pruning</w:t>
      </w:r>
      <w:r w:rsidR="003A10E0" w:rsidRPr="003A10E0">
        <w:rPr>
          <w:rFonts w:ascii="ElsevierSans" w:eastAsia="Times New Roman" w:hAnsi="ElsevierSans"/>
          <w:color w:val="1F1F1F"/>
          <w:sz w:val="18"/>
          <w:szCs w:val="18"/>
          <w:lang w:eastAsia="fr-FR"/>
        </w:rPr>
        <w:t xml:space="preserve"> involves both direct phagocytosis and the release of signals such as transforming growth </w:t>
      </w:r>
      <w:hyperlink r:id="rId59" w:history="1">
        <w:r w:rsidR="003A10E0" w:rsidRPr="003A10E0">
          <w:rPr>
            <w:rFonts w:ascii="ElsevierSans" w:eastAsia="Times New Roman" w:hAnsi="ElsevierSans"/>
            <w:color w:val="1F1F1F"/>
            <w:sz w:val="18"/>
            <w:szCs w:val="18"/>
            <w:u w:val="single"/>
            <w:lang w:eastAsia="fr-FR"/>
          </w:rPr>
          <w:t>factor beta</w:t>
        </w:r>
      </w:hyperlink>
      <w:r w:rsidR="003A10E0" w:rsidRPr="003A10E0">
        <w:rPr>
          <w:rFonts w:ascii="ElsevierSans" w:eastAsia="Times New Roman" w:hAnsi="ElsevierSans"/>
          <w:color w:val="1F1F1F"/>
          <w:sz w:val="18"/>
          <w:szCs w:val="18"/>
          <w:lang w:eastAsia="fr-FR"/>
        </w:rPr>
        <w:t> (TGF-</w:t>
      </w:r>
      <w:r w:rsidR="003A10E0" w:rsidRPr="003A10E0">
        <w:rPr>
          <w:rFonts w:ascii="ElsevierSans" w:eastAsia="Times New Roman" w:hAnsi="ElsevierSans"/>
          <w:color w:val="1F1F1F"/>
          <w:sz w:val="18"/>
          <w:szCs w:val="18"/>
          <w:lang w:val="fr-FR" w:eastAsia="fr-FR"/>
        </w:rPr>
        <w:t>β</w:t>
      </w:r>
      <w:r w:rsidR="003A10E0" w:rsidRPr="003A10E0">
        <w:rPr>
          <w:rFonts w:ascii="ElsevierSans" w:eastAsia="Times New Roman" w:hAnsi="ElsevierSans"/>
          <w:color w:val="1F1F1F"/>
          <w:sz w:val="18"/>
          <w:szCs w:val="18"/>
          <w:lang w:eastAsia="fr-FR"/>
        </w:rPr>
        <w:t xml:space="preserve">), which </w:t>
      </w:r>
      <w:r w:rsidR="003A10E0" w:rsidRPr="003A10E0">
        <w:rPr>
          <w:rFonts w:ascii="ElsevierSans" w:eastAsia="Times New Roman" w:hAnsi="ElsevierSans"/>
          <w:color w:val="1F1F1F"/>
          <w:sz w:val="18"/>
          <w:szCs w:val="18"/>
          <w:highlight w:val="yellow"/>
          <w:lang w:eastAsia="fr-FR"/>
        </w:rPr>
        <w:t>induces neuronal expression of complement proteins like C1q, tagging synapses for elimination by microglia.</w:t>
      </w:r>
      <w:r w:rsidR="003A10E0" w:rsidRPr="003A10E0">
        <w:rPr>
          <w:rFonts w:ascii="ElsevierSans" w:eastAsia="Times New Roman" w:hAnsi="ElsevierSans"/>
          <w:color w:val="1F1F1F"/>
          <w:sz w:val="18"/>
          <w:szCs w:val="18"/>
          <w:lang w:eastAsia="fr-FR"/>
        </w:rPr>
        <w:t> 51 60</w:t>
      </w:r>
      <w:r>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 morphological and functional maturation occurs in concert with neuronal development, with astrocytes developing complex branched processes that allow them to contact hundreds to millions of synapses, depending on the species. 64 62 </w:t>
      </w:r>
      <w:r w:rsidR="00106F4C">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Bidirectional signaling between neurons and astrocytes regulates astrocyte development and function</w:t>
      </w:r>
      <w:r w:rsidRPr="003A10E0">
        <w:rPr>
          <w:rFonts w:ascii="ElsevierSans" w:eastAsia="Times New Roman" w:hAnsi="ElsevierSans"/>
          <w:color w:val="1F1F1F"/>
          <w:sz w:val="18"/>
          <w:szCs w:val="18"/>
          <w:lang w:eastAsia="fr-FR"/>
        </w:rPr>
        <w:t>, with neuron-secreted factors and contact-mediated mechanisms influencing astrocyte morphological and functional complexity.</w:t>
      </w:r>
      <w:r w:rsidR="00106F4C">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yellow"/>
          <w:lang w:eastAsia="fr-FR"/>
        </w:rPr>
        <w:t>Dysfunction of astrocytes has been implicated in </w:t>
      </w:r>
      <w:hyperlink r:id="rId60" w:history="1">
        <w:r w:rsidRPr="003A10E0">
          <w:rPr>
            <w:rFonts w:ascii="ElsevierSans" w:eastAsia="Times New Roman" w:hAnsi="ElsevierSans"/>
            <w:b/>
            <w:bCs/>
            <w:color w:val="1F1F1F"/>
            <w:sz w:val="18"/>
            <w:szCs w:val="18"/>
            <w:highlight w:val="yellow"/>
            <w:u w:val="single"/>
            <w:lang w:eastAsia="fr-FR"/>
          </w:rPr>
          <w:t>neurodevelopmental and psychiatric disorders</w:t>
        </w:r>
      </w:hyperlink>
      <w:r w:rsidRPr="003A10E0">
        <w:rPr>
          <w:rFonts w:ascii="ElsevierSans" w:eastAsia="Times New Roman" w:hAnsi="ElsevierSans"/>
          <w:b/>
          <w:bCs/>
          <w:color w:val="1F1F1F"/>
          <w:sz w:val="18"/>
          <w:szCs w:val="18"/>
          <w:highlight w:val="yellow"/>
          <w:lang w:eastAsia="fr-FR"/>
        </w:rPr>
        <w:t>,</w:t>
      </w:r>
      <w:r w:rsidRPr="003A10E0">
        <w:rPr>
          <w:rFonts w:ascii="ElsevierSans" w:eastAsia="Times New Roman" w:hAnsi="ElsevierSans"/>
          <w:color w:val="1F1F1F"/>
          <w:sz w:val="18"/>
          <w:szCs w:val="18"/>
          <w:highlight w:val="yellow"/>
          <w:lang w:eastAsia="fr-FR"/>
        </w:rPr>
        <w:t xml:space="preserve"> including </w:t>
      </w:r>
      <w:hyperlink r:id="rId61" w:history="1">
        <w:r w:rsidRPr="003A10E0">
          <w:rPr>
            <w:rFonts w:ascii="ElsevierSans" w:eastAsia="Times New Roman" w:hAnsi="ElsevierSans"/>
            <w:color w:val="1F1F1F"/>
            <w:sz w:val="18"/>
            <w:szCs w:val="18"/>
            <w:highlight w:val="yellow"/>
            <w:u w:val="single"/>
            <w:lang w:eastAsia="fr-FR"/>
          </w:rPr>
          <w:t>autism spectrum disorders</w:t>
        </w:r>
      </w:hyperlink>
      <w:r w:rsidRPr="003A10E0">
        <w:rPr>
          <w:rFonts w:ascii="ElsevierSans" w:eastAsia="Times New Roman" w:hAnsi="ElsevierSans"/>
          <w:color w:val="1F1F1F"/>
          <w:sz w:val="18"/>
          <w:szCs w:val="18"/>
          <w:highlight w:val="yellow"/>
          <w:lang w:eastAsia="fr-FR"/>
        </w:rPr>
        <w:t>, </w:t>
      </w:r>
      <w:hyperlink r:id="rId62" w:history="1">
        <w:r w:rsidRPr="003A10E0">
          <w:rPr>
            <w:rFonts w:ascii="ElsevierSans" w:eastAsia="Times New Roman" w:hAnsi="ElsevierSans"/>
            <w:color w:val="1F1F1F"/>
            <w:sz w:val="18"/>
            <w:szCs w:val="18"/>
            <w:highlight w:val="yellow"/>
            <w:u w:val="single"/>
            <w:lang w:eastAsia="fr-FR"/>
          </w:rPr>
          <w:t>Rett syndrome</w:t>
        </w:r>
      </w:hyperlink>
      <w:r w:rsidRPr="003A10E0">
        <w:rPr>
          <w:rFonts w:ascii="ElsevierSans" w:eastAsia="Times New Roman" w:hAnsi="ElsevierSans"/>
          <w:color w:val="1F1F1F"/>
          <w:sz w:val="18"/>
          <w:szCs w:val="18"/>
          <w:highlight w:val="yellow"/>
          <w:lang w:eastAsia="fr-FR"/>
        </w:rPr>
        <w:t>, and schizophrenia</w:t>
      </w:r>
      <w:r w:rsidRPr="003A10E0">
        <w:rPr>
          <w:rFonts w:ascii="ElsevierSans" w:eastAsia="Times New Roman" w:hAnsi="ElsevierSans"/>
          <w:color w:val="1F1F1F"/>
          <w:sz w:val="18"/>
          <w:szCs w:val="18"/>
          <w:lang w:eastAsia="fr-FR"/>
        </w:rPr>
        <w:t>. 65 66 </w:t>
      </w:r>
      <w:r w:rsidR="00106F4C">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cyan"/>
          <w:lang w:eastAsia="fr-FR"/>
        </w:rPr>
        <w:t>Increased astrocyte numbers and altered expression of astrocyte markers such as GFAP, </w:t>
      </w:r>
      <w:hyperlink r:id="rId63" w:history="1">
        <w:r w:rsidRPr="003A10E0">
          <w:rPr>
            <w:rFonts w:ascii="ElsevierSans" w:eastAsia="Times New Roman" w:hAnsi="ElsevierSans"/>
            <w:color w:val="1F1F1F"/>
            <w:sz w:val="18"/>
            <w:szCs w:val="18"/>
            <w:highlight w:val="cyan"/>
            <w:u w:val="single"/>
            <w:lang w:eastAsia="fr-FR"/>
          </w:rPr>
          <w:t>aquaporin 4</w:t>
        </w:r>
      </w:hyperlink>
      <w:r w:rsidRPr="003A10E0">
        <w:rPr>
          <w:rFonts w:ascii="ElsevierSans" w:eastAsia="Times New Roman" w:hAnsi="ElsevierSans"/>
          <w:color w:val="1F1F1F"/>
          <w:sz w:val="18"/>
          <w:szCs w:val="18"/>
          <w:highlight w:val="cyan"/>
          <w:lang w:eastAsia="fr-FR"/>
        </w:rPr>
        <w:t xml:space="preserve"> (AQP4), and connexin 43 (CX43) are observed in </w:t>
      </w:r>
      <w:r w:rsidRPr="003A10E0">
        <w:rPr>
          <w:rFonts w:ascii="ElsevierSans" w:eastAsia="Times New Roman" w:hAnsi="ElsevierSans"/>
          <w:b/>
          <w:bCs/>
          <w:color w:val="1F1F1F"/>
          <w:sz w:val="18"/>
          <w:szCs w:val="18"/>
          <w:highlight w:val="cyan"/>
          <w:lang w:eastAsia="fr-FR"/>
        </w:rPr>
        <w:t>autistic</w:t>
      </w:r>
      <w:r w:rsidRPr="003A10E0">
        <w:rPr>
          <w:rFonts w:ascii="ElsevierSans" w:eastAsia="Times New Roman" w:hAnsi="ElsevierSans"/>
          <w:color w:val="1F1F1F"/>
          <w:sz w:val="18"/>
          <w:szCs w:val="18"/>
          <w:highlight w:val="cyan"/>
          <w:lang w:eastAsia="fr-FR"/>
        </w:rPr>
        <w:t xml:space="preserve"> patients</w:t>
      </w:r>
      <w:r w:rsidRPr="003A10E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highlight w:val="yellow"/>
          <w:lang w:eastAsia="fr-FR"/>
        </w:rPr>
        <w:t>while decreased astrocyte numbers are seen in schizophrenia</w:t>
      </w:r>
      <w:r w:rsidRPr="003A10E0">
        <w:rPr>
          <w:rFonts w:ascii="ElsevierSans" w:eastAsia="Times New Roman" w:hAnsi="ElsevierSans"/>
          <w:color w:val="1F1F1F"/>
          <w:sz w:val="18"/>
          <w:szCs w:val="18"/>
          <w:lang w:eastAsia="fr-FR"/>
        </w:rPr>
        <w:t>. </w:t>
      </w:r>
      <w:r w:rsidR="00BE6EF8">
        <w:rPr>
          <w:rFonts w:ascii="ElsevierSans" w:eastAsia="Times New Roman" w:hAnsi="ElsevierSans"/>
          <w:color w:val="1F1F1F"/>
          <w:sz w:val="18"/>
          <w:szCs w:val="18"/>
          <w:lang w:eastAsia="fr-FR"/>
        </w:rPr>
        <w:br/>
      </w:r>
      <w:r w:rsidR="00BE6EF8">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In Rett syndrome and fragile X syndrome, astrocyte dysfunction contributes to abnormal dendritic morphology and impaired synaptic development. 67 52</w:t>
      </w:r>
    </w:p>
    <w:p w:rsidR="003A10E0" w:rsidRPr="003A10E0" w:rsidRDefault="003A10E0" w:rsidP="003A10E0">
      <w:pPr>
        <w:spacing w:line="420" w:lineRule="atLeast"/>
        <w:outlineLvl w:val="1"/>
        <w:rPr>
          <w:rStyle w:val="lev"/>
          <w:lang w:eastAsia="fr-FR"/>
        </w:rPr>
      </w:pPr>
      <w:bookmarkStart w:id="6" w:name="_Toc216069497"/>
      <w:r w:rsidRPr="003A10E0">
        <w:rPr>
          <w:rStyle w:val="lev"/>
          <w:highlight w:val="green"/>
          <w:lang w:eastAsia="fr-FR"/>
        </w:rPr>
        <w:t>5. Astrocytes in Neurological Disorders and Therapeutic Potential</w:t>
      </w:r>
      <w:bookmarkEnd w:id="6"/>
      <w:r w:rsidR="00BE6EF8">
        <w:rPr>
          <w:rStyle w:val="lev"/>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b/>
          <w:bCs/>
          <w:color w:val="1F1F1F"/>
          <w:sz w:val="18"/>
          <w:szCs w:val="18"/>
          <w:highlight w:val="green"/>
          <w:lang w:eastAsia="fr-FR"/>
        </w:rPr>
        <w:t>Astrocyte dysfunction</w:t>
      </w:r>
      <w:r w:rsidRPr="003A10E0">
        <w:rPr>
          <w:rFonts w:ascii="ElsevierSans" w:eastAsia="Times New Roman" w:hAnsi="ElsevierSans"/>
          <w:color w:val="1F1F1F"/>
          <w:sz w:val="18"/>
          <w:szCs w:val="18"/>
          <w:lang w:eastAsia="fr-FR"/>
        </w:rPr>
        <w:t xml:space="preserve"> and </w:t>
      </w:r>
      <w:r w:rsidRPr="003A10E0">
        <w:rPr>
          <w:rFonts w:ascii="ElsevierSans" w:eastAsia="Times New Roman" w:hAnsi="ElsevierSans"/>
          <w:b/>
          <w:bCs/>
          <w:color w:val="1F1F1F"/>
          <w:sz w:val="18"/>
          <w:szCs w:val="18"/>
          <w:highlight w:val="green"/>
          <w:lang w:eastAsia="fr-FR"/>
        </w:rPr>
        <w:t>reactive astrogliosis</w:t>
      </w:r>
      <w:r w:rsidRPr="003A10E0">
        <w:rPr>
          <w:rFonts w:ascii="ElsevierSans" w:eastAsia="Times New Roman" w:hAnsi="ElsevierSans"/>
          <w:color w:val="1F1F1F"/>
          <w:sz w:val="18"/>
          <w:szCs w:val="18"/>
          <w:lang w:eastAsia="fr-FR"/>
        </w:rPr>
        <w:t xml:space="preserve"> are implicated in the pathogenesis of a broad range of neurological and </w:t>
      </w:r>
      <w:r w:rsidRPr="003A10E0">
        <w:rPr>
          <w:rFonts w:ascii="ElsevierSans" w:eastAsia="Times New Roman" w:hAnsi="ElsevierSans"/>
          <w:b/>
          <w:bCs/>
          <w:color w:val="1F1F1F"/>
          <w:sz w:val="18"/>
          <w:szCs w:val="18"/>
          <w:lang w:eastAsia="fr-FR"/>
        </w:rPr>
        <w:t>neurodegenerative diseases,</w:t>
      </w:r>
      <w:r w:rsidRPr="003A10E0">
        <w:rPr>
          <w:rFonts w:ascii="ElsevierSans" w:eastAsia="Times New Roman" w:hAnsi="ElsevierSans"/>
          <w:color w:val="1F1F1F"/>
          <w:sz w:val="18"/>
          <w:szCs w:val="18"/>
          <w:lang w:eastAsia="fr-FR"/>
        </w:rPr>
        <w:t xml:space="preserve"> </w:t>
      </w:r>
      <w:r w:rsidR="00BE6EF8">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including </w:t>
      </w:r>
      <w:hyperlink r:id="rId64" w:history="1">
        <w:r w:rsidRPr="003A10E0">
          <w:rPr>
            <w:rFonts w:ascii="ElsevierSans" w:eastAsia="Times New Roman" w:hAnsi="ElsevierSans"/>
            <w:color w:val="1F1F1F"/>
            <w:sz w:val="18"/>
            <w:szCs w:val="18"/>
            <w:u w:val="single"/>
            <w:lang w:eastAsia="fr-FR"/>
          </w:rPr>
          <w:t>Alzheimer’s disease</w:t>
        </w:r>
      </w:hyperlink>
      <w:r w:rsidRPr="003A10E0">
        <w:rPr>
          <w:rFonts w:ascii="ElsevierSans" w:eastAsia="Times New Roman" w:hAnsi="ElsevierSans"/>
          <w:color w:val="1F1F1F"/>
          <w:sz w:val="18"/>
          <w:szCs w:val="18"/>
          <w:lang w:eastAsia="fr-FR"/>
        </w:rPr>
        <w:t>, Parkinson’s </w:t>
      </w:r>
      <w:hyperlink r:id="rId65" w:history="1">
        <w:r w:rsidRPr="003A10E0">
          <w:rPr>
            <w:rFonts w:ascii="ElsevierSans" w:eastAsia="Times New Roman" w:hAnsi="ElsevierSans"/>
            <w:color w:val="1F1F1F"/>
            <w:sz w:val="18"/>
            <w:szCs w:val="18"/>
            <w:u w:val="single"/>
            <w:lang w:eastAsia="fr-FR"/>
          </w:rPr>
          <w:t>disease, Huntington</w:t>
        </w:r>
      </w:hyperlink>
      <w:r w:rsidRPr="003A10E0">
        <w:rPr>
          <w:rFonts w:ascii="ElsevierSans" w:eastAsia="Times New Roman" w:hAnsi="ElsevierSans"/>
          <w:color w:val="1F1F1F"/>
          <w:sz w:val="18"/>
          <w:szCs w:val="18"/>
          <w:lang w:eastAsia="fr-FR"/>
        </w:rPr>
        <w:t>’s disease, </w:t>
      </w:r>
      <w:hyperlink r:id="rId66" w:history="1">
        <w:r w:rsidRPr="003A10E0">
          <w:rPr>
            <w:rFonts w:ascii="ElsevierSans" w:eastAsia="Times New Roman" w:hAnsi="ElsevierSans"/>
            <w:color w:val="1F1F1F"/>
            <w:sz w:val="18"/>
            <w:szCs w:val="18"/>
            <w:u w:val="single"/>
            <w:lang w:eastAsia="fr-FR"/>
          </w:rPr>
          <w:t>amyotrophic lateral sclerosis</w:t>
        </w:r>
      </w:hyperlink>
      <w:r w:rsidRPr="003A10E0">
        <w:rPr>
          <w:rFonts w:ascii="ElsevierSans" w:eastAsia="Times New Roman" w:hAnsi="ElsevierSans"/>
          <w:color w:val="1F1F1F"/>
          <w:sz w:val="18"/>
          <w:szCs w:val="18"/>
          <w:lang w:eastAsia="fr-FR"/>
        </w:rPr>
        <w:t>, epilepsy, and </w:t>
      </w:r>
      <w:hyperlink r:id="rId67" w:history="1">
        <w:r w:rsidRPr="003A10E0">
          <w:rPr>
            <w:rFonts w:ascii="ElsevierSans" w:eastAsia="Times New Roman" w:hAnsi="ElsevierSans"/>
            <w:color w:val="1F1F1F"/>
            <w:sz w:val="18"/>
            <w:szCs w:val="18"/>
            <w:u w:val="single"/>
            <w:lang w:eastAsia="fr-FR"/>
          </w:rPr>
          <w:t>multiple sclerosis</w:t>
        </w:r>
      </w:hyperlink>
      <w:r w:rsidRPr="003A10E0">
        <w:rPr>
          <w:rFonts w:ascii="ElsevierSans" w:eastAsia="Times New Roman" w:hAnsi="ElsevierSans"/>
          <w:color w:val="1F1F1F"/>
          <w:sz w:val="18"/>
          <w:szCs w:val="18"/>
          <w:lang w:eastAsia="fr-FR"/>
        </w:rPr>
        <w:t>. 68 69 55 </w:t>
      </w:r>
      <w:r w:rsidR="00BE6EF8">
        <w:rPr>
          <w:rFonts w:ascii="ElsevierSans" w:eastAsia="Times New Roman" w:hAnsi="ElsevierSans"/>
          <w:color w:val="1F1F1F"/>
          <w:sz w:val="18"/>
          <w:szCs w:val="18"/>
          <w:lang w:eastAsia="fr-FR"/>
        </w:rPr>
        <w:br/>
      </w:r>
      <w:r w:rsidR="00BE6EF8">
        <w:rPr>
          <w:rFonts w:ascii="ElsevierSans" w:eastAsia="Times New Roman" w:hAnsi="ElsevierSans"/>
          <w:color w:val="1F1F1F"/>
          <w:sz w:val="18"/>
          <w:szCs w:val="18"/>
          <w:lang w:eastAsia="fr-FR"/>
        </w:rPr>
        <w:br/>
      </w:r>
      <w:r w:rsidRPr="003A10E0">
        <w:rPr>
          <w:rFonts w:ascii="ElsevierSans" w:eastAsia="Times New Roman" w:hAnsi="ElsevierSans"/>
          <w:b/>
          <w:bCs/>
          <w:color w:val="1F1F1F"/>
          <w:sz w:val="18"/>
          <w:szCs w:val="18"/>
          <w:highlight w:val="lightGray"/>
          <w:lang w:eastAsia="fr-FR"/>
        </w:rPr>
        <w:t>In Alzheimer’s</w:t>
      </w:r>
      <w:r w:rsidRPr="003A10E0">
        <w:rPr>
          <w:rFonts w:ascii="ElsevierSans" w:eastAsia="Times New Roman" w:hAnsi="ElsevierSans"/>
          <w:color w:val="1F1F1F"/>
          <w:sz w:val="18"/>
          <w:szCs w:val="18"/>
          <w:lang w:eastAsia="fr-FR"/>
        </w:rPr>
        <w:t xml:space="preserve"> disease, astrocytes undergo morphological and molecular changes, including a switch to reactive states, altered gene expression, and functional remodeling that disrupts neuronal microenvironments and compromise neuronal communication. 70 71 Reactive astrocytes in Alzheimer’s disease display </w:t>
      </w:r>
      <w:r w:rsidRPr="003A10E0">
        <w:rPr>
          <w:rFonts w:ascii="ElsevierSans" w:eastAsia="Times New Roman" w:hAnsi="ElsevierSans"/>
          <w:color w:val="1F1F1F"/>
          <w:sz w:val="18"/>
          <w:szCs w:val="18"/>
          <w:highlight w:val="yellow"/>
          <w:lang w:eastAsia="fr-FR"/>
        </w:rPr>
        <w:t>reduced GLT-1 expression</w:t>
      </w:r>
      <w:r w:rsidRPr="003A10E0">
        <w:rPr>
          <w:rFonts w:ascii="ElsevierSans" w:eastAsia="Times New Roman" w:hAnsi="ElsevierSans"/>
          <w:color w:val="1F1F1F"/>
          <w:sz w:val="18"/>
          <w:szCs w:val="18"/>
          <w:lang w:eastAsia="fr-FR"/>
        </w:rPr>
        <w:t xml:space="preserve"> and mis-localization, undermining glutamate reuptake and contributing to neuronal damage and cognitive decline. </w:t>
      </w:r>
      <w:r w:rsidR="00BE6EF8">
        <w:rPr>
          <w:rFonts w:ascii="ElsevierSans" w:eastAsia="Times New Roman" w:hAnsi="ElsevierSans"/>
          <w:color w:val="1F1F1F"/>
          <w:sz w:val="18"/>
          <w:szCs w:val="18"/>
          <w:lang w:eastAsia="fr-FR"/>
        </w:rPr>
        <w:br/>
      </w:r>
      <w:r w:rsidR="00BE6EF8">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Astrocytes also participate in amyloid-beta (A</w:t>
      </w:r>
      <w:r w:rsidRPr="003A10E0">
        <w:rPr>
          <w:rFonts w:ascii="ElsevierSans" w:eastAsia="Times New Roman" w:hAnsi="ElsevierSans"/>
          <w:color w:val="1F1F1F"/>
          <w:sz w:val="18"/>
          <w:szCs w:val="18"/>
          <w:highlight w:val="yellow"/>
          <w:lang w:val="fr-FR" w:eastAsia="fr-FR"/>
        </w:rPr>
        <w:t>β</w:t>
      </w:r>
      <w:r w:rsidRPr="003A10E0">
        <w:rPr>
          <w:rFonts w:ascii="ElsevierSans" w:eastAsia="Times New Roman" w:hAnsi="ElsevierSans"/>
          <w:color w:val="1F1F1F"/>
          <w:sz w:val="18"/>
          <w:szCs w:val="18"/>
          <w:highlight w:val="yellow"/>
          <w:lang w:eastAsia="fr-FR"/>
        </w:rPr>
        <w:t>) clearance</w:t>
      </w:r>
      <w:r w:rsidRPr="003A10E0">
        <w:rPr>
          <w:rFonts w:ascii="ElsevierSans" w:eastAsia="Times New Roman" w:hAnsi="ElsevierSans"/>
          <w:color w:val="1F1F1F"/>
          <w:sz w:val="18"/>
          <w:szCs w:val="18"/>
          <w:lang w:eastAsia="fr-FR"/>
        </w:rPr>
        <w:t xml:space="preserve"> via receptor for advanced glycation end products (RAGE) and low-density lipoprotein receptor-related protein 1 (LRP1) pathways and secrete A</w:t>
      </w:r>
      <w:r w:rsidRPr="003A10E0">
        <w:rPr>
          <w:rFonts w:ascii="ElsevierSans" w:eastAsia="Times New Roman" w:hAnsi="ElsevierSans"/>
          <w:color w:val="1F1F1F"/>
          <w:sz w:val="18"/>
          <w:szCs w:val="18"/>
          <w:lang w:val="fr-FR" w:eastAsia="fr-FR"/>
        </w:rPr>
        <w:t>β</w:t>
      </w:r>
      <w:r w:rsidRPr="003A10E0">
        <w:rPr>
          <w:rFonts w:ascii="ElsevierSans" w:eastAsia="Times New Roman" w:hAnsi="ElsevierSans"/>
          <w:color w:val="1F1F1F"/>
          <w:sz w:val="18"/>
          <w:szCs w:val="18"/>
          <w:lang w:eastAsia="fr-FR"/>
        </w:rPr>
        <w:t xml:space="preserve">-degrading enzymes such as </w:t>
      </w:r>
      <w:proofErr w:type="spellStart"/>
      <w:r w:rsidRPr="003A10E0">
        <w:rPr>
          <w:rFonts w:ascii="ElsevierSans" w:eastAsia="Times New Roman" w:hAnsi="ElsevierSans"/>
          <w:color w:val="1F1F1F"/>
          <w:sz w:val="18"/>
          <w:szCs w:val="18"/>
          <w:lang w:eastAsia="fr-FR"/>
        </w:rPr>
        <w:t>neprilysin</w:t>
      </w:r>
      <w:proofErr w:type="spellEnd"/>
      <w:r w:rsidRPr="003A10E0">
        <w:rPr>
          <w:rFonts w:ascii="ElsevierSans" w:eastAsia="Times New Roman" w:hAnsi="ElsevierSans"/>
          <w:color w:val="1F1F1F"/>
          <w:sz w:val="18"/>
          <w:szCs w:val="18"/>
          <w:lang w:eastAsia="fr-FR"/>
        </w:rPr>
        <w:t xml:space="preserve"> and insulin-degrading enzyme; dysfunction in these processes leads to plaque formation. 72 </w:t>
      </w:r>
      <w:r w:rsidR="00BE6EF8">
        <w:rPr>
          <w:rFonts w:ascii="ElsevierSans" w:eastAsia="Times New Roman" w:hAnsi="ElsevierSans"/>
          <w:color w:val="1F1F1F"/>
          <w:sz w:val="18"/>
          <w:szCs w:val="18"/>
          <w:lang w:eastAsia="fr-FR"/>
        </w:rPr>
        <w:br/>
      </w:r>
      <w:r w:rsidR="00BE6EF8" w:rsidRPr="00BE6EF8">
        <w:rPr>
          <w:rFonts w:ascii="ElsevierSans" w:eastAsia="Times New Roman" w:hAnsi="ElsevierSans"/>
          <w:b/>
          <w:bCs/>
          <w:color w:val="1F1F1F"/>
          <w:sz w:val="18"/>
          <w:szCs w:val="18"/>
          <w:lang w:eastAsia="fr-FR"/>
        </w:rPr>
        <w:br/>
      </w:r>
      <w:r w:rsidRPr="003A10E0">
        <w:rPr>
          <w:rFonts w:ascii="ElsevierSans" w:eastAsia="Times New Roman" w:hAnsi="ElsevierSans"/>
          <w:b/>
          <w:bCs/>
          <w:color w:val="1F1F1F"/>
          <w:sz w:val="18"/>
          <w:szCs w:val="18"/>
          <w:highlight w:val="lightGray"/>
          <w:lang w:eastAsia="fr-FR"/>
        </w:rPr>
        <w:t>In Parkinson’s disease</w:t>
      </w:r>
      <w:r w:rsidRPr="003A10E0">
        <w:rPr>
          <w:rFonts w:ascii="ElsevierSans" w:eastAsia="Times New Roman" w:hAnsi="ElsevierSans"/>
          <w:color w:val="1F1F1F"/>
          <w:sz w:val="18"/>
          <w:szCs w:val="18"/>
          <w:lang w:eastAsia="fr-FR"/>
        </w:rPr>
        <w:t xml:space="preserve">, astrocytes respond to neuroinflammatory stimuli by </w:t>
      </w:r>
      <w:r w:rsidRPr="003A10E0">
        <w:rPr>
          <w:rFonts w:ascii="ElsevierSans" w:eastAsia="Times New Roman" w:hAnsi="ElsevierSans"/>
          <w:color w:val="1F1F1F"/>
          <w:sz w:val="18"/>
          <w:szCs w:val="18"/>
          <w:highlight w:val="yellow"/>
          <w:lang w:eastAsia="fr-FR"/>
        </w:rPr>
        <w:t xml:space="preserve">producing pro-inflammatory cytokines and undergo hypertrophy and proliferation, </w:t>
      </w:r>
      <w:r w:rsidRPr="003A10E0">
        <w:rPr>
          <w:rFonts w:ascii="ElsevierSans" w:eastAsia="Times New Roman" w:hAnsi="ElsevierSans"/>
          <w:b/>
          <w:bCs/>
          <w:color w:val="1F1F1F"/>
          <w:sz w:val="18"/>
          <w:szCs w:val="18"/>
          <w:highlight w:val="yellow"/>
          <w:lang w:eastAsia="fr-FR"/>
        </w:rPr>
        <w:t>contributing to neuroinflammation and degeneration of dopaminergic neurons</w:t>
      </w:r>
      <w:r w:rsidRPr="003A10E0">
        <w:rPr>
          <w:rFonts w:ascii="ElsevierSans" w:eastAsia="Times New Roman" w:hAnsi="ElsevierSans"/>
          <w:color w:val="1F1F1F"/>
          <w:sz w:val="18"/>
          <w:szCs w:val="18"/>
          <w:highlight w:val="yellow"/>
          <w:lang w:eastAsia="fr-FR"/>
        </w:rPr>
        <w:t>. 73 74</w:t>
      </w:r>
      <w:r w:rsidRPr="003A10E0">
        <w:rPr>
          <w:rFonts w:ascii="ElsevierSans" w:eastAsia="Times New Roman" w:hAnsi="ElsevierSans"/>
          <w:color w:val="1F1F1F"/>
          <w:sz w:val="18"/>
          <w:szCs w:val="18"/>
          <w:lang w:eastAsia="fr-FR"/>
        </w:rPr>
        <w:t> </w:t>
      </w:r>
      <w:r w:rsidR="00BE6EF8">
        <w:rPr>
          <w:rFonts w:ascii="ElsevierSans" w:eastAsia="Times New Roman" w:hAnsi="ElsevierSans"/>
          <w:color w:val="1F1F1F"/>
          <w:sz w:val="18"/>
          <w:szCs w:val="18"/>
          <w:lang w:eastAsia="fr-FR"/>
        </w:rPr>
        <w:br/>
      </w:r>
      <w:r w:rsidR="00BE6EF8" w:rsidRPr="00BE6EF8">
        <w:rPr>
          <w:rFonts w:ascii="ElsevierSans" w:eastAsia="Times New Roman" w:hAnsi="ElsevierSans"/>
          <w:b/>
          <w:bCs/>
          <w:color w:val="1F1F1F"/>
          <w:sz w:val="18"/>
          <w:szCs w:val="18"/>
          <w:lang w:eastAsia="fr-FR"/>
        </w:rPr>
        <w:br/>
      </w:r>
      <w:r w:rsidRPr="003A10E0">
        <w:rPr>
          <w:rFonts w:ascii="ElsevierSans" w:eastAsia="Times New Roman" w:hAnsi="ElsevierSans"/>
          <w:b/>
          <w:bCs/>
          <w:color w:val="1F1F1F"/>
          <w:sz w:val="18"/>
          <w:szCs w:val="18"/>
          <w:highlight w:val="lightGray"/>
          <w:lang w:eastAsia="fr-FR"/>
        </w:rPr>
        <w:t>Huntington’s disease</w:t>
      </w:r>
      <w:r w:rsidRPr="003A10E0">
        <w:rPr>
          <w:rFonts w:ascii="ElsevierSans" w:eastAsia="Times New Roman" w:hAnsi="ElsevierSans"/>
          <w:color w:val="1F1F1F"/>
          <w:sz w:val="18"/>
          <w:szCs w:val="18"/>
          <w:lang w:eastAsia="fr-FR"/>
        </w:rPr>
        <w:t xml:space="preserve"> features astrocyte-mediated glutamate toxicity, impaired GABA release, and increased inflammatory signaling, with </w:t>
      </w:r>
      <w:r w:rsidRPr="003A10E0">
        <w:rPr>
          <w:rFonts w:ascii="ElsevierSans" w:eastAsia="Times New Roman" w:hAnsi="ElsevierSans"/>
          <w:color w:val="1F1F1F"/>
          <w:sz w:val="18"/>
          <w:szCs w:val="18"/>
          <w:highlight w:val="yellow"/>
          <w:lang w:eastAsia="fr-FR"/>
        </w:rPr>
        <w:t>reduced GLT-1 expression correlating with disease severity</w:t>
      </w:r>
      <w:r w:rsidRPr="003A10E0">
        <w:rPr>
          <w:rFonts w:ascii="ElsevierSans" w:eastAsia="Times New Roman" w:hAnsi="ElsevierSans"/>
          <w:color w:val="1F1F1F"/>
          <w:sz w:val="18"/>
          <w:szCs w:val="18"/>
          <w:lang w:eastAsia="fr-FR"/>
        </w:rPr>
        <w:t>. 23 </w:t>
      </w:r>
      <w:r w:rsidR="00BE6EF8">
        <w:rPr>
          <w:rFonts w:ascii="ElsevierSans" w:eastAsia="Times New Roman" w:hAnsi="ElsevierSans"/>
          <w:color w:val="1F1F1F"/>
          <w:sz w:val="18"/>
          <w:szCs w:val="18"/>
          <w:lang w:eastAsia="fr-FR"/>
        </w:rPr>
        <w:br/>
      </w:r>
      <w:r w:rsidR="00BE6EF8">
        <w:rPr>
          <w:rFonts w:ascii="ElsevierSans" w:eastAsia="Times New Roman" w:hAnsi="ElsevierSans"/>
          <w:color w:val="1F1F1F"/>
          <w:sz w:val="18"/>
          <w:szCs w:val="18"/>
          <w:lang w:eastAsia="fr-FR"/>
        </w:rPr>
        <w:br/>
      </w:r>
      <w:r w:rsidRPr="003A10E0">
        <w:rPr>
          <w:rFonts w:ascii="ElsevierSans" w:eastAsia="Times New Roman" w:hAnsi="ElsevierSans"/>
          <w:b/>
          <w:bCs/>
          <w:color w:val="1F1F1F"/>
          <w:sz w:val="18"/>
          <w:szCs w:val="18"/>
          <w:highlight w:val="lightGray"/>
          <w:lang w:eastAsia="fr-FR"/>
        </w:rPr>
        <w:t>In amyotrophic lateral sclerosis</w:t>
      </w:r>
      <w:r w:rsidRPr="003A10E0">
        <w:rPr>
          <w:rFonts w:ascii="ElsevierSans" w:eastAsia="Times New Roman" w:hAnsi="ElsevierSans"/>
          <w:color w:val="1F1F1F"/>
          <w:sz w:val="18"/>
          <w:szCs w:val="18"/>
          <w:lang w:eastAsia="fr-FR"/>
        </w:rPr>
        <w:t xml:space="preserve">, astrocyte degeneration and loss of glutamate uptake are linked to motor neuron injury and </w:t>
      </w:r>
      <w:r w:rsidRPr="003A10E0">
        <w:rPr>
          <w:rFonts w:ascii="ElsevierSans" w:eastAsia="Times New Roman" w:hAnsi="ElsevierSans"/>
          <w:color w:val="1F1F1F"/>
          <w:sz w:val="18"/>
          <w:szCs w:val="18"/>
          <w:lang w:eastAsia="fr-FR"/>
        </w:rPr>
        <w:t>disease progression. 75</w:t>
      </w:r>
      <w:r w:rsidR="00BE6EF8">
        <w:rPr>
          <w:rFonts w:ascii="ElsevierSans" w:eastAsia="Times New Roman" w:hAnsi="ElsevierSans"/>
          <w:color w:val="1F1F1F"/>
          <w:sz w:val="18"/>
          <w:szCs w:val="18"/>
          <w:lang w:eastAsia="fr-FR"/>
        </w:rPr>
        <w:br/>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b/>
          <w:bCs/>
          <w:color w:val="1F1F1F"/>
          <w:sz w:val="18"/>
          <w:szCs w:val="18"/>
          <w:highlight w:val="lightGray"/>
          <w:lang w:eastAsia="fr-FR"/>
        </w:rPr>
        <w:t>In epilepsy and seizure disorders</w:t>
      </w:r>
      <w:r w:rsidRPr="003A10E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highlight w:val="yellow"/>
          <w:lang w:eastAsia="fr-FR"/>
        </w:rPr>
        <w:t>astrocytes regulate excitatory-inhibitory balance through glutamate uptake and potassium buffering, with dysfunction leading to hyperexcitability and seizure susceptibility</w:t>
      </w:r>
      <w:r w:rsidRPr="003A10E0">
        <w:rPr>
          <w:rFonts w:ascii="ElsevierSans" w:eastAsia="Times New Roman" w:hAnsi="ElsevierSans"/>
          <w:color w:val="1F1F1F"/>
          <w:sz w:val="18"/>
          <w:szCs w:val="18"/>
          <w:lang w:eastAsia="fr-FR"/>
        </w:rPr>
        <w:t>. 76 77 </w:t>
      </w:r>
      <w:r w:rsidR="00F90A10">
        <w:rPr>
          <w:rFonts w:ascii="ElsevierSans" w:eastAsia="Times New Roman" w:hAnsi="ElsevierSans"/>
          <w:color w:val="1F1F1F"/>
          <w:sz w:val="18"/>
          <w:szCs w:val="18"/>
          <w:lang w:eastAsia="fr-FR"/>
        </w:rPr>
        <w:br/>
      </w:r>
      <w:r w:rsidR="00F90A10">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Astrocytic purinergic signaling, particularly via </w:t>
      </w:r>
      <w:hyperlink r:id="rId68" w:history="1">
        <w:r w:rsidRPr="003A10E0">
          <w:rPr>
            <w:rFonts w:ascii="ElsevierSans" w:eastAsia="Times New Roman" w:hAnsi="ElsevierSans"/>
            <w:color w:val="1F1F1F"/>
            <w:sz w:val="18"/>
            <w:szCs w:val="18"/>
            <w:u w:val="single"/>
            <w:lang w:eastAsia="fr-FR"/>
          </w:rPr>
          <w:t>P2Y receptors</w:t>
        </w:r>
      </w:hyperlink>
      <w:r w:rsidRPr="003A10E0">
        <w:rPr>
          <w:rFonts w:ascii="ElsevierSans" w:eastAsia="Times New Roman" w:hAnsi="ElsevierSans"/>
          <w:color w:val="1F1F1F"/>
          <w:sz w:val="18"/>
          <w:szCs w:val="18"/>
          <w:lang w:eastAsia="fr-FR"/>
        </w:rPr>
        <w:t xml:space="preserve">, modulates seizure threshold and propagation, </w:t>
      </w:r>
      <w:r w:rsidRPr="003A10E0">
        <w:rPr>
          <w:rFonts w:ascii="ElsevierSans" w:eastAsia="Times New Roman" w:hAnsi="ElsevierSans"/>
          <w:color w:val="1F1F1F"/>
          <w:sz w:val="18"/>
          <w:szCs w:val="18"/>
          <w:highlight w:val="yellow"/>
          <w:lang w:eastAsia="fr-FR"/>
        </w:rPr>
        <w:t>and alterations in astrocyte-astrocyte signaling contribute to excitatory-inhibitory imbalance</w:t>
      </w:r>
      <w:r w:rsidRPr="003A10E0">
        <w:rPr>
          <w:rFonts w:ascii="ElsevierSans" w:eastAsia="Times New Roman" w:hAnsi="ElsevierSans"/>
          <w:color w:val="1F1F1F"/>
          <w:sz w:val="18"/>
          <w:szCs w:val="18"/>
          <w:lang w:eastAsia="fr-FR"/>
        </w:rPr>
        <w:t>. 78 79 </w:t>
      </w:r>
      <w:r w:rsidR="00F90A10">
        <w:rPr>
          <w:rFonts w:ascii="ElsevierSans" w:eastAsia="Times New Roman" w:hAnsi="ElsevierSans"/>
          <w:color w:val="1F1F1F"/>
          <w:sz w:val="18"/>
          <w:szCs w:val="18"/>
          <w:lang w:eastAsia="fr-FR"/>
        </w:rPr>
        <w:br/>
      </w:r>
      <w:r w:rsidR="00F90A10">
        <w:rPr>
          <w:rFonts w:ascii="ElsevierSans" w:eastAsia="Times New Roman" w:hAnsi="ElsevierSans"/>
          <w:color w:val="1F1F1F"/>
          <w:sz w:val="18"/>
          <w:szCs w:val="18"/>
          <w:lang w:eastAsia="fr-FR"/>
        </w:rPr>
        <w:br/>
      </w:r>
      <w:r w:rsidRPr="003A10E0">
        <w:rPr>
          <w:rFonts w:ascii="ElsevierSans" w:eastAsia="Times New Roman" w:hAnsi="ElsevierSans"/>
          <w:b/>
          <w:bCs/>
          <w:color w:val="1F1F1F"/>
          <w:sz w:val="18"/>
          <w:szCs w:val="18"/>
          <w:highlight w:val="lightGray"/>
          <w:lang w:eastAsia="fr-FR"/>
        </w:rPr>
        <w:t>Multiple sclerosis and demyelinating diseases</w:t>
      </w:r>
      <w:r w:rsidRPr="003A10E0">
        <w:rPr>
          <w:rFonts w:ascii="ElsevierSans" w:eastAsia="Times New Roman" w:hAnsi="ElsevierSans"/>
          <w:color w:val="1F1F1F"/>
          <w:sz w:val="18"/>
          <w:szCs w:val="18"/>
          <w:lang w:eastAsia="fr-FR"/>
        </w:rPr>
        <w:t xml:space="preserve"> involve astrocyte activation, immune modulation, and glial scar formation, </w:t>
      </w:r>
      <w:r w:rsidRPr="003A10E0">
        <w:rPr>
          <w:rFonts w:ascii="ElsevierSans" w:eastAsia="Times New Roman" w:hAnsi="ElsevierSans"/>
          <w:color w:val="1F1F1F"/>
          <w:sz w:val="18"/>
          <w:szCs w:val="18"/>
          <w:highlight w:val="yellow"/>
          <w:lang w:eastAsia="fr-FR"/>
        </w:rPr>
        <w:t>with astrocytes acting as </w:t>
      </w:r>
      <w:hyperlink r:id="rId69" w:history="1">
        <w:r w:rsidRPr="003A10E0">
          <w:rPr>
            <w:rFonts w:ascii="ElsevierSans" w:eastAsia="Times New Roman" w:hAnsi="ElsevierSans"/>
            <w:color w:val="1F1F1F"/>
            <w:sz w:val="18"/>
            <w:szCs w:val="18"/>
            <w:highlight w:val="yellow"/>
            <w:u w:val="single"/>
            <w:lang w:eastAsia="fr-FR"/>
          </w:rPr>
          <w:t>antigen-presenting cells</w:t>
        </w:r>
      </w:hyperlink>
      <w:r w:rsidRPr="003A10E0">
        <w:rPr>
          <w:rFonts w:ascii="ElsevierSans" w:eastAsia="Times New Roman" w:hAnsi="ElsevierSans"/>
          <w:color w:val="1F1F1F"/>
          <w:sz w:val="18"/>
          <w:szCs w:val="18"/>
          <w:highlight w:val="yellow"/>
          <w:lang w:eastAsia="fr-FR"/>
        </w:rPr>
        <w:t> a</w:t>
      </w:r>
      <w:r w:rsidRPr="003A10E0">
        <w:rPr>
          <w:rFonts w:ascii="ElsevierSans" w:eastAsia="Times New Roman" w:hAnsi="ElsevierSans"/>
          <w:color w:val="1F1F1F"/>
          <w:sz w:val="18"/>
          <w:szCs w:val="18"/>
          <w:lang w:eastAsia="fr-FR"/>
        </w:rPr>
        <w:t>nd regulating BBB integrity. 80 81 </w:t>
      </w:r>
      <w:r w:rsidR="00F90A10">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Astrocytes contribute to both demyelination and </w:t>
      </w:r>
      <w:hyperlink r:id="rId70" w:history="1">
        <w:r w:rsidRPr="003A10E0">
          <w:rPr>
            <w:rFonts w:ascii="ElsevierSans" w:eastAsia="Times New Roman" w:hAnsi="ElsevierSans"/>
            <w:color w:val="1F1F1F"/>
            <w:sz w:val="18"/>
            <w:szCs w:val="18"/>
            <w:u w:val="single"/>
            <w:lang w:eastAsia="fr-FR"/>
          </w:rPr>
          <w:t>remyelination</w:t>
        </w:r>
      </w:hyperlink>
      <w:r w:rsidRPr="003A10E0">
        <w:rPr>
          <w:rFonts w:ascii="ElsevierSans" w:eastAsia="Times New Roman" w:hAnsi="ElsevierSans"/>
          <w:color w:val="1F1F1F"/>
          <w:sz w:val="18"/>
          <w:szCs w:val="18"/>
          <w:lang w:eastAsia="fr-FR"/>
        </w:rPr>
        <w:t>, and their response can be either neuroprotective or detrimental depending on disease stage and context. 82 83</w:t>
      </w:r>
    </w:p>
    <w:p w:rsid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In stroke and </w:t>
      </w:r>
      <w:hyperlink r:id="rId71" w:history="1">
        <w:r w:rsidRPr="003A10E0">
          <w:rPr>
            <w:rFonts w:ascii="ElsevierSans" w:eastAsia="Times New Roman" w:hAnsi="ElsevierSans"/>
            <w:color w:val="1F1F1F"/>
            <w:sz w:val="18"/>
            <w:szCs w:val="18"/>
            <w:u w:val="single"/>
            <w:lang w:eastAsia="fr-FR"/>
          </w:rPr>
          <w:t>traumatic brain injury</w:t>
        </w:r>
      </w:hyperlink>
      <w:r w:rsidRPr="003A10E0">
        <w:rPr>
          <w:rFonts w:ascii="ElsevierSans" w:eastAsia="Times New Roman" w:hAnsi="ElsevierSans"/>
          <w:color w:val="1F1F1F"/>
          <w:sz w:val="18"/>
          <w:szCs w:val="18"/>
          <w:lang w:eastAsia="fr-FR"/>
        </w:rPr>
        <w:t>, reactive astrocytes provide neuroprotection by limiting inflammation, supporting metabolic needs, and forming glial scars that isolate damaged tissue. 44 84 </w:t>
      </w:r>
      <w:r w:rsidR="00F90A10">
        <w:rPr>
          <w:rFonts w:ascii="ElsevierSans" w:eastAsia="Times New Roman" w:hAnsi="ElsevierSans"/>
          <w:color w:val="1F1F1F"/>
          <w:sz w:val="18"/>
          <w:szCs w:val="18"/>
          <w:lang w:eastAsia="fr-FR"/>
        </w:rPr>
        <w:br/>
      </w:r>
      <w:r w:rsidR="00F90A10">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 xml:space="preserve">Astrocytes upregulate glutamate transporters and antioxidant mechanisms, such as glutathione production, </w:t>
      </w:r>
      <w:r w:rsidRPr="003A10E0">
        <w:rPr>
          <w:rFonts w:ascii="ElsevierSans" w:eastAsia="Times New Roman" w:hAnsi="ElsevierSans"/>
          <w:color w:val="1F1F1F"/>
          <w:sz w:val="18"/>
          <w:szCs w:val="18"/>
          <w:highlight w:val="yellow"/>
          <w:lang w:eastAsia="fr-FR"/>
        </w:rPr>
        <w:t>to protect neurons from excitotoxicity and </w:t>
      </w:r>
      <w:hyperlink r:id="rId72" w:history="1">
        <w:r w:rsidRPr="003A10E0">
          <w:rPr>
            <w:rFonts w:ascii="ElsevierSans" w:eastAsia="Times New Roman" w:hAnsi="ElsevierSans"/>
            <w:color w:val="1F1F1F"/>
            <w:sz w:val="18"/>
            <w:szCs w:val="18"/>
            <w:highlight w:val="yellow"/>
            <w:u w:val="single"/>
            <w:lang w:eastAsia="fr-FR"/>
          </w:rPr>
          <w:t>oxidative stress</w:t>
        </w:r>
      </w:hyperlink>
      <w:r w:rsidRPr="003A10E0">
        <w:rPr>
          <w:rFonts w:ascii="ElsevierSans" w:eastAsia="Times New Roman" w:hAnsi="ElsevierSans"/>
          <w:color w:val="1F1F1F"/>
          <w:sz w:val="18"/>
          <w:szCs w:val="18"/>
          <w:lang w:eastAsia="fr-FR"/>
        </w:rPr>
        <w:t>. 23 However, excessive or chronic astrocyte activation can lead to maladaptive scar formation and hinder recovery. 85 86</w:t>
      </w:r>
    </w:p>
    <w:p w:rsidR="00F90A10" w:rsidRPr="003A10E0" w:rsidRDefault="00F90A10" w:rsidP="003A10E0">
      <w:pPr>
        <w:rPr>
          <w:rFonts w:ascii="ElsevierSans" w:eastAsia="Times New Roman" w:hAnsi="ElsevierSans"/>
          <w:color w:val="1F1F1F"/>
          <w:sz w:val="18"/>
          <w:szCs w:val="18"/>
          <w:lang w:eastAsia="fr-FR"/>
        </w:rPr>
      </w:pP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highlight w:val="lightGray"/>
          <w:lang w:eastAsia="fr-FR"/>
        </w:rPr>
        <w:t>Psychiatric disorders,</w:t>
      </w:r>
      <w:r w:rsidRPr="003A10E0">
        <w:rPr>
          <w:rFonts w:ascii="ElsevierSans" w:eastAsia="Times New Roman" w:hAnsi="ElsevierSans"/>
          <w:color w:val="1F1F1F"/>
          <w:sz w:val="18"/>
          <w:szCs w:val="18"/>
          <w:lang w:eastAsia="fr-FR"/>
        </w:rPr>
        <w:t xml:space="preserve"> including </w:t>
      </w:r>
      <w:r w:rsidRPr="003A10E0">
        <w:rPr>
          <w:rFonts w:ascii="ElsevierSans" w:eastAsia="Times New Roman" w:hAnsi="ElsevierSans"/>
          <w:color w:val="1F1F1F"/>
          <w:sz w:val="18"/>
          <w:szCs w:val="18"/>
          <w:highlight w:val="lightGray"/>
          <w:lang w:eastAsia="fr-FR"/>
        </w:rPr>
        <w:t>depression</w:t>
      </w:r>
      <w:r w:rsidRPr="003A10E0">
        <w:rPr>
          <w:rFonts w:ascii="ElsevierSans" w:eastAsia="Times New Roman" w:hAnsi="ElsevierSans"/>
          <w:color w:val="1F1F1F"/>
          <w:sz w:val="18"/>
          <w:szCs w:val="18"/>
          <w:lang w:eastAsia="fr-FR"/>
        </w:rPr>
        <w:t xml:space="preserve"> and </w:t>
      </w:r>
      <w:r w:rsidRPr="003A10E0">
        <w:rPr>
          <w:rFonts w:ascii="ElsevierSans" w:eastAsia="Times New Roman" w:hAnsi="ElsevierSans"/>
          <w:color w:val="1F1F1F"/>
          <w:sz w:val="18"/>
          <w:szCs w:val="18"/>
          <w:highlight w:val="lightGray"/>
          <w:lang w:eastAsia="fr-FR"/>
        </w:rPr>
        <w:t>schizophrenia</w:t>
      </w:r>
      <w:r w:rsidR="00F90A1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lang w:eastAsia="fr-FR"/>
        </w:rPr>
        <w:t>, are associated with astrocyte atrophy, reduced </w:t>
      </w:r>
      <w:hyperlink r:id="rId73" w:history="1">
        <w:r w:rsidRPr="003A10E0">
          <w:rPr>
            <w:rFonts w:ascii="ElsevierSans" w:eastAsia="Times New Roman" w:hAnsi="ElsevierSans"/>
            <w:color w:val="1F1F1F"/>
            <w:sz w:val="18"/>
            <w:szCs w:val="18"/>
            <w:u w:val="single"/>
            <w:lang w:eastAsia="fr-FR"/>
          </w:rPr>
          <w:t>GFAP expression</w:t>
        </w:r>
      </w:hyperlink>
      <w:r w:rsidRPr="003A10E0">
        <w:rPr>
          <w:rFonts w:ascii="ElsevierSans" w:eastAsia="Times New Roman" w:hAnsi="ElsevierSans"/>
          <w:color w:val="1F1F1F"/>
          <w:sz w:val="18"/>
          <w:szCs w:val="18"/>
          <w:lang w:eastAsia="fr-FR"/>
        </w:rPr>
        <w:t>, and impaired neurotransmitter regulation, particularly glutamate and GABA, contributing to synaptic dysfunction and cognitive deficits. 87 88 89 </w:t>
      </w:r>
      <w:r w:rsidR="00F90A10">
        <w:rPr>
          <w:rFonts w:ascii="ElsevierSans" w:eastAsia="Times New Roman" w:hAnsi="ElsevierSans"/>
          <w:color w:val="1F1F1F"/>
          <w:sz w:val="18"/>
          <w:szCs w:val="18"/>
          <w:lang w:eastAsia="fr-FR"/>
        </w:rPr>
        <w:br/>
      </w:r>
      <w:r w:rsidR="00F90A10">
        <w:rPr>
          <w:rFonts w:ascii="ElsevierSans" w:eastAsia="Times New Roman" w:hAnsi="ElsevierSans"/>
          <w:color w:val="1F1F1F"/>
          <w:sz w:val="18"/>
          <w:szCs w:val="18"/>
          <w:lang w:eastAsia="fr-FR"/>
        </w:rPr>
        <w:br/>
      </w:r>
      <w:r w:rsidRPr="003A10E0">
        <w:rPr>
          <w:rFonts w:ascii="ElsevierSans" w:eastAsia="Times New Roman" w:hAnsi="ElsevierSans"/>
          <w:b/>
          <w:bCs/>
          <w:color w:val="1F1F1F"/>
          <w:sz w:val="18"/>
          <w:szCs w:val="18"/>
          <w:highlight w:val="yellow"/>
          <w:lang w:eastAsia="fr-FR"/>
        </w:rPr>
        <w:t>Astrocyte-driven pathology</w:t>
      </w:r>
      <w:r w:rsidRPr="003A10E0">
        <w:rPr>
          <w:rFonts w:ascii="ElsevierSans" w:eastAsia="Times New Roman" w:hAnsi="ElsevierSans"/>
          <w:color w:val="1F1F1F"/>
          <w:sz w:val="18"/>
          <w:szCs w:val="18"/>
          <w:highlight w:val="yellow"/>
          <w:lang w:eastAsia="fr-FR"/>
        </w:rPr>
        <w:t xml:space="preserve"> is characterized by region-specific and disease-specific molecular and functional changes, and aging is associated with altered astrocyte morphology,</w:t>
      </w:r>
      <w:r w:rsidRPr="003A10E0">
        <w:rPr>
          <w:rFonts w:ascii="ElsevierSans" w:eastAsia="Times New Roman" w:hAnsi="ElsevierSans"/>
          <w:color w:val="1F1F1F"/>
          <w:sz w:val="18"/>
          <w:szCs w:val="18"/>
          <w:lang w:eastAsia="fr-FR"/>
        </w:rPr>
        <w:t xml:space="preserve"> increased </w:t>
      </w:r>
      <w:r w:rsidRPr="003A10E0">
        <w:rPr>
          <w:rFonts w:ascii="ElsevierSans" w:eastAsia="Times New Roman" w:hAnsi="ElsevierSans"/>
          <w:b/>
          <w:bCs/>
          <w:color w:val="1F1F1F"/>
          <w:sz w:val="18"/>
          <w:szCs w:val="18"/>
          <w:lang w:eastAsia="fr-FR"/>
        </w:rPr>
        <w:t>reactivity</w:t>
      </w:r>
      <w:r w:rsidRPr="003A10E0">
        <w:rPr>
          <w:rFonts w:ascii="ElsevierSans" w:eastAsia="Times New Roman" w:hAnsi="ElsevierSans"/>
          <w:color w:val="1F1F1F"/>
          <w:sz w:val="18"/>
          <w:szCs w:val="18"/>
          <w:lang w:eastAsia="fr-FR"/>
        </w:rPr>
        <w:t xml:space="preserve">, and changes in </w:t>
      </w:r>
      <w:r w:rsidRPr="003A10E0">
        <w:rPr>
          <w:rFonts w:ascii="ElsevierSans" w:eastAsia="Times New Roman" w:hAnsi="ElsevierSans"/>
          <w:b/>
          <w:bCs/>
          <w:color w:val="1F1F1F"/>
          <w:sz w:val="18"/>
          <w:szCs w:val="18"/>
          <w:lang w:eastAsia="fr-FR"/>
        </w:rPr>
        <w:t>gene expression.</w:t>
      </w:r>
      <w:r w:rsidRPr="003A10E0">
        <w:rPr>
          <w:rFonts w:ascii="ElsevierSans" w:eastAsia="Times New Roman" w:hAnsi="ElsevierSans"/>
          <w:color w:val="1F1F1F"/>
          <w:sz w:val="18"/>
          <w:szCs w:val="18"/>
          <w:lang w:eastAsia="fr-FR"/>
        </w:rPr>
        <w:t> </w:t>
      </w:r>
      <w:r w:rsidR="00F90A10">
        <w:rPr>
          <w:rFonts w:ascii="ElsevierSans" w:eastAsia="Times New Roman" w:hAnsi="ElsevierSans"/>
          <w:color w:val="1F1F1F"/>
          <w:sz w:val="18"/>
          <w:szCs w:val="18"/>
          <w:lang w:eastAsia="fr-FR"/>
        </w:rPr>
        <w:t xml:space="preserve"> </w:t>
      </w:r>
      <w:r w:rsidRPr="003A10E0">
        <w:rPr>
          <w:rFonts w:ascii="ElsevierSans" w:eastAsia="Times New Roman" w:hAnsi="ElsevierSans"/>
          <w:color w:val="1F1F1F"/>
          <w:sz w:val="18"/>
          <w:szCs w:val="18"/>
          <w:lang w:eastAsia="fr-FR"/>
        </w:rPr>
        <w:t>90 91 92</w:t>
      </w: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 xml:space="preserve">Therapeutic strategies targeting astrocytes include </w:t>
      </w:r>
      <w:r w:rsidRPr="003A10E0">
        <w:rPr>
          <w:rFonts w:ascii="ElsevierSans" w:eastAsia="Times New Roman" w:hAnsi="ElsevierSans"/>
          <w:color w:val="1F1F1F"/>
          <w:sz w:val="18"/>
          <w:szCs w:val="18"/>
          <w:highlight w:val="yellow"/>
          <w:lang w:eastAsia="fr-FR"/>
        </w:rPr>
        <w:t>modulation of reactive states and enhancement of metabolic support.</w:t>
      </w:r>
      <w:r w:rsidRPr="003A10E0">
        <w:rPr>
          <w:rFonts w:ascii="ElsevierSans" w:eastAsia="Times New Roman" w:hAnsi="ElsevierSans"/>
          <w:color w:val="1F1F1F"/>
          <w:sz w:val="18"/>
          <w:szCs w:val="18"/>
          <w:lang w:eastAsia="fr-FR"/>
        </w:rPr>
        <w:t xml:space="preserve"> </w:t>
      </w:r>
      <w:r w:rsidRPr="003A10E0">
        <w:rPr>
          <w:rFonts w:ascii="ElsevierSans" w:eastAsia="Times New Roman" w:hAnsi="ElsevierSans"/>
          <w:b/>
          <w:bCs/>
          <w:color w:val="1F1F1F"/>
          <w:sz w:val="18"/>
          <w:szCs w:val="18"/>
          <w:lang w:eastAsia="fr-FR"/>
        </w:rPr>
        <w:t>Approaches such as upregulation of glutamate transporters and inhibition of pro-inflammatory signaling pathways</w:t>
      </w:r>
      <w:r w:rsidRPr="003A10E0">
        <w:rPr>
          <w:rFonts w:ascii="ElsevierSans" w:eastAsia="Times New Roman" w:hAnsi="ElsevierSans"/>
          <w:color w:val="1F1F1F"/>
          <w:sz w:val="18"/>
          <w:szCs w:val="18"/>
          <w:lang w:eastAsia="fr-FR"/>
        </w:rPr>
        <w:t xml:space="preserve"> (e.g., </w:t>
      </w:r>
      <w:hyperlink r:id="rId74" w:history="1">
        <w:r w:rsidRPr="003A10E0">
          <w:rPr>
            <w:rFonts w:ascii="ElsevierSans" w:eastAsia="Times New Roman" w:hAnsi="ElsevierSans"/>
            <w:color w:val="1F1F1F"/>
            <w:sz w:val="18"/>
            <w:szCs w:val="18"/>
            <w:u w:val="single"/>
            <w:lang w:eastAsia="fr-FR"/>
          </w:rPr>
          <w:t>nuclear factor kappa-light-chain-enhancer of activated B cells</w:t>
        </w:r>
      </w:hyperlink>
      <w:r w:rsidRPr="003A10E0">
        <w:rPr>
          <w:rFonts w:ascii="ElsevierSans" w:eastAsia="Times New Roman" w:hAnsi="ElsevierSans"/>
          <w:color w:val="1F1F1F"/>
          <w:sz w:val="18"/>
          <w:szCs w:val="18"/>
          <w:lang w:eastAsia="fr-FR"/>
        </w:rPr>
        <w:t>, NF-</w:t>
      </w:r>
      <w:r w:rsidRPr="003A10E0">
        <w:rPr>
          <w:rFonts w:ascii="ElsevierSans" w:eastAsia="Times New Roman" w:hAnsi="ElsevierSans"/>
          <w:color w:val="1F1F1F"/>
          <w:sz w:val="18"/>
          <w:szCs w:val="18"/>
          <w:lang w:val="fr-FR" w:eastAsia="fr-FR"/>
        </w:rPr>
        <w:t>κ</w:t>
      </w:r>
      <w:r w:rsidRPr="003A10E0">
        <w:rPr>
          <w:rFonts w:ascii="ElsevierSans" w:eastAsia="Times New Roman" w:hAnsi="ElsevierSans"/>
          <w:color w:val="1F1F1F"/>
          <w:sz w:val="18"/>
          <w:szCs w:val="18"/>
          <w:lang w:eastAsia="fr-FR"/>
        </w:rPr>
        <w:t>B) are under investigation. 63 93 94</w:t>
      </w:r>
    </w:p>
    <w:p w:rsidR="003A10E0" w:rsidRPr="003A10E0" w:rsidRDefault="003A10E0" w:rsidP="003A10E0">
      <w:pPr>
        <w:spacing w:line="420" w:lineRule="atLeast"/>
        <w:outlineLvl w:val="1"/>
        <w:rPr>
          <w:rStyle w:val="lev"/>
          <w:lang w:eastAsia="fr-FR"/>
        </w:rPr>
      </w:pPr>
      <w:bookmarkStart w:id="7" w:name="_Toc216069498"/>
      <w:r w:rsidRPr="003A10E0">
        <w:rPr>
          <w:rStyle w:val="lev"/>
          <w:lang w:eastAsia="fr-FR"/>
        </w:rPr>
        <w:t>6. Conclusion</w:t>
      </w:r>
      <w:bookmarkEnd w:id="7"/>
    </w:p>
    <w:p w:rsidR="001431EB"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Astrocytes are recognized as the most abundant glial cell type in the central nervous system, exhibiting diverse phenotypes and functions that extend far beyond structural support, including critical roles in development, homeostasis, metabolic support, synaptic transmission, regulation of blood flow, neuroprotection, and response to injury. 95 85 96 </w:t>
      </w:r>
      <w:r w:rsidR="001431EB">
        <w:rPr>
          <w:rFonts w:ascii="ElsevierSans" w:eastAsia="Times New Roman" w:hAnsi="ElsevierSans"/>
          <w:color w:val="1F1F1F"/>
          <w:sz w:val="18"/>
          <w:szCs w:val="18"/>
          <w:lang w:eastAsia="fr-FR"/>
        </w:rPr>
        <w:br/>
      </w:r>
      <w:r w:rsidR="001431EB">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highlight w:val="yellow"/>
          <w:lang w:eastAsia="fr-FR"/>
        </w:rPr>
        <w:t>Each astrocyte can cover eight neuronal cell bodies, five blood vessels, and more than 100,000 synapses</w:t>
      </w:r>
      <w:r w:rsidRPr="003A10E0">
        <w:rPr>
          <w:rFonts w:ascii="ElsevierSans" w:eastAsia="Times New Roman" w:hAnsi="ElsevierSans"/>
          <w:color w:val="1F1F1F"/>
          <w:sz w:val="18"/>
          <w:szCs w:val="18"/>
          <w:lang w:eastAsia="fr-FR"/>
        </w:rPr>
        <w:t>. They are essential for synaptic transmission, participate in adult </w:t>
      </w:r>
      <w:hyperlink r:id="rId75" w:history="1">
        <w:r w:rsidRPr="003A10E0">
          <w:rPr>
            <w:rFonts w:ascii="ElsevierSans" w:eastAsia="Times New Roman" w:hAnsi="ElsevierSans"/>
            <w:color w:val="1F1F1F"/>
            <w:sz w:val="18"/>
            <w:szCs w:val="18"/>
            <w:u w:val="single"/>
            <w:lang w:eastAsia="fr-FR"/>
          </w:rPr>
          <w:t>neurogenesis</w:t>
        </w:r>
      </w:hyperlink>
      <w:r w:rsidRPr="003A10E0">
        <w:rPr>
          <w:rFonts w:ascii="ElsevierSans" w:eastAsia="Times New Roman" w:hAnsi="ElsevierSans"/>
          <w:color w:val="1F1F1F"/>
          <w:sz w:val="18"/>
          <w:szCs w:val="18"/>
          <w:lang w:eastAsia="fr-FR"/>
        </w:rPr>
        <w:t>, exert antioxidant action, produce </w:t>
      </w:r>
      <w:hyperlink r:id="rId76" w:history="1">
        <w:r w:rsidRPr="003A10E0">
          <w:rPr>
            <w:rFonts w:ascii="ElsevierSans" w:eastAsia="Times New Roman" w:hAnsi="ElsevierSans"/>
            <w:color w:val="1F1F1F"/>
            <w:sz w:val="18"/>
            <w:szCs w:val="18"/>
            <w:u w:val="single"/>
            <w:lang w:eastAsia="fr-FR"/>
          </w:rPr>
          <w:t>growth factors</w:t>
        </w:r>
      </w:hyperlink>
      <w:r w:rsidRPr="003A10E0">
        <w:rPr>
          <w:rFonts w:ascii="ElsevierSans" w:eastAsia="Times New Roman" w:hAnsi="ElsevierSans"/>
          <w:color w:val="1F1F1F"/>
          <w:sz w:val="18"/>
          <w:szCs w:val="18"/>
          <w:lang w:eastAsia="fr-FR"/>
        </w:rPr>
        <w:t xml:space="preserve">, and regulate glutamate neurotransmission, </w:t>
      </w:r>
      <w:r w:rsidRPr="003A10E0">
        <w:rPr>
          <w:rFonts w:ascii="ElsevierSans" w:eastAsia="Times New Roman" w:hAnsi="ElsevierSans"/>
          <w:color w:val="1F1F1F"/>
          <w:sz w:val="18"/>
          <w:szCs w:val="18"/>
          <w:highlight w:val="yellow"/>
          <w:lang w:eastAsia="fr-FR"/>
        </w:rPr>
        <w:t>removing approximately 80% of glutamate from extracellular synaptic clefts via the glutamate transporters GLT-1 and GLAST</w:t>
      </w:r>
      <w:r w:rsidRPr="003A10E0">
        <w:rPr>
          <w:rFonts w:ascii="ElsevierSans" w:eastAsia="Times New Roman" w:hAnsi="ElsevierSans"/>
          <w:color w:val="1F1F1F"/>
          <w:sz w:val="18"/>
          <w:szCs w:val="18"/>
          <w:lang w:eastAsia="fr-FR"/>
        </w:rPr>
        <w:t>. 97 </w:t>
      </w:r>
      <w:r w:rsidR="001431EB">
        <w:rPr>
          <w:rFonts w:ascii="ElsevierSans" w:eastAsia="Times New Roman" w:hAnsi="ElsevierSans"/>
          <w:color w:val="1F1F1F"/>
          <w:sz w:val="18"/>
          <w:szCs w:val="18"/>
          <w:lang w:eastAsia="fr-FR"/>
        </w:rPr>
        <w:br/>
      </w:r>
      <w:r w:rsidR="001431EB">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 xml:space="preserve">The concept of the "tripartite synapse" highlights astrocytes as </w:t>
      </w:r>
      <w:r w:rsidRPr="003A10E0">
        <w:rPr>
          <w:rFonts w:ascii="ElsevierSans" w:eastAsia="Times New Roman" w:hAnsi="ElsevierSans"/>
          <w:b/>
          <w:bCs/>
          <w:color w:val="1F1F1F"/>
          <w:sz w:val="18"/>
          <w:szCs w:val="18"/>
          <w:highlight w:val="yellow"/>
          <w:lang w:eastAsia="fr-FR"/>
        </w:rPr>
        <w:t>direct participants in synaptic activity</w:t>
      </w:r>
      <w:r w:rsidRPr="003A10E0">
        <w:rPr>
          <w:rFonts w:ascii="ElsevierSans" w:eastAsia="Times New Roman" w:hAnsi="ElsevierSans"/>
          <w:color w:val="1F1F1F"/>
          <w:sz w:val="18"/>
          <w:szCs w:val="18"/>
          <w:lang w:eastAsia="fr-FR"/>
        </w:rPr>
        <w:t>, where they interact with pre- and post-synaptic neuronal elements and release gliotransmitters such as purines and glutamate, affecting neuronal excitability and </w:t>
      </w:r>
      <w:hyperlink r:id="rId77" w:history="1">
        <w:r w:rsidRPr="003A10E0">
          <w:rPr>
            <w:rFonts w:ascii="ElsevierSans" w:eastAsia="Times New Roman" w:hAnsi="ElsevierSans"/>
            <w:color w:val="1F1F1F"/>
            <w:sz w:val="18"/>
            <w:szCs w:val="18"/>
            <w:u w:val="single"/>
            <w:lang w:eastAsia="fr-FR"/>
          </w:rPr>
          <w:t>information processing</w:t>
        </w:r>
      </w:hyperlink>
      <w:r w:rsidRPr="003A10E0">
        <w:rPr>
          <w:rFonts w:ascii="ElsevierSans" w:eastAsia="Times New Roman" w:hAnsi="ElsevierSans"/>
          <w:color w:val="1F1F1F"/>
          <w:sz w:val="18"/>
          <w:szCs w:val="18"/>
          <w:lang w:eastAsia="fr-FR"/>
        </w:rPr>
        <w:t> in neural circuits. 23 98 </w:t>
      </w:r>
      <w:r w:rsidR="001431EB">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 xml:space="preserve">Astrocytes display significant heterogeneity in morphology, </w:t>
      </w:r>
      <w:r w:rsidRPr="003A10E0">
        <w:rPr>
          <w:rFonts w:ascii="ElsevierSans" w:eastAsia="Times New Roman" w:hAnsi="ElsevierSans"/>
          <w:color w:val="1F1F1F"/>
          <w:sz w:val="18"/>
          <w:szCs w:val="18"/>
          <w:lang w:eastAsia="fr-FR"/>
        </w:rPr>
        <w:lastRenderedPageBreak/>
        <w:t>molecular profile, and function, and this diversity is increasingly revealed by transcriptomic and </w:t>
      </w:r>
      <w:hyperlink r:id="rId78" w:history="1">
        <w:r w:rsidRPr="003A10E0">
          <w:rPr>
            <w:rFonts w:ascii="ElsevierSans" w:eastAsia="Times New Roman" w:hAnsi="ElsevierSans"/>
            <w:color w:val="1F1F1F"/>
            <w:sz w:val="18"/>
            <w:szCs w:val="18"/>
            <w:u w:val="single"/>
            <w:lang w:eastAsia="fr-FR"/>
          </w:rPr>
          <w:t>proteomic</w:t>
        </w:r>
      </w:hyperlink>
      <w:r w:rsidRPr="003A10E0">
        <w:rPr>
          <w:rFonts w:ascii="ElsevierSans" w:eastAsia="Times New Roman" w:hAnsi="ElsevierSans"/>
          <w:color w:val="1F1F1F"/>
          <w:sz w:val="18"/>
          <w:szCs w:val="18"/>
          <w:lang w:eastAsia="fr-FR"/>
        </w:rPr>
        <w:t> analyses. 75 26 12 Developmental patterning and local neuronal cues contribute to astrocyte heterogeneity. 99 100 91 </w:t>
      </w:r>
      <w:r w:rsidR="001431EB">
        <w:rPr>
          <w:rFonts w:ascii="ElsevierSans" w:eastAsia="Times New Roman" w:hAnsi="ElsevierSans"/>
          <w:color w:val="1F1F1F"/>
          <w:sz w:val="18"/>
          <w:szCs w:val="18"/>
          <w:lang w:eastAsia="fr-FR"/>
        </w:rPr>
        <w:br/>
      </w:r>
      <w:r w:rsidR="001431EB">
        <w:rPr>
          <w:rFonts w:ascii="ElsevierSans" w:eastAsia="Times New Roman" w:hAnsi="ElsevierSans"/>
          <w:color w:val="1F1F1F"/>
          <w:sz w:val="18"/>
          <w:szCs w:val="18"/>
          <w:lang w:eastAsia="fr-FR"/>
        </w:rPr>
        <w:br/>
      </w:r>
      <w:r w:rsidRPr="003A10E0">
        <w:rPr>
          <w:rFonts w:ascii="ElsevierSans" w:eastAsia="Times New Roman" w:hAnsi="ElsevierSans"/>
          <w:color w:val="1F1F1F"/>
          <w:sz w:val="18"/>
          <w:szCs w:val="18"/>
          <w:lang w:eastAsia="fr-FR"/>
        </w:rPr>
        <w:t>Dysfunctional astrocytes are implicated in a wide range of neurological disorders, including epilepsy, amyotrophic lateral sclerosis, Alzheimer's disease, Parkinson's disease, and neurodevelopmental disorders, with reactive astrogliosis and altered neuron-astrocyte interactions contributing to disease pathogenesis. 101 88 </w:t>
      </w:r>
    </w:p>
    <w:p w:rsidR="001431EB" w:rsidRDefault="001431EB" w:rsidP="003A10E0">
      <w:pPr>
        <w:rPr>
          <w:rFonts w:ascii="ElsevierSans" w:eastAsia="Times New Roman" w:hAnsi="ElsevierSans"/>
          <w:color w:val="1F1F1F"/>
          <w:sz w:val="18"/>
          <w:szCs w:val="18"/>
          <w:lang w:eastAsia="fr-FR"/>
        </w:rPr>
      </w:pPr>
    </w:p>
    <w:p w:rsidR="003A10E0" w:rsidRPr="003A10E0" w:rsidRDefault="003A10E0" w:rsidP="003A10E0">
      <w:pPr>
        <w:rPr>
          <w:rFonts w:ascii="ElsevierSans" w:eastAsia="Times New Roman" w:hAnsi="ElsevierSans"/>
          <w:color w:val="1F1F1F"/>
          <w:sz w:val="18"/>
          <w:szCs w:val="18"/>
          <w:lang w:eastAsia="fr-FR"/>
        </w:rPr>
      </w:pPr>
      <w:r w:rsidRPr="003A10E0">
        <w:rPr>
          <w:rFonts w:ascii="ElsevierSans" w:eastAsia="Times New Roman" w:hAnsi="ElsevierSans"/>
          <w:color w:val="1F1F1F"/>
          <w:sz w:val="18"/>
          <w:szCs w:val="18"/>
          <w:lang w:eastAsia="fr-FR"/>
        </w:rPr>
        <w:t xml:space="preserve">Understanding astrocyte heterogeneity and the mechanisms of neuron-astrocyte communication is important for developing novel therapeutic strategies targeting astrocytes in </w:t>
      </w:r>
      <w:r w:rsidRPr="003A10E0">
        <w:rPr>
          <w:rFonts w:ascii="ElsevierSans" w:eastAsia="Times New Roman" w:hAnsi="ElsevierSans"/>
          <w:b/>
          <w:bCs/>
          <w:color w:val="1F1F1F"/>
          <w:sz w:val="18"/>
          <w:szCs w:val="18"/>
          <w:lang w:eastAsia="fr-FR"/>
        </w:rPr>
        <w:t>neurodegenerative and neuropsychiatric diseases. 55</w:t>
      </w:r>
    </w:p>
    <w:p w:rsidR="003A10E0" w:rsidRPr="003A10E0" w:rsidRDefault="003A10E0" w:rsidP="003A10E0">
      <w:pPr>
        <w:rPr>
          <w:rFonts w:ascii="ElsevierSans" w:eastAsia="Times New Roman" w:hAnsi="ElsevierSans"/>
          <w:color w:val="1F1F1F"/>
          <w:sz w:val="18"/>
          <w:szCs w:val="18"/>
          <w:lang w:eastAsia="fr-FR"/>
        </w:rPr>
      </w:pPr>
    </w:p>
    <w:p w:rsidR="00B2602E" w:rsidRPr="003A10E0" w:rsidRDefault="00B2602E" w:rsidP="003A10E0">
      <w:pPr>
        <w:rPr>
          <w:sz w:val="18"/>
          <w:szCs w:val="18"/>
        </w:rPr>
      </w:pPr>
    </w:p>
    <w:sectPr w:rsidR="00B2602E" w:rsidRPr="003A10E0" w:rsidSect="003A10E0">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lsevierGulliver">
    <w:altName w:val="Cambria"/>
    <w:panose1 w:val="020B0604020202020204"/>
    <w:charset w:val="00"/>
    <w:family w:val="roman"/>
    <w:notTrueType/>
    <w:pitch w:val="default"/>
  </w:font>
  <w:font w:name="Elsevier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9128A"/>
    <w:multiLevelType w:val="multilevel"/>
    <w:tmpl w:val="F8C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E0"/>
    <w:rsid w:val="00004EF7"/>
    <w:rsid w:val="000060C8"/>
    <w:rsid w:val="000106FC"/>
    <w:rsid w:val="00011459"/>
    <w:rsid w:val="00012580"/>
    <w:rsid w:val="000150A4"/>
    <w:rsid w:val="00030053"/>
    <w:rsid w:val="0004217D"/>
    <w:rsid w:val="000635BF"/>
    <w:rsid w:val="00064749"/>
    <w:rsid w:val="00066452"/>
    <w:rsid w:val="00067F25"/>
    <w:rsid w:val="000A1803"/>
    <w:rsid w:val="000A3DE5"/>
    <w:rsid w:val="000C7824"/>
    <w:rsid w:val="000D0397"/>
    <w:rsid w:val="000D3C1C"/>
    <w:rsid w:val="000D6A61"/>
    <w:rsid w:val="00101F67"/>
    <w:rsid w:val="00106F4C"/>
    <w:rsid w:val="00117D98"/>
    <w:rsid w:val="001218AA"/>
    <w:rsid w:val="001221C6"/>
    <w:rsid w:val="00126819"/>
    <w:rsid w:val="00127D28"/>
    <w:rsid w:val="00136292"/>
    <w:rsid w:val="001431EB"/>
    <w:rsid w:val="0016516A"/>
    <w:rsid w:val="00174281"/>
    <w:rsid w:val="001800BE"/>
    <w:rsid w:val="001844BF"/>
    <w:rsid w:val="00187B38"/>
    <w:rsid w:val="001C4A2F"/>
    <w:rsid w:val="001C5FB5"/>
    <w:rsid w:val="001D5ACF"/>
    <w:rsid w:val="001E0032"/>
    <w:rsid w:val="001F17E4"/>
    <w:rsid w:val="001F6843"/>
    <w:rsid w:val="002001BC"/>
    <w:rsid w:val="002022D7"/>
    <w:rsid w:val="00203E9E"/>
    <w:rsid w:val="002137D6"/>
    <w:rsid w:val="00236D63"/>
    <w:rsid w:val="002419D2"/>
    <w:rsid w:val="00265CBC"/>
    <w:rsid w:val="0027136C"/>
    <w:rsid w:val="00274141"/>
    <w:rsid w:val="00283C20"/>
    <w:rsid w:val="00284722"/>
    <w:rsid w:val="002928F6"/>
    <w:rsid w:val="002A47A2"/>
    <w:rsid w:val="002A69C9"/>
    <w:rsid w:val="002B1B10"/>
    <w:rsid w:val="002B23C9"/>
    <w:rsid w:val="002B3F60"/>
    <w:rsid w:val="002D128B"/>
    <w:rsid w:val="002D3192"/>
    <w:rsid w:val="002F3741"/>
    <w:rsid w:val="002F53E8"/>
    <w:rsid w:val="002F668B"/>
    <w:rsid w:val="003035CB"/>
    <w:rsid w:val="003038DB"/>
    <w:rsid w:val="003064BD"/>
    <w:rsid w:val="00311E1B"/>
    <w:rsid w:val="003206A2"/>
    <w:rsid w:val="00320E90"/>
    <w:rsid w:val="00323DBB"/>
    <w:rsid w:val="00325E7A"/>
    <w:rsid w:val="003507FD"/>
    <w:rsid w:val="003766C9"/>
    <w:rsid w:val="00383761"/>
    <w:rsid w:val="00390E9A"/>
    <w:rsid w:val="003929FC"/>
    <w:rsid w:val="00396D9F"/>
    <w:rsid w:val="00396E77"/>
    <w:rsid w:val="003A10E0"/>
    <w:rsid w:val="003C4891"/>
    <w:rsid w:val="003D6D3B"/>
    <w:rsid w:val="003E4E74"/>
    <w:rsid w:val="003E5A00"/>
    <w:rsid w:val="003F54B6"/>
    <w:rsid w:val="004052FB"/>
    <w:rsid w:val="00414E7B"/>
    <w:rsid w:val="0042522A"/>
    <w:rsid w:val="00445FFA"/>
    <w:rsid w:val="00453BE7"/>
    <w:rsid w:val="004664AA"/>
    <w:rsid w:val="004665E7"/>
    <w:rsid w:val="00466D42"/>
    <w:rsid w:val="00485845"/>
    <w:rsid w:val="0048782E"/>
    <w:rsid w:val="00494E29"/>
    <w:rsid w:val="004A3C9B"/>
    <w:rsid w:val="004A5E3D"/>
    <w:rsid w:val="004B34CA"/>
    <w:rsid w:val="004B3A80"/>
    <w:rsid w:val="004C576D"/>
    <w:rsid w:val="004D6214"/>
    <w:rsid w:val="004E580B"/>
    <w:rsid w:val="00501A04"/>
    <w:rsid w:val="00506E90"/>
    <w:rsid w:val="00506EFF"/>
    <w:rsid w:val="00515A21"/>
    <w:rsid w:val="005314C2"/>
    <w:rsid w:val="0054641B"/>
    <w:rsid w:val="005529E5"/>
    <w:rsid w:val="00552E2A"/>
    <w:rsid w:val="005616AC"/>
    <w:rsid w:val="00573F51"/>
    <w:rsid w:val="00576460"/>
    <w:rsid w:val="00580F30"/>
    <w:rsid w:val="0058331C"/>
    <w:rsid w:val="005947D6"/>
    <w:rsid w:val="005B06FA"/>
    <w:rsid w:val="005C040B"/>
    <w:rsid w:val="005C105D"/>
    <w:rsid w:val="005C71FA"/>
    <w:rsid w:val="005D15E1"/>
    <w:rsid w:val="005D1CD1"/>
    <w:rsid w:val="00601AF6"/>
    <w:rsid w:val="006025B2"/>
    <w:rsid w:val="00604F32"/>
    <w:rsid w:val="00606FB7"/>
    <w:rsid w:val="00610F6D"/>
    <w:rsid w:val="00611DC0"/>
    <w:rsid w:val="00614A48"/>
    <w:rsid w:val="0061727E"/>
    <w:rsid w:val="00632608"/>
    <w:rsid w:val="00632930"/>
    <w:rsid w:val="00634DC0"/>
    <w:rsid w:val="00644205"/>
    <w:rsid w:val="00647ED4"/>
    <w:rsid w:val="00650FC2"/>
    <w:rsid w:val="00655DDB"/>
    <w:rsid w:val="006568F7"/>
    <w:rsid w:val="00660690"/>
    <w:rsid w:val="006615B6"/>
    <w:rsid w:val="00677BAC"/>
    <w:rsid w:val="00686B17"/>
    <w:rsid w:val="00692705"/>
    <w:rsid w:val="00694533"/>
    <w:rsid w:val="006A3CEA"/>
    <w:rsid w:val="006A77F6"/>
    <w:rsid w:val="006B5300"/>
    <w:rsid w:val="006C0E2B"/>
    <w:rsid w:val="006C2372"/>
    <w:rsid w:val="006D27CF"/>
    <w:rsid w:val="006F0061"/>
    <w:rsid w:val="007004E0"/>
    <w:rsid w:val="00700BE0"/>
    <w:rsid w:val="00704C6B"/>
    <w:rsid w:val="007328DC"/>
    <w:rsid w:val="00734B0D"/>
    <w:rsid w:val="0073550A"/>
    <w:rsid w:val="007642A9"/>
    <w:rsid w:val="00772CD6"/>
    <w:rsid w:val="00783EBA"/>
    <w:rsid w:val="007A1A9F"/>
    <w:rsid w:val="007A7BCE"/>
    <w:rsid w:val="007A7DDC"/>
    <w:rsid w:val="007C0247"/>
    <w:rsid w:val="007C6B8A"/>
    <w:rsid w:val="007D0562"/>
    <w:rsid w:val="007D24CE"/>
    <w:rsid w:val="00806E54"/>
    <w:rsid w:val="00807762"/>
    <w:rsid w:val="00816AC7"/>
    <w:rsid w:val="00820E30"/>
    <w:rsid w:val="00825FF8"/>
    <w:rsid w:val="0083531A"/>
    <w:rsid w:val="00842CE7"/>
    <w:rsid w:val="00843B6E"/>
    <w:rsid w:val="00851AAF"/>
    <w:rsid w:val="0085348C"/>
    <w:rsid w:val="00881244"/>
    <w:rsid w:val="00882C03"/>
    <w:rsid w:val="0088375B"/>
    <w:rsid w:val="008854D2"/>
    <w:rsid w:val="008A0190"/>
    <w:rsid w:val="008A7F69"/>
    <w:rsid w:val="008C01F7"/>
    <w:rsid w:val="008C140B"/>
    <w:rsid w:val="008D159E"/>
    <w:rsid w:val="008D1EDC"/>
    <w:rsid w:val="008D2119"/>
    <w:rsid w:val="008E24DB"/>
    <w:rsid w:val="008E336D"/>
    <w:rsid w:val="008E5318"/>
    <w:rsid w:val="0091018A"/>
    <w:rsid w:val="009106A4"/>
    <w:rsid w:val="0092016E"/>
    <w:rsid w:val="00920525"/>
    <w:rsid w:val="00936057"/>
    <w:rsid w:val="00951568"/>
    <w:rsid w:val="009601DD"/>
    <w:rsid w:val="00960977"/>
    <w:rsid w:val="00970593"/>
    <w:rsid w:val="0099161C"/>
    <w:rsid w:val="00994A1D"/>
    <w:rsid w:val="0099571C"/>
    <w:rsid w:val="009B6DE0"/>
    <w:rsid w:val="009C233B"/>
    <w:rsid w:val="009D048D"/>
    <w:rsid w:val="009D73F7"/>
    <w:rsid w:val="009F22DF"/>
    <w:rsid w:val="00A20751"/>
    <w:rsid w:val="00A35A49"/>
    <w:rsid w:val="00A44EF8"/>
    <w:rsid w:val="00A46840"/>
    <w:rsid w:val="00A64F67"/>
    <w:rsid w:val="00A7038F"/>
    <w:rsid w:val="00A71C7F"/>
    <w:rsid w:val="00A76400"/>
    <w:rsid w:val="00A90556"/>
    <w:rsid w:val="00AA27C0"/>
    <w:rsid w:val="00AB42CA"/>
    <w:rsid w:val="00AB6343"/>
    <w:rsid w:val="00AC1DBE"/>
    <w:rsid w:val="00AC33E9"/>
    <w:rsid w:val="00AD3DC8"/>
    <w:rsid w:val="00AD6798"/>
    <w:rsid w:val="00AE25C2"/>
    <w:rsid w:val="00AE4FED"/>
    <w:rsid w:val="00B15C1F"/>
    <w:rsid w:val="00B24779"/>
    <w:rsid w:val="00B2602E"/>
    <w:rsid w:val="00B27A50"/>
    <w:rsid w:val="00B33867"/>
    <w:rsid w:val="00B658F5"/>
    <w:rsid w:val="00B96AA7"/>
    <w:rsid w:val="00B97A46"/>
    <w:rsid w:val="00BA706F"/>
    <w:rsid w:val="00BA7851"/>
    <w:rsid w:val="00BC3116"/>
    <w:rsid w:val="00BC362D"/>
    <w:rsid w:val="00BC758E"/>
    <w:rsid w:val="00BD2E11"/>
    <w:rsid w:val="00BD70F1"/>
    <w:rsid w:val="00BE018C"/>
    <w:rsid w:val="00BE0331"/>
    <w:rsid w:val="00BE1CD2"/>
    <w:rsid w:val="00BE5A01"/>
    <w:rsid w:val="00BE6EF8"/>
    <w:rsid w:val="00BF347A"/>
    <w:rsid w:val="00BF61EF"/>
    <w:rsid w:val="00C03B08"/>
    <w:rsid w:val="00C079F7"/>
    <w:rsid w:val="00C12B1B"/>
    <w:rsid w:val="00C20D26"/>
    <w:rsid w:val="00C25229"/>
    <w:rsid w:val="00C35507"/>
    <w:rsid w:val="00C3551F"/>
    <w:rsid w:val="00C357A7"/>
    <w:rsid w:val="00C35C01"/>
    <w:rsid w:val="00C62802"/>
    <w:rsid w:val="00C66906"/>
    <w:rsid w:val="00C840A2"/>
    <w:rsid w:val="00CA4AC2"/>
    <w:rsid w:val="00CA5A4F"/>
    <w:rsid w:val="00CB1044"/>
    <w:rsid w:val="00CB467D"/>
    <w:rsid w:val="00CB7E62"/>
    <w:rsid w:val="00CC5B20"/>
    <w:rsid w:val="00CE5251"/>
    <w:rsid w:val="00CE6473"/>
    <w:rsid w:val="00D101C2"/>
    <w:rsid w:val="00D168D4"/>
    <w:rsid w:val="00D20410"/>
    <w:rsid w:val="00D2354C"/>
    <w:rsid w:val="00D278A3"/>
    <w:rsid w:val="00D3218C"/>
    <w:rsid w:val="00D47707"/>
    <w:rsid w:val="00D53E7A"/>
    <w:rsid w:val="00D62DA9"/>
    <w:rsid w:val="00D65B39"/>
    <w:rsid w:val="00D65DE5"/>
    <w:rsid w:val="00D76CEE"/>
    <w:rsid w:val="00D91BDC"/>
    <w:rsid w:val="00D92FD4"/>
    <w:rsid w:val="00D94FB6"/>
    <w:rsid w:val="00D95515"/>
    <w:rsid w:val="00DA4AD2"/>
    <w:rsid w:val="00DB59A8"/>
    <w:rsid w:val="00DC415C"/>
    <w:rsid w:val="00DD0E9A"/>
    <w:rsid w:val="00DD361E"/>
    <w:rsid w:val="00DD45B7"/>
    <w:rsid w:val="00DF021C"/>
    <w:rsid w:val="00DF56AF"/>
    <w:rsid w:val="00E0363D"/>
    <w:rsid w:val="00E05606"/>
    <w:rsid w:val="00E05C32"/>
    <w:rsid w:val="00E15236"/>
    <w:rsid w:val="00E1707F"/>
    <w:rsid w:val="00E219EC"/>
    <w:rsid w:val="00E25959"/>
    <w:rsid w:val="00E30155"/>
    <w:rsid w:val="00E367F0"/>
    <w:rsid w:val="00E40088"/>
    <w:rsid w:val="00E4020D"/>
    <w:rsid w:val="00E53039"/>
    <w:rsid w:val="00E5328D"/>
    <w:rsid w:val="00E63466"/>
    <w:rsid w:val="00E67532"/>
    <w:rsid w:val="00E74E17"/>
    <w:rsid w:val="00E839C1"/>
    <w:rsid w:val="00EA04FC"/>
    <w:rsid w:val="00EA2F6A"/>
    <w:rsid w:val="00EA3759"/>
    <w:rsid w:val="00EB14E4"/>
    <w:rsid w:val="00EB4446"/>
    <w:rsid w:val="00EB6291"/>
    <w:rsid w:val="00EC04B9"/>
    <w:rsid w:val="00ED2BEB"/>
    <w:rsid w:val="00ED567C"/>
    <w:rsid w:val="00ED6CB2"/>
    <w:rsid w:val="00EE5352"/>
    <w:rsid w:val="00EE7D8B"/>
    <w:rsid w:val="00EF05E7"/>
    <w:rsid w:val="00F0179B"/>
    <w:rsid w:val="00F026FE"/>
    <w:rsid w:val="00F15BE9"/>
    <w:rsid w:val="00F23678"/>
    <w:rsid w:val="00F24FDB"/>
    <w:rsid w:val="00F26370"/>
    <w:rsid w:val="00F26A81"/>
    <w:rsid w:val="00F51448"/>
    <w:rsid w:val="00F5147A"/>
    <w:rsid w:val="00F5306B"/>
    <w:rsid w:val="00F60C67"/>
    <w:rsid w:val="00F67CD9"/>
    <w:rsid w:val="00F70458"/>
    <w:rsid w:val="00F71319"/>
    <w:rsid w:val="00F832FB"/>
    <w:rsid w:val="00F8592C"/>
    <w:rsid w:val="00F90A10"/>
    <w:rsid w:val="00F93052"/>
    <w:rsid w:val="00FA0667"/>
    <w:rsid w:val="00FA1DB8"/>
    <w:rsid w:val="00FA2151"/>
    <w:rsid w:val="00FB7805"/>
    <w:rsid w:val="00FC41CD"/>
    <w:rsid w:val="00FD7E1E"/>
    <w:rsid w:val="00FF70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7586"/>
  <w15:chartTrackingRefBased/>
  <w15:docId w15:val="{522D371F-8BB6-7B4B-A952-017ACB403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imes New Roman"/>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link w:val="Titre1Car"/>
    <w:uiPriority w:val="9"/>
    <w:qFormat/>
    <w:rsid w:val="003A10E0"/>
    <w:pPr>
      <w:spacing w:before="100" w:beforeAutospacing="1" w:after="100" w:afterAutospacing="1"/>
      <w:outlineLvl w:val="0"/>
    </w:pPr>
    <w:rPr>
      <w:rFonts w:ascii="Times New Roman" w:eastAsia="Times New Roman" w:hAnsi="Times New Roman"/>
      <w:b/>
      <w:bCs/>
      <w:kern w:val="36"/>
      <w:sz w:val="48"/>
      <w:szCs w:val="48"/>
      <w:lang w:val="fr-FR" w:eastAsia="fr-FR"/>
    </w:rPr>
  </w:style>
  <w:style w:type="paragraph" w:styleId="Titre2">
    <w:name w:val="heading 2"/>
    <w:basedOn w:val="Normal"/>
    <w:link w:val="Titre2Car"/>
    <w:uiPriority w:val="9"/>
    <w:qFormat/>
    <w:rsid w:val="003A10E0"/>
    <w:pPr>
      <w:spacing w:before="100" w:beforeAutospacing="1" w:after="100" w:afterAutospacing="1"/>
      <w:outlineLvl w:val="1"/>
    </w:pPr>
    <w:rPr>
      <w:rFonts w:ascii="Times New Roman" w:eastAsia="Times New Roman" w:hAnsi="Times New Roman"/>
      <w:b/>
      <w:bCs/>
      <w:sz w:val="36"/>
      <w:szCs w:val="36"/>
      <w:lang w:val="fr-FR" w:eastAsia="fr-FR"/>
    </w:rPr>
  </w:style>
  <w:style w:type="paragraph" w:styleId="Titre3">
    <w:name w:val="heading 3"/>
    <w:basedOn w:val="Normal"/>
    <w:next w:val="Normal"/>
    <w:link w:val="Titre3Car"/>
    <w:uiPriority w:val="9"/>
    <w:unhideWhenUsed/>
    <w:qFormat/>
    <w:rsid w:val="003A10E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3766C9"/>
    <w:rPr>
      <w:i/>
      <w:iCs/>
    </w:rPr>
  </w:style>
  <w:style w:type="character" w:customStyle="1" w:styleId="Titre1Car">
    <w:name w:val="Titre 1 Car"/>
    <w:basedOn w:val="Policepardfaut"/>
    <w:link w:val="Titre1"/>
    <w:uiPriority w:val="9"/>
    <w:rsid w:val="003A10E0"/>
    <w:rPr>
      <w:rFonts w:ascii="Times New Roman" w:eastAsia="Times New Roman" w:hAnsi="Times New Roman"/>
      <w:b/>
      <w:bCs/>
      <w:kern w:val="36"/>
      <w:sz w:val="48"/>
      <w:szCs w:val="48"/>
      <w:lang w:eastAsia="fr-FR"/>
    </w:rPr>
  </w:style>
  <w:style w:type="character" w:customStyle="1" w:styleId="Titre2Car">
    <w:name w:val="Titre 2 Car"/>
    <w:basedOn w:val="Policepardfaut"/>
    <w:link w:val="Titre2"/>
    <w:uiPriority w:val="9"/>
    <w:rsid w:val="003A10E0"/>
    <w:rPr>
      <w:rFonts w:ascii="Times New Roman" w:eastAsia="Times New Roman" w:hAnsi="Times New Roman"/>
      <w:b/>
      <w:bCs/>
      <w:sz w:val="36"/>
      <w:szCs w:val="36"/>
      <w:lang w:eastAsia="fr-FR"/>
    </w:rPr>
  </w:style>
  <w:style w:type="paragraph" w:styleId="NormalWeb">
    <w:name w:val="Normal (Web)"/>
    <w:basedOn w:val="Normal"/>
    <w:uiPriority w:val="99"/>
    <w:semiHidden/>
    <w:unhideWhenUsed/>
    <w:rsid w:val="003A10E0"/>
    <w:pPr>
      <w:spacing w:before="100" w:beforeAutospacing="1" w:after="100" w:afterAutospacing="1"/>
    </w:pPr>
    <w:rPr>
      <w:rFonts w:ascii="Times New Roman" w:eastAsia="Times New Roman" w:hAnsi="Times New Roman"/>
      <w:sz w:val="24"/>
      <w:szCs w:val="24"/>
      <w:lang w:val="fr-FR" w:eastAsia="fr-FR"/>
    </w:rPr>
  </w:style>
  <w:style w:type="character" w:styleId="Lienhypertexte">
    <w:name w:val="Hyperlink"/>
    <w:basedOn w:val="Policepardfaut"/>
    <w:uiPriority w:val="99"/>
    <w:unhideWhenUsed/>
    <w:rsid w:val="003A10E0"/>
    <w:rPr>
      <w:color w:val="0000FF"/>
      <w:u w:val="single"/>
    </w:rPr>
  </w:style>
  <w:style w:type="character" w:customStyle="1" w:styleId="anchor-text">
    <w:name w:val="anchor-text"/>
    <w:basedOn w:val="Policepardfaut"/>
    <w:rsid w:val="003A10E0"/>
  </w:style>
  <w:style w:type="character" w:customStyle="1" w:styleId="powered-by-gen-ai">
    <w:name w:val="powered-by-gen-ai"/>
    <w:basedOn w:val="Policepardfaut"/>
    <w:rsid w:val="003A10E0"/>
  </w:style>
  <w:style w:type="paragraph" w:customStyle="1" w:styleId="text-s">
    <w:name w:val="text-s"/>
    <w:basedOn w:val="Normal"/>
    <w:rsid w:val="003A10E0"/>
    <w:pPr>
      <w:spacing w:before="100" w:beforeAutospacing="1" w:after="100" w:afterAutospacing="1"/>
    </w:pPr>
    <w:rPr>
      <w:rFonts w:ascii="Times New Roman" w:eastAsia="Times New Roman" w:hAnsi="Times New Roman"/>
      <w:sz w:val="24"/>
      <w:szCs w:val="24"/>
      <w:lang w:val="fr-FR" w:eastAsia="fr-FR"/>
    </w:rPr>
  </w:style>
  <w:style w:type="character" w:customStyle="1" w:styleId="button-link-text">
    <w:name w:val="button-link-text"/>
    <w:basedOn w:val="Policepardfaut"/>
    <w:rsid w:val="003A10E0"/>
  </w:style>
  <w:style w:type="paragraph" w:customStyle="1" w:styleId="star-rating-label">
    <w:name w:val="star-rating-label"/>
    <w:basedOn w:val="Normal"/>
    <w:rsid w:val="003A10E0"/>
    <w:pPr>
      <w:spacing w:before="100" w:beforeAutospacing="1" w:after="100" w:afterAutospacing="1"/>
    </w:pPr>
    <w:rPr>
      <w:rFonts w:ascii="Times New Roman" w:eastAsia="Times New Roman" w:hAnsi="Times New Roman"/>
      <w:sz w:val="24"/>
      <w:szCs w:val="24"/>
      <w:lang w:val="fr-FR" w:eastAsia="fr-FR"/>
    </w:rPr>
  </w:style>
  <w:style w:type="character" w:customStyle="1" w:styleId="u-hide-visually">
    <w:name w:val="u-hide-visually"/>
    <w:basedOn w:val="Policepardfaut"/>
    <w:rsid w:val="003A10E0"/>
  </w:style>
  <w:style w:type="character" w:customStyle="1" w:styleId="button-text">
    <w:name w:val="button-text"/>
    <w:basedOn w:val="Policepardfaut"/>
    <w:rsid w:val="003A10E0"/>
  </w:style>
  <w:style w:type="character" w:customStyle="1" w:styleId="u-hide-from-lg">
    <w:name w:val="u-hide-from-lg"/>
    <w:basedOn w:val="Policepardfaut"/>
    <w:rsid w:val="003A10E0"/>
  </w:style>
  <w:style w:type="paragraph" w:customStyle="1" w:styleId="active">
    <w:name w:val="active"/>
    <w:basedOn w:val="Normal"/>
    <w:rsid w:val="003A10E0"/>
    <w:pPr>
      <w:spacing w:before="100" w:beforeAutospacing="1" w:after="100" w:afterAutospacing="1"/>
    </w:pPr>
    <w:rPr>
      <w:rFonts w:ascii="Times New Roman" w:eastAsia="Times New Roman" w:hAnsi="Times New Roman"/>
      <w:sz w:val="24"/>
      <w:szCs w:val="24"/>
      <w:lang w:val="fr-FR" w:eastAsia="fr-FR"/>
    </w:rPr>
  </w:style>
  <w:style w:type="character" w:customStyle="1" w:styleId="Titre3Car">
    <w:name w:val="Titre 3 Car"/>
    <w:basedOn w:val="Policepardfaut"/>
    <w:link w:val="Titre3"/>
    <w:uiPriority w:val="9"/>
    <w:rsid w:val="003A10E0"/>
    <w:rPr>
      <w:rFonts w:asciiTheme="majorHAnsi" w:eastAsiaTheme="majorEastAsia" w:hAnsiTheme="majorHAnsi" w:cstheme="majorBidi"/>
      <w:color w:val="1F3763" w:themeColor="accent1" w:themeShade="7F"/>
      <w:sz w:val="24"/>
      <w:szCs w:val="24"/>
      <w:lang w:val="en-US"/>
    </w:rPr>
  </w:style>
  <w:style w:type="character" w:styleId="Titredulivre">
    <w:name w:val="Book Title"/>
    <w:basedOn w:val="Policepardfaut"/>
    <w:uiPriority w:val="33"/>
    <w:qFormat/>
    <w:rsid w:val="003A10E0"/>
    <w:rPr>
      <w:b/>
      <w:bCs/>
      <w:i/>
      <w:iCs/>
      <w:spacing w:val="5"/>
    </w:rPr>
  </w:style>
  <w:style w:type="character" w:styleId="lev">
    <w:name w:val="Strong"/>
    <w:basedOn w:val="Policepardfaut"/>
    <w:uiPriority w:val="22"/>
    <w:qFormat/>
    <w:rsid w:val="003A10E0"/>
    <w:rPr>
      <w:b/>
      <w:bCs/>
    </w:rPr>
  </w:style>
  <w:style w:type="paragraph" w:styleId="TM1">
    <w:name w:val="toc 1"/>
    <w:basedOn w:val="Normal"/>
    <w:next w:val="Normal"/>
    <w:autoRedefine/>
    <w:uiPriority w:val="39"/>
    <w:unhideWhenUsed/>
    <w:rsid w:val="003A10E0"/>
    <w:pPr>
      <w:spacing w:after="100"/>
    </w:pPr>
  </w:style>
  <w:style w:type="paragraph" w:styleId="TM2">
    <w:name w:val="toc 2"/>
    <w:basedOn w:val="Normal"/>
    <w:next w:val="Normal"/>
    <w:autoRedefine/>
    <w:uiPriority w:val="39"/>
    <w:unhideWhenUsed/>
    <w:rsid w:val="003A10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8024">
      <w:bodyDiv w:val="1"/>
      <w:marLeft w:val="0"/>
      <w:marRight w:val="0"/>
      <w:marTop w:val="0"/>
      <w:marBottom w:val="0"/>
      <w:divBdr>
        <w:top w:val="none" w:sz="0" w:space="0" w:color="auto"/>
        <w:left w:val="none" w:sz="0" w:space="0" w:color="auto"/>
        <w:bottom w:val="none" w:sz="0" w:space="0" w:color="auto"/>
        <w:right w:val="none" w:sz="0" w:space="0" w:color="auto"/>
      </w:divBdr>
      <w:divsChild>
        <w:div w:id="2036076414">
          <w:marLeft w:val="0"/>
          <w:marRight w:val="0"/>
          <w:marTop w:val="0"/>
          <w:marBottom w:val="0"/>
          <w:divBdr>
            <w:top w:val="none" w:sz="0" w:space="0" w:color="auto"/>
            <w:left w:val="none" w:sz="0" w:space="0" w:color="auto"/>
            <w:bottom w:val="none" w:sz="0" w:space="0" w:color="auto"/>
            <w:right w:val="none" w:sz="0" w:space="0" w:color="auto"/>
          </w:divBdr>
          <w:divsChild>
            <w:div w:id="1587768933">
              <w:marLeft w:val="0"/>
              <w:marRight w:val="0"/>
              <w:marTop w:val="0"/>
              <w:marBottom w:val="0"/>
              <w:divBdr>
                <w:top w:val="none" w:sz="0" w:space="0" w:color="auto"/>
                <w:left w:val="none" w:sz="0" w:space="0" w:color="auto"/>
                <w:bottom w:val="none" w:sz="0" w:space="0" w:color="auto"/>
                <w:right w:val="none" w:sz="0" w:space="0" w:color="auto"/>
              </w:divBdr>
              <w:divsChild>
                <w:div w:id="1461262974">
                  <w:marLeft w:val="0"/>
                  <w:marRight w:val="0"/>
                  <w:marTop w:val="0"/>
                  <w:marBottom w:val="0"/>
                  <w:divBdr>
                    <w:top w:val="none" w:sz="0" w:space="0" w:color="auto"/>
                    <w:left w:val="none" w:sz="0" w:space="0" w:color="auto"/>
                    <w:bottom w:val="none" w:sz="0" w:space="0" w:color="auto"/>
                    <w:right w:val="none" w:sz="0" w:space="0" w:color="auto"/>
                  </w:divBdr>
                  <w:divsChild>
                    <w:div w:id="1804694201">
                      <w:marLeft w:val="0"/>
                      <w:marRight w:val="0"/>
                      <w:marTop w:val="0"/>
                      <w:marBottom w:val="0"/>
                      <w:divBdr>
                        <w:top w:val="none" w:sz="0" w:space="0" w:color="auto"/>
                        <w:left w:val="none" w:sz="0" w:space="0" w:color="auto"/>
                        <w:bottom w:val="none" w:sz="0" w:space="0" w:color="auto"/>
                        <w:right w:val="none" w:sz="0" w:space="0" w:color="auto"/>
                      </w:divBdr>
                      <w:divsChild>
                        <w:div w:id="171724264">
                          <w:marLeft w:val="0"/>
                          <w:marRight w:val="0"/>
                          <w:marTop w:val="0"/>
                          <w:marBottom w:val="0"/>
                          <w:divBdr>
                            <w:top w:val="none" w:sz="0" w:space="0" w:color="auto"/>
                            <w:left w:val="none" w:sz="0" w:space="0" w:color="auto"/>
                            <w:bottom w:val="none" w:sz="0" w:space="0" w:color="auto"/>
                            <w:right w:val="none" w:sz="0" w:space="0" w:color="auto"/>
                          </w:divBdr>
                          <w:divsChild>
                            <w:div w:id="781262270">
                              <w:marLeft w:val="0"/>
                              <w:marRight w:val="0"/>
                              <w:marTop w:val="0"/>
                              <w:marBottom w:val="0"/>
                              <w:divBdr>
                                <w:top w:val="none" w:sz="0" w:space="0" w:color="auto"/>
                                <w:left w:val="none" w:sz="0" w:space="0" w:color="auto"/>
                                <w:bottom w:val="none" w:sz="0" w:space="0" w:color="auto"/>
                                <w:right w:val="none" w:sz="0" w:space="0" w:color="auto"/>
                              </w:divBdr>
                            </w:div>
                            <w:div w:id="448165579">
                              <w:marLeft w:val="0"/>
                              <w:marRight w:val="0"/>
                              <w:marTop w:val="0"/>
                              <w:marBottom w:val="0"/>
                              <w:divBdr>
                                <w:top w:val="none" w:sz="0" w:space="0" w:color="auto"/>
                                <w:left w:val="none" w:sz="0" w:space="0" w:color="auto"/>
                                <w:bottom w:val="none" w:sz="0" w:space="0" w:color="auto"/>
                                <w:right w:val="none" w:sz="0" w:space="0" w:color="auto"/>
                              </w:divBdr>
                            </w:div>
                            <w:div w:id="1924141442">
                              <w:marLeft w:val="0"/>
                              <w:marRight w:val="0"/>
                              <w:marTop w:val="240"/>
                              <w:marBottom w:val="0"/>
                              <w:divBdr>
                                <w:top w:val="none" w:sz="0" w:space="0" w:color="auto"/>
                                <w:left w:val="none" w:sz="0" w:space="0" w:color="auto"/>
                                <w:bottom w:val="none" w:sz="0" w:space="0" w:color="auto"/>
                                <w:right w:val="none" w:sz="0" w:space="0" w:color="auto"/>
                              </w:divBdr>
                            </w:div>
                            <w:div w:id="1649899175">
                              <w:marLeft w:val="0"/>
                              <w:marRight w:val="0"/>
                              <w:marTop w:val="360"/>
                              <w:marBottom w:val="360"/>
                              <w:divBdr>
                                <w:top w:val="none" w:sz="0" w:space="0" w:color="auto"/>
                                <w:left w:val="none" w:sz="0" w:space="0" w:color="auto"/>
                                <w:bottom w:val="none" w:sz="0" w:space="0" w:color="auto"/>
                                <w:right w:val="none" w:sz="0" w:space="0" w:color="auto"/>
                              </w:divBdr>
                              <w:divsChild>
                                <w:div w:id="2125076714">
                                  <w:marLeft w:val="0"/>
                                  <w:marRight w:val="0"/>
                                  <w:marTop w:val="0"/>
                                  <w:marBottom w:val="0"/>
                                  <w:divBdr>
                                    <w:top w:val="none" w:sz="0" w:space="0" w:color="auto"/>
                                    <w:left w:val="none" w:sz="0" w:space="0" w:color="auto"/>
                                    <w:bottom w:val="none" w:sz="0" w:space="0" w:color="auto"/>
                                    <w:right w:val="none" w:sz="0" w:space="0" w:color="auto"/>
                                  </w:divBdr>
                                  <w:divsChild>
                                    <w:div w:id="1974409234">
                                      <w:marLeft w:val="0"/>
                                      <w:marRight w:val="0"/>
                                      <w:marTop w:val="0"/>
                                      <w:marBottom w:val="0"/>
                                      <w:divBdr>
                                        <w:top w:val="none" w:sz="0" w:space="0" w:color="auto"/>
                                        <w:left w:val="none" w:sz="0" w:space="0" w:color="auto"/>
                                        <w:bottom w:val="none" w:sz="0" w:space="0" w:color="auto"/>
                                        <w:right w:val="none" w:sz="0" w:space="0" w:color="auto"/>
                                      </w:divBdr>
                                      <w:divsChild>
                                        <w:div w:id="10293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4996">
                                  <w:marLeft w:val="0"/>
                                  <w:marRight w:val="0"/>
                                  <w:marTop w:val="0"/>
                                  <w:marBottom w:val="0"/>
                                  <w:divBdr>
                                    <w:top w:val="none" w:sz="0" w:space="0" w:color="auto"/>
                                    <w:left w:val="none" w:sz="0" w:space="0" w:color="auto"/>
                                    <w:bottom w:val="none" w:sz="0" w:space="0" w:color="auto"/>
                                    <w:right w:val="none" w:sz="0" w:space="0" w:color="auto"/>
                                  </w:divBdr>
                                  <w:divsChild>
                                    <w:div w:id="16840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48575">
              <w:marLeft w:val="0"/>
              <w:marRight w:val="0"/>
              <w:marTop w:val="0"/>
              <w:marBottom w:val="0"/>
              <w:divBdr>
                <w:top w:val="none" w:sz="0" w:space="0" w:color="auto"/>
                <w:left w:val="none" w:sz="0" w:space="0" w:color="auto"/>
                <w:bottom w:val="none" w:sz="0" w:space="0" w:color="auto"/>
                <w:right w:val="none" w:sz="0" w:space="0" w:color="auto"/>
              </w:divBdr>
              <w:divsChild>
                <w:div w:id="1080559260">
                  <w:marLeft w:val="0"/>
                  <w:marRight w:val="0"/>
                  <w:marTop w:val="0"/>
                  <w:marBottom w:val="0"/>
                  <w:divBdr>
                    <w:top w:val="none" w:sz="0" w:space="0" w:color="auto"/>
                    <w:left w:val="none" w:sz="0" w:space="0" w:color="auto"/>
                    <w:bottom w:val="none" w:sz="0" w:space="0" w:color="auto"/>
                    <w:right w:val="none" w:sz="0" w:space="0" w:color="auto"/>
                  </w:divBdr>
                  <w:divsChild>
                    <w:div w:id="1814130667">
                      <w:marLeft w:val="0"/>
                      <w:marRight w:val="0"/>
                      <w:marTop w:val="0"/>
                      <w:marBottom w:val="0"/>
                      <w:divBdr>
                        <w:top w:val="none" w:sz="0" w:space="0" w:color="auto"/>
                        <w:left w:val="none" w:sz="0" w:space="0" w:color="auto"/>
                        <w:bottom w:val="none" w:sz="0" w:space="0" w:color="auto"/>
                        <w:right w:val="none" w:sz="0" w:space="0" w:color="auto"/>
                      </w:divBdr>
                      <w:divsChild>
                        <w:div w:id="1194808666">
                          <w:marLeft w:val="0"/>
                          <w:marRight w:val="0"/>
                          <w:marTop w:val="0"/>
                          <w:marBottom w:val="0"/>
                          <w:divBdr>
                            <w:top w:val="none" w:sz="0" w:space="0" w:color="auto"/>
                            <w:left w:val="none" w:sz="0" w:space="0" w:color="auto"/>
                            <w:bottom w:val="none" w:sz="0" w:space="0" w:color="auto"/>
                            <w:right w:val="none" w:sz="0" w:space="0" w:color="auto"/>
                          </w:divBdr>
                          <w:divsChild>
                            <w:div w:id="1271668874">
                              <w:marLeft w:val="0"/>
                              <w:marRight w:val="0"/>
                              <w:marTop w:val="0"/>
                              <w:marBottom w:val="0"/>
                              <w:divBdr>
                                <w:top w:val="none" w:sz="0" w:space="0" w:color="auto"/>
                                <w:left w:val="none" w:sz="0" w:space="0" w:color="auto"/>
                                <w:bottom w:val="none" w:sz="0" w:space="0" w:color="auto"/>
                                <w:right w:val="none" w:sz="0" w:space="0" w:color="auto"/>
                              </w:divBdr>
                            </w:div>
                            <w:div w:id="1874031005">
                              <w:marLeft w:val="0"/>
                              <w:marRight w:val="0"/>
                              <w:marTop w:val="0"/>
                              <w:marBottom w:val="0"/>
                              <w:divBdr>
                                <w:top w:val="none" w:sz="0" w:space="0" w:color="auto"/>
                                <w:left w:val="none" w:sz="0" w:space="0" w:color="auto"/>
                                <w:bottom w:val="none" w:sz="0" w:space="0" w:color="auto"/>
                                <w:right w:val="none" w:sz="0" w:space="0" w:color="auto"/>
                              </w:divBdr>
                              <w:divsChild>
                                <w:div w:id="1573348986">
                                  <w:marLeft w:val="120"/>
                                  <w:marRight w:val="120"/>
                                  <w:marTop w:val="0"/>
                                  <w:marBottom w:val="0"/>
                                  <w:divBdr>
                                    <w:top w:val="none" w:sz="0" w:space="0" w:color="auto"/>
                                    <w:left w:val="none" w:sz="0" w:space="0" w:color="auto"/>
                                    <w:bottom w:val="none" w:sz="0" w:space="0" w:color="auto"/>
                                    <w:right w:val="none" w:sz="0" w:space="0" w:color="auto"/>
                                  </w:divBdr>
                                </w:div>
                                <w:div w:id="232357529">
                                  <w:marLeft w:val="0"/>
                                  <w:marRight w:val="0"/>
                                  <w:marTop w:val="0"/>
                                  <w:marBottom w:val="0"/>
                                  <w:divBdr>
                                    <w:top w:val="none" w:sz="0" w:space="0" w:color="auto"/>
                                    <w:left w:val="none" w:sz="0" w:space="0" w:color="auto"/>
                                    <w:bottom w:val="none" w:sz="0" w:space="0" w:color="auto"/>
                                    <w:right w:val="none" w:sz="0" w:space="0" w:color="auto"/>
                                  </w:divBdr>
                                  <w:divsChild>
                                    <w:div w:id="18882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57364">
                  <w:marLeft w:val="0"/>
                  <w:marRight w:val="0"/>
                  <w:marTop w:val="0"/>
                  <w:marBottom w:val="0"/>
                  <w:divBdr>
                    <w:top w:val="none" w:sz="0" w:space="0" w:color="auto"/>
                    <w:left w:val="none" w:sz="0" w:space="0" w:color="auto"/>
                    <w:bottom w:val="none" w:sz="0" w:space="0" w:color="auto"/>
                    <w:right w:val="none" w:sz="0" w:space="0" w:color="auto"/>
                  </w:divBdr>
                  <w:divsChild>
                    <w:div w:id="3985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77954">
          <w:marLeft w:val="0"/>
          <w:marRight w:val="0"/>
          <w:marTop w:val="0"/>
          <w:marBottom w:val="0"/>
          <w:divBdr>
            <w:top w:val="none" w:sz="0" w:space="0" w:color="auto"/>
            <w:left w:val="none" w:sz="0" w:space="0" w:color="auto"/>
            <w:bottom w:val="none" w:sz="0" w:space="0" w:color="auto"/>
            <w:right w:val="none" w:sz="0" w:space="0" w:color="auto"/>
          </w:divBdr>
          <w:divsChild>
            <w:div w:id="880476366">
              <w:marLeft w:val="0"/>
              <w:marRight w:val="0"/>
              <w:marTop w:val="0"/>
              <w:marBottom w:val="0"/>
              <w:divBdr>
                <w:top w:val="none" w:sz="0" w:space="0" w:color="auto"/>
                <w:left w:val="none" w:sz="0" w:space="0" w:color="auto"/>
                <w:bottom w:val="none" w:sz="0" w:space="0" w:color="auto"/>
                <w:right w:val="none" w:sz="0" w:space="0" w:color="auto"/>
              </w:divBdr>
              <w:divsChild>
                <w:div w:id="206071907">
                  <w:marLeft w:val="0"/>
                  <w:marRight w:val="0"/>
                  <w:marTop w:val="0"/>
                  <w:marBottom w:val="0"/>
                  <w:divBdr>
                    <w:top w:val="none" w:sz="0" w:space="0" w:color="auto"/>
                    <w:left w:val="none" w:sz="0" w:space="0" w:color="auto"/>
                    <w:bottom w:val="none" w:sz="0" w:space="0" w:color="auto"/>
                    <w:right w:val="none" w:sz="0" w:space="0" w:color="auto"/>
                  </w:divBdr>
                  <w:divsChild>
                    <w:div w:id="1775593833">
                      <w:marLeft w:val="0"/>
                      <w:marRight w:val="0"/>
                      <w:marTop w:val="0"/>
                      <w:marBottom w:val="0"/>
                      <w:divBdr>
                        <w:top w:val="none" w:sz="0" w:space="0" w:color="auto"/>
                        <w:left w:val="none" w:sz="0" w:space="0" w:color="auto"/>
                        <w:bottom w:val="none" w:sz="0" w:space="0" w:color="auto"/>
                        <w:right w:val="none" w:sz="0" w:space="0" w:color="auto"/>
                      </w:divBdr>
                      <w:divsChild>
                        <w:div w:id="2002199570">
                          <w:marLeft w:val="0"/>
                          <w:marRight w:val="0"/>
                          <w:marTop w:val="0"/>
                          <w:marBottom w:val="0"/>
                          <w:divBdr>
                            <w:top w:val="none" w:sz="0" w:space="0" w:color="auto"/>
                            <w:left w:val="none" w:sz="0" w:space="0" w:color="auto"/>
                            <w:bottom w:val="none" w:sz="0" w:space="0" w:color="auto"/>
                            <w:right w:val="none" w:sz="0" w:space="0" w:color="auto"/>
                          </w:divBdr>
                          <w:divsChild>
                            <w:div w:id="1733887440">
                              <w:marLeft w:val="0"/>
                              <w:marRight w:val="0"/>
                              <w:marTop w:val="0"/>
                              <w:marBottom w:val="0"/>
                              <w:divBdr>
                                <w:top w:val="none" w:sz="0" w:space="0" w:color="auto"/>
                                <w:left w:val="none" w:sz="0" w:space="0" w:color="auto"/>
                                <w:bottom w:val="none" w:sz="0" w:space="0" w:color="auto"/>
                                <w:right w:val="none" w:sz="0" w:space="0" w:color="auto"/>
                              </w:divBdr>
                            </w:div>
                          </w:divsChild>
                        </w:div>
                        <w:div w:id="1288582694">
                          <w:marLeft w:val="0"/>
                          <w:marRight w:val="0"/>
                          <w:marTop w:val="0"/>
                          <w:marBottom w:val="0"/>
                          <w:divBdr>
                            <w:top w:val="none" w:sz="0" w:space="0" w:color="auto"/>
                            <w:left w:val="none" w:sz="0" w:space="0" w:color="auto"/>
                            <w:bottom w:val="none" w:sz="0" w:space="0" w:color="auto"/>
                            <w:right w:val="none" w:sz="0" w:space="0" w:color="auto"/>
                          </w:divBdr>
                        </w:div>
                        <w:div w:id="1588345099">
                          <w:marLeft w:val="0"/>
                          <w:marRight w:val="0"/>
                          <w:marTop w:val="0"/>
                          <w:marBottom w:val="0"/>
                          <w:divBdr>
                            <w:top w:val="none" w:sz="0" w:space="0" w:color="auto"/>
                            <w:left w:val="none" w:sz="0" w:space="0" w:color="auto"/>
                            <w:bottom w:val="none" w:sz="0" w:space="0" w:color="auto"/>
                            <w:right w:val="none" w:sz="0" w:space="0" w:color="auto"/>
                          </w:divBdr>
                        </w:div>
                        <w:div w:id="1990012423">
                          <w:marLeft w:val="0"/>
                          <w:marRight w:val="0"/>
                          <w:marTop w:val="0"/>
                          <w:marBottom w:val="0"/>
                          <w:divBdr>
                            <w:top w:val="none" w:sz="0" w:space="0" w:color="auto"/>
                            <w:left w:val="none" w:sz="0" w:space="0" w:color="auto"/>
                            <w:bottom w:val="none" w:sz="0" w:space="0" w:color="auto"/>
                            <w:right w:val="none" w:sz="0" w:space="0" w:color="auto"/>
                          </w:divBdr>
                        </w:div>
                        <w:div w:id="1748187804">
                          <w:marLeft w:val="0"/>
                          <w:marRight w:val="0"/>
                          <w:marTop w:val="0"/>
                          <w:marBottom w:val="0"/>
                          <w:divBdr>
                            <w:top w:val="none" w:sz="0" w:space="0" w:color="auto"/>
                            <w:left w:val="none" w:sz="0" w:space="0" w:color="auto"/>
                            <w:bottom w:val="none" w:sz="0" w:space="0" w:color="auto"/>
                            <w:right w:val="none" w:sz="0" w:space="0" w:color="auto"/>
                          </w:divBdr>
                        </w:div>
                        <w:div w:id="62684271">
                          <w:marLeft w:val="0"/>
                          <w:marRight w:val="0"/>
                          <w:marTop w:val="0"/>
                          <w:marBottom w:val="0"/>
                          <w:divBdr>
                            <w:top w:val="none" w:sz="0" w:space="0" w:color="auto"/>
                            <w:left w:val="none" w:sz="0" w:space="0" w:color="auto"/>
                            <w:bottom w:val="none" w:sz="0" w:space="0" w:color="auto"/>
                            <w:right w:val="none" w:sz="0" w:space="0" w:color="auto"/>
                          </w:divBdr>
                        </w:div>
                        <w:div w:id="17968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5155">
                  <w:marLeft w:val="0"/>
                  <w:marRight w:val="0"/>
                  <w:marTop w:val="0"/>
                  <w:marBottom w:val="0"/>
                  <w:divBdr>
                    <w:top w:val="none" w:sz="0" w:space="0" w:color="auto"/>
                    <w:left w:val="none" w:sz="0" w:space="0" w:color="auto"/>
                    <w:bottom w:val="none" w:sz="0" w:space="0" w:color="auto"/>
                    <w:right w:val="none" w:sz="0" w:space="0" w:color="auto"/>
                  </w:divBdr>
                  <w:divsChild>
                    <w:div w:id="11666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neuroscience/nervous-system" TargetMode="External"/><Relationship Id="rId21" Type="http://schemas.openxmlformats.org/officeDocument/2006/relationships/hyperlink" Target="https://www.sciencedirect.com/topics/physics-and-astronomy/dehydrogenase" TargetMode="External"/><Relationship Id="rId42" Type="http://schemas.openxmlformats.org/officeDocument/2006/relationships/hyperlink" Target="https://www.sciencedirect.com/topics/neuroscience/long-term-potentiation" TargetMode="External"/><Relationship Id="rId47" Type="http://schemas.openxmlformats.org/officeDocument/2006/relationships/hyperlink" Target="https://www.sciencedirect.com/topics/neuroscience/astrogliosis" TargetMode="External"/><Relationship Id="rId63" Type="http://schemas.openxmlformats.org/officeDocument/2006/relationships/hyperlink" Target="https://www.sciencedirect.com/topics/neuroscience/aquaporin-4" TargetMode="External"/><Relationship Id="rId68" Type="http://schemas.openxmlformats.org/officeDocument/2006/relationships/hyperlink" Target="https://www.sciencedirect.com/topics/neuroscience/p2y-receptor" TargetMode="External"/><Relationship Id="rId16" Type="http://schemas.openxmlformats.org/officeDocument/2006/relationships/hyperlink" Target="https://www.sciencedirect.com/topics/neuroscience/neuroprotection" TargetMode="External"/><Relationship Id="rId11" Type="http://schemas.openxmlformats.org/officeDocument/2006/relationships/hyperlink" Target="https://www.sciencedirect.com/topics/physics-and-astronomy/ion-concentration" TargetMode="External"/><Relationship Id="rId24" Type="http://schemas.openxmlformats.org/officeDocument/2006/relationships/hyperlink" Target="https://www.sciencedirect.com/topics/neuroscience/transcriptomics" TargetMode="External"/><Relationship Id="rId32" Type="http://schemas.openxmlformats.org/officeDocument/2006/relationships/hyperlink" Target="https://www.sciencedirect.com/topics/neuroscience/cleft" TargetMode="External"/><Relationship Id="rId37" Type="http://schemas.openxmlformats.org/officeDocument/2006/relationships/hyperlink" Target="https://www.sciencedirect.com/topics/neuroscience/lactate-shuttle" TargetMode="External"/><Relationship Id="rId40" Type="http://schemas.openxmlformats.org/officeDocument/2006/relationships/hyperlink" Target="https://www.sciencedirect.com/topics/neuroscience/oxidative-phosphorylation" TargetMode="External"/><Relationship Id="rId45" Type="http://schemas.openxmlformats.org/officeDocument/2006/relationships/hyperlink" Target="https://www.sciencedirect.com/topics/neuroscience/synapse-formation" TargetMode="External"/><Relationship Id="rId53" Type="http://schemas.openxmlformats.org/officeDocument/2006/relationships/hyperlink" Target="https://www.sciencedirect.com/topics/neuroscience/axon-guidance" TargetMode="External"/><Relationship Id="rId58" Type="http://schemas.openxmlformats.org/officeDocument/2006/relationships/hyperlink" Target="https://www.sciencedirect.com/topics/neuroscience/thrombospondin-2" TargetMode="External"/><Relationship Id="rId66" Type="http://schemas.openxmlformats.org/officeDocument/2006/relationships/hyperlink" Target="https://www.sciencedirect.com/topics/neuroscience/amyotrophic-lateral-sclerosis" TargetMode="External"/><Relationship Id="rId74" Type="http://schemas.openxmlformats.org/officeDocument/2006/relationships/hyperlink" Target="https://www.sciencedirect.com/topics/neuroscience/nuclear-factor-kappa-b" TargetMode="External"/><Relationship Id="rId79" Type="http://schemas.openxmlformats.org/officeDocument/2006/relationships/fontTable" Target="fontTable.xml"/><Relationship Id="rId5" Type="http://schemas.openxmlformats.org/officeDocument/2006/relationships/hyperlink" Target="https://www.sciencedirect.com/topics/undefined" TargetMode="External"/><Relationship Id="rId61" Type="http://schemas.openxmlformats.org/officeDocument/2006/relationships/hyperlink" Target="https://www.sciencedirect.com/topics/neuroscience/autism-spectrum-disorder" TargetMode="External"/><Relationship Id="rId19" Type="http://schemas.openxmlformats.org/officeDocument/2006/relationships/hyperlink" Target="https://www.sciencedirect.com/topics/neuroscience/cerebellum" TargetMode="External"/><Relationship Id="rId14" Type="http://schemas.openxmlformats.org/officeDocument/2006/relationships/hyperlink" Target="https://www.sciencedirect.com/topics/physics-and-astronomy/adenosine-triphosphate" TargetMode="External"/><Relationship Id="rId22" Type="http://schemas.openxmlformats.org/officeDocument/2006/relationships/hyperlink" Target="https://www.sciencedirect.com/topics/physics-and-astronomy/fermi-gamma-ray-space-telescope" TargetMode="External"/><Relationship Id="rId27" Type="http://schemas.openxmlformats.org/officeDocument/2006/relationships/hyperlink" Target="https://www.sciencedirect.com/topics/neuroscience/transcriptome" TargetMode="External"/><Relationship Id="rId30" Type="http://schemas.openxmlformats.org/officeDocument/2006/relationships/hyperlink" Target="https://www.sciencedirect.com/topics/neuroscience/sodium-proton-exchange-protein" TargetMode="External"/><Relationship Id="rId35" Type="http://schemas.openxmlformats.org/officeDocument/2006/relationships/hyperlink" Target="https://www.sciencedirect.com/topics/neuroscience/excitotoxicity" TargetMode="External"/><Relationship Id="rId43" Type="http://schemas.openxmlformats.org/officeDocument/2006/relationships/hyperlink" Target="https://www.sciencedirect.com/topics/physics-and-astronomy/blood-brain-barrier" TargetMode="External"/><Relationship Id="rId48" Type="http://schemas.openxmlformats.org/officeDocument/2006/relationships/hyperlink" Target="https://www.sciencedirect.com/topics/physics-and-astronomy/gene-expression" TargetMode="External"/><Relationship Id="rId56" Type="http://schemas.openxmlformats.org/officeDocument/2006/relationships/hyperlink" Target="https://www.sciencedirect.com/topics/neuroscience/glypican" TargetMode="External"/><Relationship Id="rId64" Type="http://schemas.openxmlformats.org/officeDocument/2006/relationships/hyperlink" Target="https://www.sciencedirect.com/topics/neuroscience/alzheimers-disease" TargetMode="External"/><Relationship Id="rId69" Type="http://schemas.openxmlformats.org/officeDocument/2006/relationships/hyperlink" Target="https://www.sciencedirect.com/topics/neuroscience/antigen-presenting-cell" TargetMode="External"/><Relationship Id="rId77" Type="http://schemas.openxmlformats.org/officeDocument/2006/relationships/hyperlink" Target="https://www.sciencedirect.com/topics/physics-and-astronomy/information-processing" TargetMode="External"/><Relationship Id="rId8" Type="http://schemas.openxmlformats.org/officeDocument/2006/relationships/hyperlink" Target="https://www.sciencedirect.com/topics/neuroscience/central-nervous-system" TargetMode="External"/><Relationship Id="rId51" Type="http://schemas.openxmlformats.org/officeDocument/2006/relationships/hyperlink" Target="https://www.sciencedirect.com/topics/physics-and-astronomy/embryonic-development" TargetMode="External"/><Relationship Id="rId72" Type="http://schemas.openxmlformats.org/officeDocument/2006/relationships/hyperlink" Target="https://www.sciencedirect.com/topics/neuroscience/oxidative-stres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sciencedirect.com/topics/physics-and-astronomy/neurotransmitter" TargetMode="External"/><Relationship Id="rId17" Type="http://schemas.openxmlformats.org/officeDocument/2006/relationships/hyperlink" Target="https://www.sciencedirect.com/topics/neuroscience/neurodegenerative-disorder" TargetMode="External"/><Relationship Id="rId25" Type="http://schemas.openxmlformats.org/officeDocument/2006/relationships/hyperlink" Target="https://www.sciencedirect.com/topics/neuroscience/rna-sequence" TargetMode="External"/><Relationship Id="rId33" Type="http://schemas.openxmlformats.org/officeDocument/2006/relationships/hyperlink" Target="https://www.sciencedirect.com/topics/neuroscience/glutamine" TargetMode="External"/><Relationship Id="rId38" Type="http://schemas.openxmlformats.org/officeDocument/2006/relationships/hyperlink" Target="https://www.sciencedirect.com/topics/neuroscience/glucose-transporter-1" TargetMode="External"/><Relationship Id="rId46" Type="http://schemas.openxmlformats.org/officeDocument/2006/relationships/hyperlink" Target="https://www.sciencedirect.com/topics/neuroscience/thrombospondin" TargetMode="External"/><Relationship Id="rId59" Type="http://schemas.openxmlformats.org/officeDocument/2006/relationships/hyperlink" Target="https://www.sciencedirect.com/topics/physics-and-astronomy/beta-factor" TargetMode="External"/><Relationship Id="rId67" Type="http://schemas.openxmlformats.org/officeDocument/2006/relationships/hyperlink" Target="https://www.sciencedirect.com/topics/neuroscience/multiple-sclerosis" TargetMode="External"/><Relationship Id="rId20" Type="http://schemas.openxmlformats.org/officeDocument/2006/relationships/hyperlink" Target="https://www.sciencedirect.com/topics/physics-and-astronomy/aldehyde" TargetMode="External"/><Relationship Id="rId41" Type="http://schemas.openxmlformats.org/officeDocument/2006/relationships/hyperlink" Target="https://www.sciencedirect.com/topics/physics-and-astronomy/glutathione" TargetMode="External"/><Relationship Id="rId54" Type="http://schemas.openxmlformats.org/officeDocument/2006/relationships/hyperlink" Target="https://www.sciencedirect.com/topics/neuroscience/extracellular-matrix" TargetMode="External"/><Relationship Id="rId62" Type="http://schemas.openxmlformats.org/officeDocument/2006/relationships/hyperlink" Target="https://www.sciencedirect.com/topics/neuroscience/rett-syndrome" TargetMode="External"/><Relationship Id="rId70" Type="http://schemas.openxmlformats.org/officeDocument/2006/relationships/hyperlink" Target="https://www.sciencedirect.com/topics/neuroscience/remyelinization" TargetMode="External"/><Relationship Id="rId75" Type="http://schemas.openxmlformats.org/officeDocument/2006/relationships/hyperlink" Target="https://www.sciencedirect.com/topics/neuroscience/neurogenesis" TargetMode="External"/><Relationship Id="rId1" Type="http://schemas.openxmlformats.org/officeDocument/2006/relationships/numbering" Target="numbering.xml"/><Relationship Id="rId6" Type="http://schemas.openxmlformats.org/officeDocument/2006/relationships/hyperlink" Target="https://www.sciencedirect.com/topics/neuroscience/astrocyte" TargetMode="External"/><Relationship Id="rId15" Type="http://schemas.openxmlformats.org/officeDocument/2006/relationships/hyperlink" Target="https://www.sciencedirect.com/topics/neuroscience/brain-function" TargetMode="External"/><Relationship Id="rId23" Type="http://schemas.openxmlformats.org/officeDocument/2006/relationships/hyperlink" Target="https://www.sciencedirect.com/topics/physics-and-astronomy/aspartate" TargetMode="External"/><Relationship Id="rId28" Type="http://schemas.openxmlformats.org/officeDocument/2006/relationships/hyperlink" Target="https://www.sciencedirect.com/topics/neuroscience/ion-homeostasis" TargetMode="External"/><Relationship Id="rId36" Type="http://schemas.openxmlformats.org/officeDocument/2006/relationships/hyperlink" Target="https://www.sciencedirect.com/topics/neuroscience/gamma-aminobutyric-acid" TargetMode="External"/><Relationship Id="rId49" Type="http://schemas.openxmlformats.org/officeDocument/2006/relationships/hyperlink" Target="https://www.sciencedirect.com/topics/neuroscience/neuroprotective-agent" TargetMode="External"/><Relationship Id="rId57" Type="http://schemas.openxmlformats.org/officeDocument/2006/relationships/hyperlink" Target="https://www.sciencedirect.com/topics/neuroscience/brain-derived-neurotrophic-factor" TargetMode="External"/><Relationship Id="rId10" Type="http://schemas.openxmlformats.org/officeDocument/2006/relationships/hyperlink" Target="https://www.sciencedirect.com/topics/physics-and-astronomy/homeostasis" TargetMode="External"/><Relationship Id="rId31" Type="http://schemas.openxmlformats.org/officeDocument/2006/relationships/hyperlink" Target="https://www.sciencedirect.com/topics/neuroscience/cotransporter" TargetMode="External"/><Relationship Id="rId44" Type="http://schemas.openxmlformats.org/officeDocument/2006/relationships/hyperlink" Target="https://www.sciencedirect.com/topics/neuroscience/tight-junction" TargetMode="External"/><Relationship Id="rId52" Type="http://schemas.openxmlformats.org/officeDocument/2006/relationships/hyperlink" Target="https://www.sciencedirect.com/topics/neuroscience/neuronal-migration" TargetMode="External"/><Relationship Id="rId60" Type="http://schemas.openxmlformats.org/officeDocument/2006/relationships/hyperlink" Target="https://www.sciencedirect.com/topics/neuroscience/neurodevelopmental-disorder" TargetMode="External"/><Relationship Id="rId65" Type="http://schemas.openxmlformats.org/officeDocument/2006/relationships/hyperlink" Target="https://www.sciencedirect.com/topics/neuroscience/huntingtons-disease" TargetMode="External"/><Relationship Id="rId73" Type="http://schemas.openxmlformats.org/officeDocument/2006/relationships/hyperlink" Target="https://www.sciencedirect.com/topics/neuroscience/protein-expression" TargetMode="External"/><Relationship Id="rId78" Type="http://schemas.openxmlformats.org/officeDocument/2006/relationships/hyperlink" Target="https://www.sciencedirect.com/topics/physics-and-astronomy/proteomics" TargetMode="External"/><Relationship Id="rId4" Type="http://schemas.openxmlformats.org/officeDocument/2006/relationships/webSettings" Target="webSettings.xml"/><Relationship Id="rId9" Type="http://schemas.openxmlformats.org/officeDocument/2006/relationships/hyperlink" Target="https://www.sciencedirect.com/topics/physics-and-astronomy/michael-reaction" TargetMode="External"/><Relationship Id="rId13" Type="http://schemas.openxmlformats.org/officeDocument/2006/relationships/hyperlink" Target="https://www.sciencedirect.com/topics/physics-and-astronomy/synapse" TargetMode="External"/><Relationship Id="rId18" Type="http://schemas.openxmlformats.org/officeDocument/2006/relationships/hyperlink" Target="https://www.sciencedirect.com/topics/neuroscience/glia" TargetMode="External"/><Relationship Id="rId39" Type="http://schemas.openxmlformats.org/officeDocument/2006/relationships/hyperlink" Target="https://www.sciencedirect.com/topics/neuroscience/monocarboxylate-transporter" TargetMode="External"/><Relationship Id="rId34" Type="http://schemas.openxmlformats.org/officeDocument/2006/relationships/hyperlink" Target="https://www.sciencedirect.com/topics/neuroscience/glutamate-ammonia-ligase" TargetMode="External"/><Relationship Id="rId50" Type="http://schemas.openxmlformats.org/officeDocument/2006/relationships/hyperlink" Target="https://www.sciencedirect.com/topics/neuroscience/neurotrophic-factor" TargetMode="External"/><Relationship Id="rId55" Type="http://schemas.openxmlformats.org/officeDocument/2006/relationships/hyperlink" Target="https://www.sciencedirect.com/topics/neuroscience/glycoprotein" TargetMode="External"/><Relationship Id="rId76" Type="http://schemas.openxmlformats.org/officeDocument/2006/relationships/hyperlink" Target="https://www.sciencedirect.com/topics/neuroscience/growth-factor" TargetMode="External"/><Relationship Id="rId7" Type="http://schemas.openxmlformats.org/officeDocument/2006/relationships/hyperlink" Target="https://www.sciencedirect.com/topics/neuroscience/microglia" TargetMode="External"/><Relationship Id="rId71" Type="http://schemas.openxmlformats.org/officeDocument/2006/relationships/hyperlink" Target="https://www.sciencedirect.com/topics/neuroscience/neurotrauma" TargetMode="External"/><Relationship Id="rId2" Type="http://schemas.openxmlformats.org/officeDocument/2006/relationships/styles" Target="styles.xml"/><Relationship Id="rId29" Type="http://schemas.openxmlformats.org/officeDocument/2006/relationships/hyperlink" Target="https://www.sciencedirect.com/topics/physics-and-astronomy/adenosin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3738</Words>
  <Characters>20565</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2025-12-08T15:05:00Z</dcterms:created>
  <dcterms:modified xsi:type="dcterms:W3CDTF">2025-12-08T15:19:00Z</dcterms:modified>
</cp:coreProperties>
</file>