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CellMar>
          <w:top w:w="0" w:type="dxa"/>
          <w:left w:w="115" w:type="dxa"/>
          <w:bottom w:w="0" w:type="dxa"/>
          <w:right w:w="115" w:type="dxa"/>
        </w:tblCellMar>
        <w:tblLook w:val="0000" w:noVBand="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Vektorfeld, Eigenschaft des Raumes in der Umgebung elektrischer Ladungen. </w:t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>Jedem Raumpunkt lässt sich eine elektrische Feldstärke zuordnen.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Funktion, die jedem Raumpunkt einen Vektor zuordnet.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Ladung, die in das elektrische Feld eingebracht wird, um die elektrische Feldstärke nach Betrag und Richtung zu bestimmen ohne dabei das ursprüngliche Feld wesentlich zu stören.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149860" cy="193675"/>
                  <wp:effectExtent l="0" t="0" r="0" b="0"/>
                  <wp:docPr id="1" name="Image1" descr="16§display§\vec{E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16§display§\vec{E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, Vektor, dessen Betrag E die Stärke des elektrischen Feldes angibt und dessen Orientierung der Richtung entspricht, in die eine positive Probeladung beschleunigt wird: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drawing>
                <wp:inline distT="0" distB="0" distL="0" distR="0">
                  <wp:extent cx="605155" cy="508635"/>
                  <wp:effectExtent l="0" t="0" r="0" b="0"/>
                  <wp:docPr id="2" name="Image2" descr="16§display§\vec{E} = \frac{\vec{F}}{Q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16§display§\vec{E} = \frac{\vec{F}}{Q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155" cy="50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Es gibt keine in sich geschlossenen Feldlinien, das elektrostatische Feld ist wirbelfrei. Sie können sich nicht schneiden, da die Richtung von </w:t>
            </w:r>
            <w:r>
              <w:rPr/>
              <w:drawing>
                <wp:inline distT="0" distB="0" distL="0" distR="0">
                  <wp:extent cx="149860" cy="193675"/>
                  <wp:effectExtent l="0" t="0" r="0" b="0"/>
                  <wp:docPr id="3" name="Image3" descr="16§display§\vec{E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16§display§\vec{E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/>
                <w:bCs/>
                <w:color w:val="000000"/>
                <w:kern w:val="0"/>
                <w:sz w:val="36"/>
                <w:szCs w:val="22"/>
                <w:lang w:val="de-DE" w:eastAsia="de-DE" w:bidi="ar-SA"/>
              </w:rPr>
              <w:t xml:space="preserve"> eindeutig ist. Hohe Liniendichte bedeutet eine hohe Feldstärke.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Dienen der Veranschaulichung der Kraftwirkung von </w:t>
            </w:r>
            <w:r>
              <w:rPr/>
              <w:drawing>
                <wp:inline distT="0" distB="0" distL="0" distR="0">
                  <wp:extent cx="149860" cy="193675"/>
                  <wp:effectExtent l="0" t="0" r="0" b="0"/>
                  <wp:docPr id="4" name="Image4" descr="16§display§\vec{E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16§display§\vec{E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im Raum. Richtung in einem Punkt entspricht </w:t>
            </w:r>
            <w:r>
              <w:rPr/>
              <w:drawing>
                <wp:inline distT="0" distB="0" distL="0" distR="0">
                  <wp:extent cx="149860" cy="193675"/>
                  <wp:effectExtent l="0" t="0" r="0" b="0"/>
                  <wp:docPr id="5" name="Image5" descr="16§display§\vec{E}§png§600§FALSE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16§display§\vec{E}§png§600§FALSE§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60" cy="19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-Richtung. Zeigen von positiven Ladungen weg und zu negativen Ladungen hin.</w: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Zwei entgegengesetzt geladene plattenförmige Leiter, die sich in einem Abstand voneinander befinden. Die Feldlinien sind parallel und stehen senkrecht zu den Plattenoberflächen (außer am Rand).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Ladung, deren räumliche Ausdehnung infinitesimal klein ist. Ihr elektrisches Feld ist isotrop, Feldlinien zeigen radial von ihr weg (positive Ladung) oder zu ihr hin (negative Ladung).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6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7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8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9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10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1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12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13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LibreOffice/6.4.6.2$MacOSX_X86_64 LibreOffice_project/0ce51a4fd21bff07a5c061082cc82c5ed232f115</Application>
  <Pages>1</Pages>
  <Words>178</Words>
  <Characters>1117</Characters>
  <CharactersWithSpaces>1289</CharactersWithSpaces>
  <Paragraphs>9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dcterms:modified xsi:type="dcterms:W3CDTF">2020-09-08T11:13:45Z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