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Dichte der Aufenthaltswahrscheinlichkeit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Normierung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Freie</w:t>
            </w:r>
            <w:r>
              <w:rPr/>
              <w:t>s</w:t>
            </w:r>
            <w:r>
              <w:rPr/>
              <w:t xml:space="preserve"> Teilchen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Wellenpaket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Observable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Eigenfunktion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Entartung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Quantenzahl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LibreOffice/6.0.7.3$Linux_X86_64 LibreOffice_project/00m0$Build-3</Application>
  <Pages>1</Pages>
  <Words>11</Words>
  <Characters>116</Characters>
  <CharactersWithSpaces>119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2020-10-13T23:24:42Z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