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F47" w:rsidRDefault="006A4691" w:rsidP="006A4691">
      <w:pPr>
        <w:pStyle w:val="Title"/>
        <w:jc w:val="center"/>
      </w:pPr>
      <w:bookmarkStart w:id="0" w:name="_GoBack"/>
      <w:bookmarkEnd w:id="0"/>
      <w:r>
        <w:t>Inductors In AC Circuits</w:t>
      </w:r>
    </w:p>
    <w:p w:rsidR="009E1F5C" w:rsidRDefault="009E1F5C" w:rsidP="009E1F5C">
      <w:pPr>
        <w:pStyle w:val="Heading1"/>
      </w:pPr>
      <w:r>
        <w:t>Underlying Physics:</w:t>
      </w:r>
    </w:p>
    <w:p w:rsidR="00014D47" w:rsidRPr="00014D47" w:rsidRDefault="00014D47" w:rsidP="00014D47">
      <w:r>
        <w:t>An inductor is an electrical component that stores electrical energy in a magnetic field (that opposes the direction of the current) (when current flows through it).</w:t>
      </w:r>
      <w:r w:rsidR="00752FE5">
        <w:t xml:space="preserve"> The inductance of an inductor is the ratio of the voltage against the rate of change of the current and is measured in henrys (H)</w:t>
      </w:r>
    </w:p>
    <w:p w:rsidR="009E1F5C" w:rsidRDefault="009E1F5C" w:rsidP="009E1F5C">
      <w:pPr>
        <w:rPr>
          <w:rFonts w:eastAsiaTheme="minorEastAsia"/>
        </w:rPr>
      </w:pPr>
      <w:r>
        <w:t xml:space="preserve">A perfect inductor has no resistance, instead it has what is called Inductive reactance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 w:rsidR="00FA6E5A">
        <w:rPr>
          <w:rFonts w:eastAsiaTheme="minorEastAsia"/>
        </w:rPr>
        <w:t>.</w:t>
      </w:r>
    </w:p>
    <w:p w:rsidR="002E39C1" w:rsidRDefault="002E39C1" w:rsidP="009E1F5C">
      <w:r>
        <w:t>The reactance is the inductor resisting changes in the current or voltage in the circuit.</w:t>
      </w:r>
    </w:p>
    <w:p w:rsidR="002E39C1" w:rsidRDefault="002E39C1" w:rsidP="009E1F5C">
      <w:r>
        <w:t xml:space="preserve">In an inductor the reactance occurs as when the current flowing through the inductor changes </w:t>
      </w:r>
      <w:r w:rsidR="00014D47">
        <w:t xml:space="preserve">the magnetic field produced by the inductor gets stronger, and as the field opposes the direction of the current passing through inductor </w:t>
      </w:r>
      <w:r w:rsidR="00752FE5">
        <w:t>making it ‘harder’ for the current to flow, meaning it opposes changes in the current.</w:t>
      </w:r>
    </w:p>
    <w:p w:rsidR="00FA6E5A" w:rsidRDefault="00FA6E5A" w:rsidP="009E1F5C"/>
    <w:p w:rsidR="00FA6E5A" w:rsidRDefault="00FA6E5A" w:rsidP="009E1F5C">
      <w:r>
        <w:t>The reactance can be found using the equations:</w:t>
      </w:r>
    </w:p>
    <w:p w:rsidR="00FA6E5A" w:rsidRPr="00FA6E5A" w:rsidRDefault="000A6261" w:rsidP="009E1F5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=ωL=2πfL</m:t>
          </m:r>
        </m:oMath>
      </m:oMathPara>
    </w:p>
    <w:p w:rsidR="006A4691" w:rsidRDefault="006A4691" w:rsidP="006A4691">
      <w:pPr>
        <w:pStyle w:val="Heading1"/>
      </w:pPr>
      <w:r>
        <w:t>Aim:</w:t>
      </w:r>
    </w:p>
    <w:p w:rsidR="00AD32A7" w:rsidRDefault="006A4691" w:rsidP="006A4691">
      <w:r>
        <w:t xml:space="preserve">To find the inductance of an inductor </w:t>
      </w:r>
      <w:r w:rsidR="00AD32A7">
        <w:t>in an AC circuit using</w:t>
      </w:r>
      <w:r w:rsidR="00AB6625">
        <w:t xml:space="preserve"> </w:t>
      </w:r>
      <w:r>
        <w:t>measurements of the current, voltage</w:t>
      </w:r>
      <w:r w:rsidR="00AD32A7">
        <w:t xml:space="preserve"> and frequency of the supply.</w:t>
      </w:r>
    </w:p>
    <w:p w:rsidR="00AD32A7" w:rsidRDefault="00AB6625" w:rsidP="00AD32A7">
      <w:pPr>
        <w:pStyle w:val="Heading1"/>
      </w:pPr>
      <w:r>
        <w:t>Apparatus:</w:t>
      </w:r>
    </w:p>
    <w:p w:rsidR="00AD32A7" w:rsidRDefault="00AB6625" w:rsidP="003B363B">
      <w:pPr>
        <w:pStyle w:val="ListParagraph"/>
        <w:numPr>
          <w:ilvl w:val="0"/>
          <w:numId w:val="2"/>
        </w:numPr>
      </w:pPr>
      <w:r>
        <w:t>A signal generator</w:t>
      </w:r>
    </w:p>
    <w:p w:rsidR="00AB6625" w:rsidRDefault="00AB6625" w:rsidP="003B363B">
      <w:pPr>
        <w:pStyle w:val="ListParagraph"/>
        <w:numPr>
          <w:ilvl w:val="0"/>
          <w:numId w:val="2"/>
        </w:numPr>
      </w:pPr>
      <w:r>
        <w:t>A digital oscilloscope</w:t>
      </w:r>
    </w:p>
    <w:p w:rsidR="00AB6625" w:rsidRDefault="00AB6625" w:rsidP="003B363B">
      <w:pPr>
        <w:pStyle w:val="ListParagraph"/>
        <w:numPr>
          <w:ilvl w:val="0"/>
          <w:numId w:val="2"/>
        </w:numPr>
      </w:pPr>
      <w:r>
        <w:t>A voltmeter (multimeter)</w:t>
      </w:r>
    </w:p>
    <w:p w:rsidR="00AB6625" w:rsidRDefault="00AB6625" w:rsidP="003B363B">
      <w:pPr>
        <w:pStyle w:val="ListParagraph"/>
        <w:numPr>
          <w:ilvl w:val="0"/>
          <w:numId w:val="2"/>
        </w:numPr>
      </w:pPr>
      <w:r>
        <w:t>An ammeter (second multimeter)</w:t>
      </w:r>
    </w:p>
    <w:p w:rsidR="00AB6625" w:rsidRDefault="00AB6625" w:rsidP="003B363B">
      <w:pPr>
        <w:pStyle w:val="ListParagraph"/>
        <w:numPr>
          <w:ilvl w:val="0"/>
          <w:numId w:val="2"/>
        </w:numPr>
      </w:pPr>
      <w:r>
        <w:t>An inductor</w:t>
      </w:r>
    </w:p>
    <w:p w:rsidR="00AB6625" w:rsidRDefault="00AB6625" w:rsidP="00AB6625">
      <w:pPr>
        <w:pStyle w:val="Heading1"/>
      </w:pPr>
      <w:r>
        <w:t>Method:</w:t>
      </w:r>
    </w:p>
    <w:p w:rsidR="003B363B" w:rsidRPr="003B363B" w:rsidRDefault="003B363B" w:rsidP="003B363B">
      <w:pPr>
        <w:pStyle w:val="Heading2"/>
      </w:pPr>
      <w:r>
        <w:t>Setup:</w:t>
      </w:r>
    </w:p>
    <w:p w:rsidR="003B363B" w:rsidRDefault="003B363B" w:rsidP="00AB6625">
      <w:r>
        <w:t>The inductor and ammeter are set up in series with the signal generator as the supply.</w:t>
      </w:r>
    </w:p>
    <w:p w:rsidR="003B363B" w:rsidRDefault="003B363B" w:rsidP="003B363B">
      <w:r>
        <w:t>The voltmeter is then set up in parallel to the signal generator to get the supply voltage.</w:t>
      </w:r>
    </w:p>
    <w:p w:rsidR="003B363B" w:rsidRDefault="003B363B" w:rsidP="003B363B">
      <w:r>
        <w:t xml:space="preserve">The oscilloscope is also set up in parallel </w:t>
      </w:r>
      <w:r w:rsidR="002A47B8">
        <w:t>to the</w:t>
      </w:r>
      <w:r>
        <w:t xml:space="preserve"> signal generator to</w:t>
      </w:r>
      <w:r w:rsidR="002A47B8">
        <w:t xml:space="preserve"> double check</w:t>
      </w:r>
      <w:r>
        <w:t xml:space="preserve"> the frequency of the supply.</w:t>
      </w:r>
    </w:p>
    <w:p w:rsidR="002504DF" w:rsidRDefault="00AF0A52" w:rsidP="00AF0A52">
      <w:pPr>
        <w:spacing w:after="160"/>
      </w:pPr>
      <w:r>
        <w:br w:type="page"/>
      </w:r>
    </w:p>
    <w:p w:rsidR="00A24383" w:rsidRDefault="000010C9" w:rsidP="005450EE">
      <w:pPr>
        <w:pStyle w:val="Heading3"/>
      </w:pPr>
      <w:r>
        <w:lastRenderedPageBreak/>
        <w:t>Circuit Diagram:</w:t>
      </w:r>
    </w:p>
    <w:p w:rsidR="005450EE" w:rsidRPr="005450EE" w:rsidRDefault="005450EE" w:rsidP="005450EE"/>
    <w:p w:rsidR="003B363B" w:rsidRDefault="00C90289" w:rsidP="003B363B">
      <w:r>
        <w:rPr>
          <w:noProof/>
        </w:rPr>
        <w:drawing>
          <wp:inline distT="0" distB="0" distL="0" distR="0">
            <wp:extent cx="4853940" cy="2598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3B" w:rsidRDefault="003B363B" w:rsidP="003B363B">
      <w:pPr>
        <w:pStyle w:val="Heading2"/>
      </w:pPr>
      <w:r>
        <w:t>Procedure:</w:t>
      </w:r>
    </w:p>
    <w:p w:rsidR="003B363B" w:rsidRDefault="003B363B" w:rsidP="00AB6625">
      <w:r>
        <w:t xml:space="preserve">The signal generator is set to a frequency which is recorded, the voltage is adjusted to be 5V, and the current is </w:t>
      </w:r>
      <w:r w:rsidR="00F135CB">
        <w:t>measured, then the signal generator is switched off and on again to get a repeat reading. The frequency is then lowered 0.5</w:t>
      </w:r>
      <w:r w:rsidR="002A47B8">
        <w:t>k</w:t>
      </w:r>
      <w:r w:rsidR="00F135CB">
        <w:t>Hz and repeat.</w:t>
      </w:r>
      <w:r w:rsidR="004E3131">
        <w:t xml:space="preserve"> The range of frequencies measured were from 4.5</w:t>
      </w:r>
      <w:r w:rsidR="002A47B8">
        <w:t>k</w:t>
      </w:r>
      <w:r w:rsidR="004E3131">
        <w:t>Hz and 1.5</w:t>
      </w:r>
      <w:r w:rsidR="002A47B8">
        <w:t>k</w:t>
      </w:r>
      <w:r w:rsidR="004E3131">
        <w:t>Hz.</w:t>
      </w:r>
    </w:p>
    <w:p w:rsidR="004E3131" w:rsidRDefault="004E3131" w:rsidP="00AB6625"/>
    <w:p w:rsidR="004E3131" w:rsidRDefault="004E3131" w:rsidP="004E3131">
      <w:pPr>
        <w:pStyle w:val="Heading1"/>
      </w:pPr>
      <w:r>
        <w:t>Results:</w:t>
      </w:r>
    </w:p>
    <w:tbl>
      <w:tblPr>
        <w:tblW w:w="16138" w:type="dxa"/>
        <w:tblInd w:w="-142" w:type="dxa"/>
        <w:tblLook w:val="04A0" w:firstRow="1" w:lastRow="0" w:firstColumn="1" w:lastColumn="0" w:noHBand="0" w:noVBand="1"/>
      </w:tblPr>
      <w:tblGrid>
        <w:gridCol w:w="1130"/>
        <w:gridCol w:w="670"/>
        <w:gridCol w:w="1120"/>
        <w:gridCol w:w="10"/>
        <w:gridCol w:w="1039"/>
        <w:gridCol w:w="81"/>
        <w:gridCol w:w="770"/>
        <w:gridCol w:w="851"/>
        <w:gridCol w:w="869"/>
        <w:gridCol w:w="425"/>
        <w:gridCol w:w="759"/>
        <w:gridCol w:w="601"/>
        <w:gridCol w:w="236"/>
        <w:gridCol w:w="123"/>
        <w:gridCol w:w="1025"/>
        <w:gridCol w:w="32"/>
        <w:gridCol w:w="204"/>
        <w:gridCol w:w="59"/>
        <w:gridCol w:w="200"/>
        <w:gridCol w:w="760"/>
        <w:gridCol w:w="200"/>
        <w:gridCol w:w="977"/>
        <w:gridCol w:w="123"/>
        <w:gridCol w:w="854"/>
        <w:gridCol w:w="106"/>
        <w:gridCol w:w="962"/>
        <w:gridCol w:w="977"/>
        <w:gridCol w:w="975"/>
      </w:tblGrid>
      <w:tr w:rsidR="004E3131" w:rsidRPr="004E3131" w:rsidTr="005B68B0">
        <w:trPr>
          <w:gridBefore w:val="1"/>
          <w:wBefore w:w="1130" w:type="dxa"/>
          <w:trHeight w:val="60"/>
        </w:trPr>
        <w:tc>
          <w:tcPr>
            <w:tcW w:w="1800" w:type="dxa"/>
            <w:gridSpan w:val="3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20" w:type="dxa"/>
            <w:gridSpan w:val="2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2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5B68B0">
            <w:pPr>
              <w:spacing w:after="0" w:line="240" w:lineRule="auto"/>
              <w:ind w:left="-1326" w:firstLine="1326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94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5B68B0">
            <w:pPr>
              <w:spacing w:after="0" w:line="240" w:lineRule="auto"/>
              <w:ind w:left="-253" w:firstLine="253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 (mA)</w:t>
            </w:r>
          </w:p>
        </w:tc>
        <w:tc>
          <w:tcPr>
            <w:tcW w:w="136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5B68B0">
            <w:pPr>
              <w:spacing w:after="0" w:line="240" w:lineRule="auto"/>
              <w:ind w:left="-1326" w:firstLine="1326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gridSpan w:val="3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3" w:type="dxa"/>
            <w:gridSpan w:val="2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gridSpan w:val="3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E3131" w:rsidRPr="004E3131" w:rsidTr="005B68B0">
        <w:trPr>
          <w:gridAfter w:val="4"/>
          <w:wAfter w:w="3020" w:type="dxa"/>
          <w:trHeight w:val="273"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0931FB">
            <w:pPr>
              <w:ind w:left="746" w:hanging="746"/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Frequency (KHZ)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1/F</w:t>
            </w:r>
            <w:r w:rsidR="002A47B8">
              <w:rPr>
                <w:sz w:val="20"/>
                <w:szCs w:val="20"/>
                <w:lang w:eastAsia="en-GB"/>
              </w:rPr>
              <w:t xml:space="preserve"> (s)</w:t>
            </w:r>
          </w:p>
        </w:tc>
        <w:tc>
          <w:tcPr>
            <w:tcW w:w="10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Voltage (V)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4600" w:rsidRDefault="00894600" w:rsidP="004E3131">
            <w:pPr>
              <w:rPr>
                <w:sz w:val="20"/>
                <w:szCs w:val="20"/>
                <w:lang w:eastAsia="en-GB"/>
              </w:rPr>
            </w:pPr>
          </w:p>
          <w:p w:rsidR="005B68B0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4</w:t>
            </w:r>
          </w:p>
        </w:tc>
        <w:tc>
          <w:tcPr>
            <w:tcW w:w="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avg</w:t>
            </w:r>
          </w:p>
        </w:tc>
        <w:tc>
          <w:tcPr>
            <w:tcW w:w="236" w:type="dxa"/>
            <w:gridSpan w:val="2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259" w:type="dxa"/>
            <w:gridSpan w:val="2"/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Δtotal</w:t>
            </w:r>
          </w:p>
        </w:tc>
        <w:tc>
          <w:tcPr>
            <w:tcW w:w="977" w:type="dxa"/>
            <w:gridSpan w:val="2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Δ%</w:t>
            </w:r>
          </w:p>
        </w:tc>
      </w:tr>
      <w:tr w:rsidR="004E3131" w:rsidRPr="004E3131" w:rsidTr="005B68B0">
        <w:trPr>
          <w:gridAfter w:val="4"/>
          <w:wAfter w:w="3020" w:type="dxa"/>
          <w:trHeight w:val="288"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4.5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0.0002222</w:t>
            </w:r>
          </w:p>
        </w:tc>
        <w:tc>
          <w:tcPr>
            <w:tcW w:w="10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0.442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0.444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0.444</w:t>
            </w:r>
          </w:p>
        </w:tc>
        <w:tc>
          <w:tcPr>
            <w:tcW w:w="11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0.445</w:t>
            </w:r>
          </w:p>
        </w:tc>
        <w:tc>
          <w:tcPr>
            <w:tcW w:w="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0.445</w:t>
            </w:r>
          </w:p>
        </w:tc>
        <w:tc>
          <w:tcPr>
            <w:tcW w:w="10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0.444</w:t>
            </w:r>
          </w:p>
        </w:tc>
        <w:tc>
          <w:tcPr>
            <w:tcW w:w="236" w:type="dxa"/>
            <w:gridSpan w:val="2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259" w:type="dxa"/>
            <w:gridSpan w:val="2"/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0.022231</w:t>
            </w:r>
          </w:p>
        </w:tc>
        <w:tc>
          <w:tcPr>
            <w:tcW w:w="977" w:type="dxa"/>
            <w:gridSpan w:val="2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5.006894</w:t>
            </w:r>
          </w:p>
        </w:tc>
      </w:tr>
      <w:tr w:rsidR="004E3131" w:rsidRPr="004E3131" w:rsidTr="005B68B0">
        <w:trPr>
          <w:gridAfter w:val="4"/>
          <w:wAfter w:w="3020" w:type="dxa"/>
          <w:trHeight w:val="288"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0.00025</w:t>
            </w:r>
          </w:p>
        </w:tc>
        <w:tc>
          <w:tcPr>
            <w:tcW w:w="10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0.527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0.526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0.525</w:t>
            </w:r>
          </w:p>
        </w:tc>
        <w:tc>
          <w:tcPr>
            <w:tcW w:w="11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0.525</w:t>
            </w:r>
          </w:p>
        </w:tc>
        <w:tc>
          <w:tcPr>
            <w:tcW w:w="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0.525</w:t>
            </w:r>
          </w:p>
        </w:tc>
        <w:tc>
          <w:tcPr>
            <w:tcW w:w="10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0.5256</w:t>
            </w:r>
          </w:p>
        </w:tc>
        <w:tc>
          <w:tcPr>
            <w:tcW w:w="236" w:type="dxa"/>
            <w:gridSpan w:val="2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259" w:type="dxa"/>
            <w:gridSpan w:val="2"/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0.026302</w:t>
            </w:r>
          </w:p>
        </w:tc>
        <w:tc>
          <w:tcPr>
            <w:tcW w:w="977" w:type="dxa"/>
            <w:gridSpan w:val="2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5.004197</w:t>
            </w:r>
          </w:p>
        </w:tc>
      </w:tr>
      <w:tr w:rsidR="004E3131" w:rsidRPr="004E3131" w:rsidTr="005B68B0">
        <w:trPr>
          <w:gridAfter w:val="4"/>
          <w:wAfter w:w="3020" w:type="dxa"/>
          <w:trHeight w:val="288"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3.5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0.0002857</w:t>
            </w:r>
          </w:p>
        </w:tc>
        <w:tc>
          <w:tcPr>
            <w:tcW w:w="10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0.623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0.622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0.622</w:t>
            </w:r>
          </w:p>
        </w:tc>
        <w:tc>
          <w:tcPr>
            <w:tcW w:w="11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0.622</w:t>
            </w:r>
          </w:p>
        </w:tc>
        <w:tc>
          <w:tcPr>
            <w:tcW w:w="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0.622</w:t>
            </w:r>
          </w:p>
        </w:tc>
        <w:tc>
          <w:tcPr>
            <w:tcW w:w="10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0.6222</w:t>
            </w:r>
          </w:p>
        </w:tc>
        <w:tc>
          <w:tcPr>
            <w:tcW w:w="236" w:type="dxa"/>
            <w:gridSpan w:val="2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259" w:type="dxa"/>
            <w:gridSpan w:val="2"/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0.031127</w:t>
            </w:r>
          </w:p>
        </w:tc>
        <w:tc>
          <w:tcPr>
            <w:tcW w:w="977" w:type="dxa"/>
            <w:gridSpan w:val="2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5.002686</w:t>
            </w:r>
          </w:p>
        </w:tc>
      </w:tr>
      <w:tr w:rsidR="004E3131" w:rsidRPr="004E3131" w:rsidTr="005B68B0">
        <w:trPr>
          <w:gridAfter w:val="4"/>
          <w:wAfter w:w="3020" w:type="dxa"/>
          <w:trHeight w:val="288"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0.0003333</w:t>
            </w:r>
          </w:p>
        </w:tc>
        <w:tc>
          <w:tcPr>
            <w:tcW w:w="10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0.752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0.749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11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0.749</w:t>
            </w:r>
          </w:p>
        </w:tc>
        <w:tc>
          <w:tcPr>
            <w:tcW w:w="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0.749</w:t>
            </w:r>
          </w:p>
        </w:tc>
        <w:tc>
          <w:tcPr>
            <w:tcW w:w="10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0.7498</w:t>
            </w:r>
          </w:p>
        </w:tc>
        <w:tc>
          <w:tcPr>
            <w:tcW w:w="236" w:type="dxa"/>
            <w:gridSpan w:val="2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259" w:type="dxa"/>
            <w:gridSpan w:val="2"/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0.037508</w:t>
            </w:r>
          </w:p>
        </w:tc>
        <w:tc>
          <w:tcPr>
            <w:tcW w:w="977" w:type="dxa"/>
            <w:gridSpan w:val="2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5.002418</w:t>
            </w:r>
          </w:p>
        </w:tc>
      </w:tr>
      <w:tr w:rsidR="004E3131" w:rsidRPr="004E3131" w:rsidTr="005B68B0">
        <w:trPr>
          <w:gridAfter w:val="4"/>
          <w:wAfter w:w="3020" w:type="dxa"/>
          <w:trHeight w:val="288"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2.5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0.0004</w:t>
            </w:r>
          </w:p>
        </w:tc>
        <w:tc>
          <w:tcPr>
            <w:tcW w:w="10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0.921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0.918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0.917</w:t>
            </w:r>
          </w:p>
        </w:tc>
        <w:tc>
          <w:tcPr>
            <w:tcW w:w="11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0.916</w:t>
            </w:r>
          </w:p>
        </w:tc>
        <w:tc>
          <w:tcPr>
            <w:tcW w:w="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0.917</w:t>
            </w:r>
          </w:p>
        </w:tc>
        <w:tc>
          <w:tcPr>
            <w:tcW w:w="10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0.9178</w:t>
            </w:r>
          </w:p>
        </w:tc>
        <w:tc>
          <w:tcPr>
            <w:tcW w:w="236" w:type="dxa"/>
            <w:gridSpan w:val="2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259" w:type="dxa"/>
            <w:gridSpan w:val="2"/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0.045912</w:t>
            </w:r>
          </w:p>
        </w:tc>
        <w:tc>
          <w:tcPr>
            <w:tcW w:w="977" w:type="dxa"/>
            <w:gridSpan w:val="2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5.002374</w:t>
            </w:r>
          </w:p>
        </w:tc>
      </w:tr>
      <w:tr w:rsidR="004E3131" w:rsidRPr="004E3131" w:rsidTr="005B68B0">
        <w:trPr>
          <w:gridAfter w:val="4"/>
          <w:wAfter w:w="3020" w:type="dxa"/>
          <w:trHeight w:val="288"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0.0005</w:t>
            </w:r>
          </w:p>
        </w:tc>
        <w:tc>
          <w:tcPr>
            <w:tcW w:w="10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1.152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1.151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1.15</w:t>
            </w:r>
          </w:p>
        </w:tc>
        <w:tc>
          <w:tcPr>
            <w:tcW w:w="11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1.15</w:t>
            </w:r>
          </w:p>
        </w:tc>
        <w:tc>
          <w:tcPr>
            <w:tcW w:w="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1.15</w:t>
            </w:r>
          </w:p>
        </w:tc>
        <w:tc>
          <w:tcPr>
            <w:tcW w:w="10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1.1506</w:t>
            </w:r>
          </w:p>
        </w:tc>
        <w:tc>
          <w:tcPr>
            <w:tcW w:w="236" w:type="dxa"/>
            <w:gridSpan w:val="2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259" w:type="dxa"/>
            <w:gridSpan w:val="2"/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0.05754</w:t>
            </w:r>
          </w:p>
        </w:tc>
        <w:tc>
          <w:tcPr>
            <w:tcW w:w="977" w:type="dxa"/>
            <w:gridSpan w:val="2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5.000876</w:t>
            </w:r>
          </w:p>
        </w:tc>
      </w:tr>
      <w:tr w:rsidR="004E3131" w:rsidRPr="004E3131" w:rsidTr="005B68B0">
        <w:trPr>
          <w:gridAfter w:val="4"/>
          <w:wAfter w:w="3020" w:type="dxa"/>
          <w:trHeight w:val="288"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1.5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0.0006667</w:t>
            </w:r>
          </w:p>
        </w:tc>
        <w:tc>
          <w:tcPr>
            <w:tcW w:w="10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1.531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1.529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1.53</w:t>
            </w:r>
          </w:p>
        </w:tc>
        <w:tc>
          <w:tcPr>
            <w:tcW w:w="11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1.527</w:t>
            </w:r>
          </w:p>
        </w:tc>
        <w:tc>
          <w:tcPr>
            <w:tcW w:w="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1.529</w:t>
            </w:r>
          </w:p>
        </w:tc>
        <w:tc>
          <w:tcPr>
            <w:tcW w:w="10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1.5292</w:t>
            </w:r>
          </w:p>
        </w:tc>
        <w:tc>
          <w:tcPr>
            <w:tcW w:w="236" w:type="dxa"/>
            <w:gridSpan w:val="2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259" w:type="dxa"/>
            <w:gridSpan w:val="2"/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0.076471</w:t>
            </w:r>
          </w:p>
        </w:tc>
        <w:tc>
          <w:tcPr>
            <w:tcW w:w="977" w:type="dxa"/>
            <w:gridSpan w:val="2"/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5.000701</w:t>
            </w:r>
          </w:p>
        </w:tc>
      </w:tr>
    </w:tbl>
    <w:p w:rsidR="00792021" w:rsidRDefault="00792021" w:rsidP="004E3131">
      <w:pPr>
        <w:rPr>
          <w:sz w:val="20"/>
          <w:szCs w:val="20"/>
        </w:rPr>
      </w:pPr>
    </w:p>
    <w:p w:rsidR="004E3131" w:rsidRPr="00792021" w:rsidRDefault="00792021" w:rsidP="004E3131">
      <w:r>
        <w:br w:type="page"/>
      </w:r>
    </w:p>
    <w:p w:rsidR="004E3131" w:rsidRDefault="004E3131" w:rsidP="004E3131">
      <w:pPr>
        <w:pStyle w:val="Heading1"/>
      </w:pPr>
      <w:r>
        <w:lastRenderedPageBreak/>
        <w:t>Uncertainties:</w:t>
      </w:r>
    </w:p>
    <w:p w:rsidR="002A47B8" w:rsidRPr="002A47B8" w:rsidRDefault="002A47B8" w:rsidP="002A47B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t xml:space="preserve">Current </w:t>
      </w:r>
      <w:r w:rsidRPr="004E3131">
        <w:rPr>
          <w:rFonts w:ascii="Calibri" w:eastAsia="Times New Roman" w:hAnsi="Calibri" w:cs="Calibri"/>
          <w:color w:val="000000"/>
          <w:lang w:eastAsia="en-GB"/>
        </w:rPr>
        <w:t>Δ</w:t>
      </w:r>
      <w:r>
        <w:rPr>
          <w:rFonts w:ascii="Calibri" w:eastAsia="Times New Roman" w:hAnsi="Calibri" w:cs="Calibri"/>
          <w:color w:val="000000"/>
          <w:lang w:eastAsia="en-GB"/>
        </w:rPr>
        <w:t>s:</w:t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  <w:t xml:space="preserve">          </w:t>
      </w:r>
      <w:r w:rsidRPr="004E3131">
        <w:rPr>
          <w:rFonts w:ascii="Calibri" w:eastAsia="Times New Roman" w:hAnsi="Calibri" w:cs="Calibri"/>
          <w:color w:val="000000"/>
          <w:lang w:eastAsia="en-GB"/>
        </w:rPr>
        <w:t>Frequency Δ</w:t>
      </w:r>
      <w:r>
        <w:rPr>
          <w:rFonts w:ascii="Calibri" w:eastAsia="Times New Roman" w:hAnsi="Calibri" w:cs="Calibri"/>
          <w:color w:val="000000"/>
          <w:lang w:eastAsia="en-GB"/>
        </w:rPr>
        <w:t>:</w:t>
      </w:r>
    </w:p>
    <w:tbl>
      <w:tblPr>
        <w:tblpPr w:leftFromText="180" w:rightFromText="180" w:vertAnchor="text" w:tblpY="1"/>
        <w:tblOverlap w:val="never"/>
        <w:tblW w:w="5326" w:type="dxa"/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1053"/>
        <w:gridCol w:w="1053"/>
      </w:tblGrid>
      <w:tr w:rsidR="004E3131" w:rsidRPr="004E3131" w:rsidTr="005B68B0">
        <w:trPr>
          <w:trHeight w:val="288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Δcal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Δread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Δrand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Δtotal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Δ%</w:t>
            </w:r>
          </w:p>
        </w:tc>
      </w:tr>
      <w:tr w:rsidR="004E3131" w:rsidRPr="004E3131" w:rsidTr="005B68B0">
        <w:trPr>
          <w:trHeight w:val="288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0.0222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0.0006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0.022231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5.006894</w:t>
            </w:r>
          </w:p>
        </w:tc>
      </w:tr>
      <w:tr w:rsidR="004E3131" w:rsidRPr="004E3131" w:rsidTr="005B68B0">
        <w:trPr>
          <w:trHeight w:val="288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0.02628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0.0004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0.026302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5.004197</w:t>
            </w:r>
          </w:p>
        </w:tc>
      </w:tr>
      <w:tr w:rsidR="004E3131" w:rsidRPr="004E3131" w:rsidTr="005B68B0">
        <w:trPr>
          <w:trHeight w:val="288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0.03111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0.0002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0.031127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5.002686</w:t>
            </w:r>
          </w:p>
        </w:tc>
      </w:tr>
      <w:tr w:rsidR="004E3131" w:rsidRPr="004E3131" w:rsidTr="005B68B0">
        <w:trPr>
          <w:trHeight w:val="288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0.03749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0.0006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0.037508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5.002418</w:t>
            </w:r>
          </w:p>
        </w:tc>
      </w:tr>
      <w:tr w:rsidR="004E3131" w:rsidRPr="004E3131" w:rsidTr="005B68B0">
        <w:trPr>
          <w:trHeight w:val="288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0.04589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0.045912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5.002374</w:t>
            </w:r>
          </w:p>
        </w:tc>
      </w:tr>
      <w:tr w:rsidR="004E3131" w:rsidRPr="004E3131" w:rsidTr="005B68B0">
        <w:trPr>
          <w:trHeight w:val="288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0.05753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0.0004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0.05754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5.000876</w:t>
            </w:r>
          </w:p>
        </w:tc>
      </w:tr>
      <w:tr w:rsidR="004E3131" w:rsidRPr="004E3131" w:rsidTr="005B68B0">
        <w:trPr>
          <w:trHeight w:val="288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0.07646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0.0008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0.076471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E3131" w:rsidRPr="004E3131" w:rsidRDefault="004E3131" w:rsidP="004E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5.000701</w:t>
            </w:r>
          </w:p>
        </w:tc>
      </w:tr>
    </w:tbl>
    <w:p w:rsidR="002A47B8" w:rsidRDefault="002A47B8" w:rsidP="002A47B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4E3131">
        <w:rPr>
          <w:rFonts w:ascii="Calibri" w:eastAsia="Times New Roman" w:hAnsi="Calibri" w:cs="Calibri"/>
          <w:color w:val="000000"/>
          <w:lang w:eastAsia="en-GB"/>
        </w:rPr>
        <w:t>Δcal was 1*10^-2</w:t>
      </w:r>
    </w:p>
    <w:p w:rsidR="002A47B8" w:rsidRDefault="002A47B8" w:rsidP="002A47B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Which is so small it’s negligible.</w:t>
      </w:r>
    </w:p>
    <w:p w:rsidR="002A47B8" w:rsidRDefault="002A47B8" w:rsidP="002A47B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0931FB">
        <w:rPr>
          <w:rFonts w:ascii="Calibri" w:eastAsia="Times New Roman" w:hAnsi="Calibri" w:cs="Calibri"/>
          <w:color w:val="000000"/>
          <w:lang w:eastAsia="en-GB"/>
        </w:rPr>
        <w:t>Δread = 0.001</w:t>
      </w:r>
    </w:p>
    <w:p w:rsidR="007620EA" w:rsidRPr="007620EA" w:rsidRDefault="002A47B8" w:rsidP="002A47B8">
      <w:pPr>
        <w:rPr>
          <w:rFonts w:ascii="Calibri" w:eastAsia="Times New Roman" w:hAnsi="Calibri" w:cs="Calibri"/>
          <w:color w:val="000000"/>
          <w:lang w:eastAsia="en-GB"/>
        </w:rPr>
      </w:pPr>
      <w:r w:rsidRPr="000931FB">
        <w:rPr>
          <w:rFonts w:ascii="Calibri" w:eastAsia="Times New Roman" w:hAnsi="Calibri" w:cs="Calibri"/>
          <w:color w:val="000000"/>
          <w:lang w:eastAsia="en-GB"/>
        </w:rPr>
        <w:t>Δtotal = 0.001</w:t>
      </w:r>
    </w:p>
    <w:p w:rsidR="004E3131" w:rsidRDefault="004E3131" w:rsidP="004E3131"/>
    <w:p w:rsidR="005F41F5" w:rsidRDefault="005F41F5" w:rsidP="005F41F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Voltage</w:t>
      </w:r>
      <w:r w:rsidRPr="004E3131">
        <w:rPr>
          <w:rFonts w:ascii="Calibri" w:eastAsia="Times New Roman" w:hAnsi="Calibri" w:cs="Calibri"/>
          <w:color w:val="000000"/>
          <w:lang w:eastAsia="en-GB"/>
        </w:rPr>
        <w:t xml:space="preserve"> Δ</w:t>
      </w:r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5F41F5" w:rsidRDefault="005F41F5" w:rsidP="005F41F5">
      <w:r>
        <w:t xml:space="preserve">Δcal = 0.8% + 3 of the </w:t>
      </w:r>
    </w:p>
    <w:p w:rsidR="004E3131" w:rsidRDefault="005F41F5" w:rsidP="005F41F5">
      <w:pPr>
        <w:ind w:left="5529"/>
      </w:pPr>
      <w:r>
        <w:t>least sig figs = 0.07 (0.04+ 0.03)</w:t>
      </w:r>
    </w:p>
    <w:p w:rsidR="005F41F5" w:rsidRDefault="005F41F5" w:rsidP="005F41F5">
      <w:pPr>
        <w:ind w:left="5529"/>
      </w:pPr>
      <w:r w:rsidRPr="005F41F5">
        <w:t>Δread = 0.01</w:t>
      </w:r>
    </w:p>
    <w:p w:rsidR="005F41F5" w:rsidRDefault="005F41F5" w:rsidP="005F41F5">
      <w:pPr>
        <w:ind w:left="5529"/>
      </w:pPr>
      <w:r w:rsidRPr="005F41F5">
        <w:t>Δtotal = 0.071</w:t>
      </w:r>
    </w:p>
    <w:p w:rsidR="000E11AD" w:rsidRDefault="007620EA" w:rsidP="00844266">
      <w:pPr>
        <w:ind w:left="5529"/>
      </w:pPr>
      <w:r>
        <w:rPr>
          <w:rFonts w:cstheme="minorHAnsi"/>
        </w:rPr>
        <w:t>∆</w:t>
      </w:r>
      <w:r>
        <w:t>% = 1.42%</w:t>
      </w:r>
    </w:p>
    <w:p w:rsidR="000E11AD" w:rsidRDefault="000E11AD" w:rsidP="000E11AD">
      <w:pPr>
        <w:pStyle w:val="Heading1"/>
      </w:pPr>
      <w:r>
        <w:t>Graph:</w:t>
      </w:r>
    </w:p>
    <w:p w:rsidR="004E3131" w:rsidRPr="00844266" w:rsidRDefault="00844266" w:rsidP="00844266">
      <w:r>
        <w:rPr>
          <w:noProof/>
        </w:rPr>
        <w:drawing>
          <wp:anchor distT="0" distB="0" distL="114300" distR="114300" simplePos="0" relativeHeight="251658240" behindDoc="1" locked="0" layoutInCell="1" allowOverlap="1" wp14:anchorId="6F65D670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3854450" cy="2286000"/>
            <wp:effectExtent l="0" t="0" r="12700" b="0"/>
            <wp:wrapTight wrapText="bothSides">
              <wp:wrapPolygon edited="0">
                <wp:start x="0" y="0"/>
                <wp:lineTo x="0" y="21420"/>
                <wp:lineTo x="21564" y="21420"/>
                <wp:lineTo x="21564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9DFEB2-4B1C-4731-8890-FAB52FBD81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131">
        <w:br w:type="textWrapping" w:clear="all"/>
      </w:r>
      <w:r w:rsidR="009A1943">
        <w:t xml:space="preserve">gradient = </w:t>
      </w:r>
      <w:r w:rsidR="009A1943" w:rsidRPr="009A1943">
        <w:t>2.432703936</w:t>
      </w:r>
      <w:r w:rsidR="00EF4D27">
        <w:t xml:space="preserve"> As</w:t>
      </w:r>
      <w:r w:rsidR="00EF4D27">
        <w:rPr>
          <w:vertAlign w:val="superscript"/>
        </w:rPr>
        <w:t>-1</w:t>
      </w:r>
    </w:p>
    <w:p w:rsidR="007620EA" w:rsidRPr="007620EA" w:rsidRDefault="007620EA" w:rsidP="007620EA">
      <w:pPr>
        <w:spacing w:after="0"/>
        <w:rPr>
          <w:rFonts w:ascii="Calibri" w:eastAsia="Times New Roman" w:hAnsi="Calibri" w:cs="Calibri"/>
          <w:color w:val="000000"/>
          <w:lang w:eastAsia="en-GB"/>
        </w:rPr>
      </w:pPr>
      <w:r>
        <w:t xml:space="preserve">intercept = </w:t>
      </w:r>
      <w:r w:rsidRPr="007620EA">
        <w:rPr>
          <w:rFonts w:ascii="Calibri" w:eastAsia="Times New Roman" w:hAnsi="Calibri" w:cs="Calibri"/>
          <w:color w:val="000000"/>
          <w:lang w:eastAsia="en-GB"/>
        </w:rPr>
        <w:t>-7.52532</w:t>
      </w:r>
      <w:r w:rsidR="00EF4D27">
        <w:rPr>
          <w:rFonts w:ascii="Calibri" w:eastAsia="Times New Roman" w:hAnsi="Calibri" w:cs="Calibri"/>
          <w:color w:val="000000"/>
          <w:lang w:eastAsia="en-GB"/>
        </w:rPr>
        <w:t>x10</w:t>
      </w:r>
      <w:r w:rsidRPr="00EF4D27">
        <w:rPr>
          <w:rFonts w:ascii="Calibri" w:eastAsia="Times New Roman" w:hAnsi="Calibri" w:cs="Calibri"/>
          <w:color w:val="000000"/>
          <w:vertAlign w:val="superscript"/>
          <w:lang w:eastAsia="en-GB"/>
        </w:rPr>
        <w:t>-5</w:t>
      </w:r>
      <w:r w:rsidR="00EF4D27">
        <w:rPr>
          <w:rFonts w:ascii="Calibri" w:eastAsia="Times New Roman" w:hAnsi="Calibri" w:cs="Calibri"/>
          <w:color w:val="000000"/>
          <w:lang w:eastAsia="en-GB"/>
        </w:rPr>
        <w:t xml:space="preserve"> A</w:t>
      </w:r>
    </w:p>
    <w:p w:rsidR="00EF4D27" w:rsidRDefault="007620EA" w:rsidP="00EF4D27">
      <w:pPr>
        <w:spacing w:after="0"/>
        <w:rPr>
          <w:vertAlign w:val="superscript"/>
        </w:rPr>
      </w:pPr>
      <w:r>
        <w:rPr>
          <w:rFonts w:cstheme="minorHAnsi"/>
        </w:rPr>
        <w:t>∆</w:t>
      </w:r>
      <w:r>
        <w:t xml:space="preserve"> gradient = </w:t>
      </w:r>
      <w:r w:rsidRPr="007620EA">
        <w:rPr>
          <w:rFonts w:ascii="Calibri" w:eastAsia="Times New Roman" w:hAnsi="Calibri" w:cs="Calibri"/>
          <w:color w:val="000000"/>
          <w:lang w:eastAsia="en-GB"/>
        </w:rPr>
        <w:t>0.044827</w:t>
      </w:r>
      <w:r w:rsidR="00EF4D27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EF4D27">
        <w:t>As</w:t>
      </w:r>
      <w:r w:rsidR="00EF4D27">
        <w:rPr>
          <w:vertAlign w:val="superscript"/>
        </w:rPr>
        <w:t>-1</w:t>
      </w:r>
    </w:p>
    <w:p w:rsidR="00CA4847" w:rsidRDefault="003F3384" w:rsidP="00844266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cstheme="minorHAnsi"/>
        </w:rPr>
        <w:t>%∆</w:t>
      </w:r>
      <w:r>
        <w:t xml:space="preserve"> gradient = </w:t>
      </w:r>
      <w:r w:rsidRPr="003F3384">
        <w:rPr>
          <w:rFonts w:ascii="Calibri" w:eastAsia="Times New Roman" w:hAnsi="Calibri" w:cs="Calibri"/>
          <w:color w:val="000000"/>
          <w:lang w:eastAsia="en-GB"/>
        </w:rPr>
        <w:t>1.84269847</w:t>
      </w:r>
      <w:r w:rsidR="00844266">
        <w:rPr>
          <w:rFonts w:ascii="Calibri" w:eastAsia="Times New Roman" w:hAnsi="Calibri" w:cs="Calibri"/>
          <w:color w:val="000000"/>
          <w:lang w:eastAsia="en-GB"/>
        </w:rPr>
        <w:t xml:space="preserve">5 </w:t>
      </w:r>
      <m:oMath>
        <m:r>
          <w:rPr>
            <w:rFonts w:ascii="Cambria Math" w:eastAsia="Times New Roman" w:hAnsi="Cambria Math" w:cs="Calibri"/>
            <w:color w:val="000000"/>
            <w:lang w:eastAsia="en-GB"/>
          </w:rPr>
          <m:t>≈</m:t>
        </m:r>
      </m:oMath>
      <w:r w:rsidR="00844266">
        <w:rPr>
          <w:rFonts w:ascii="Calibri" w:eastAsia="Times New Roman" w:hAnsi="Calibri" w:cs="Calibri"/>
          <w:color w:val="000000"/>
          <w:lang w:eastAsia="en-GB"/>
        </w:rPr>
        <w:t xml:space="preserve"> 1.84%</w:t>
      </w:r>
    </w:p>
    <w:p w:rsidR="005B68B0" w:rsidRPr="00CA4847" w:rsidRDefault="00CA4847" w:rsidP="00CA4847">
      <w:pPr>
        <w:rPr>
          <w:lang w:eastAsia="en-GB"/>
        </w:rPr>
      </w:pPr>
      <w:r>
        <w:rPr>
          <w:lang w:eastAsia="en-GB"/>
        </w:rPr>
        <w:br w:type="page"/>
      </w:r>
    </w:p>
    <w:p w:rsidR="00EF4D27" w:rsidRDefault="00EF4D27" w:rsidP="00EF4D27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Calculations: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8"/>
        <w:gridCol w:w="4178"/>
      </w:tblGrid>
      <w:tr w:rsidR="0025415D" w:rsidTr="0025415D">
        <w:tc>
          <w:tcPr>
            <w:tcW w:w="4838" w:type="dxa"/>
          </w:tcPr>
          <w:p w:rsidR="0025415D" w:rsidRPr="00D10892" w:rsidRDefault="0025415D" w:rsidP="00CB5A1C">
            <w:pPr>
              <w:jc w:val="center"/>
              <w:rPr>
                <w:rFonts w:eastAsiaTheme="minorEastAsia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GB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eastAsia="en-GB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  <w:lang w:eastAsia="en-GB"/>
                  </w:rPr>
                  <m:t>=2πfL</m:t>
                </m:r>
              </m:oMath>
            </m:oMathPara>
          </w:p>
          <w:p w:rsidR="0025415D" w:rsidRPr="00EF4D27" w:rsidRDefault="0025415D" w:rsidP="00CB5A1C">
            <w:pPr>
              <w:rPr>
                <w:rFonts w:eastAsiaTheme="minorEastAsia"/>
                <w:lang w:eastAsia="en-GB"/>
              </w:rPr>
            </w:pPr>
          </w:p>
          <w:p w:rsidR="0025415D" w:rsidRPr="00D10892" w:rsidRDefault="0025415D" w:rsidP="00CB5A1C">
            <w:pPr>
              <w:rPr>
                <w:rFonts w:eastAsiaTheme="minorEastAsia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I∝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en-GB"/>
                      </w:rPr>
                      <m:t>f</m:t>
                    </m:r>
                  </m:den>
                </m:f>
              </m:oMath>
            </m:oMathPara>
          </w:p>
          <w:p w:rsidR="0025415D" w:rsidRPr="00EF4D27" w:rsidRDefault="0025415D" w:rsidP="00CB5A1C">
            <w:pPr>
              <w:rPr>
                <w:rFonts w:eastAsiaTheme="minorEastAsia"/>
                <w:lang w:eastAsia="en-GB"/>
              </w:rPr>
            </w:pPr>
          </w:p>
          <w:p w:rsidR="0025415D" w:rsidRPr="00EF4D27" w:rsidRDefault="0025415D" w:rsidP="00CB5A1C">
            <w:pPr>
              <w:rPr>
                <w:rFonts w:eastAsiaTheme="minorEastAsia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GB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eastAsia="en-GB"/>
                      </w:rPr>
                      <m:t>2πL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en-GB"/>
                      </w:rPr>
                      <m:t>f</m:t>
                    </m:r>
                  </m:den>
                </m:f>
              </m:oMath>
            </m:oMathPara>
          </w:p>
          <w:p w:rsidR="0025415D" w:rsidRPr="00D10892" w:rsidRDefault="0025415D" w:rsidP="00CB5A1C">
            <w:pPr>
              <w:rPr>
                <w:rFonts w:eastAsiaTheme="minorEastAsia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y=mx+C</m:t>
                </m:r>
              </m:oMath>
            </m:oMathPara>
          </w:p>
          <w:p w:rsidR="0025415D" w:rsidRPr="00EF4D27" w:rsidRDefault="0025415D" w:rsidP="00CB5A1C">
            <w:pPr>
              <w:rPr>
                <w:rFonts w:eastAsiaTheme="minorEastAsia"/>
                <w:lang w:eastAsia="en-GB"/>
              </w:rPr>
            </w:pPr>
          </w:p>
          <w:p w:rsidR="0025415D" w:rsidRPr="00D10892" w:rsidRDefault="0025415D" w:rsidP="00CB5A1C">
            <w:pPr>
              <w:rPr>
                <w:rFonts w:eastAsiaTheme="minorEastAsia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GB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eastAsia="en-GB"/>
                      </w:rPr>
                      <m:t>2πL</m:t>
                    </m:r>
                  </m:den>
                </m:f>
              </m:oMath>
            </m:oMathPara>
          </w:p>
          <w:p w:rsidR="0025415D" w:rsidRPr="00D10892" w:rsidRDefault="0025415D" w:rsidP="00CB5A1C">
            <w:pPr>
              <w:rPr>
                <w:rFonts w:eastAsiaTheme="minorEastAsia"/>
                <w:lang w:eastAsia="en-GB"/>
              </w:rPr>
            </w:pPr>
          </w:p>
          <w:p w:rsidR="0025415D" w:rsidRPr="00D10892" w:rsidRDefault="0025415D" w:rsidP="00CB5A1C">
            <w:pPr>
              <w:rPr>
                <w:rFonts w:eastAsiaTheme="minorEastAsia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eastAsia="en-GB"/>
                  </w:rPr>
                  <m:t>L=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en-GB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en-GB"/>
                      </w:rPr>
                      <m:t>2πm</m:t>
                    </m:r>
                  </m:den>
                </m:f>
                <m:r>
                  <w:rPr>
                    <w:rFonts w:ascii="Cambria Math" w:eastAsiaTheme="minorEastAsia" w:hAnsi="Cambria Math"/>
                    <w:lang w:eastAsia="en-GB"/>
                  </w:rPr>
                  <m:t>=0.32711…</m:t>
                </m:r>
              </m:oMath>
            </m:oMathPara>
          </w:p>
          <w:p w:rsidR="0025415D" w:rsidRPr="00B41F35" w:rsidRDefault="0025415D" w:rsidP="00D10892">
            <w:pPr>
              <w:rPr>
                <w:rFonts w:eastAsiaTheme="minorEastAsia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eastAsia="en-GB"/>
                  </w:rPr>
                  <m:t>≈0.327H</m:t>
                </m:r>
              </m:oMath>
            </m:oMathPara>
          </w:p>
        </w:tc>
        <w:tc>
          <w:tcPr>
            <w:tcW w:w="4178" w:type="dxa"/>
          </w:tcPr>
          <w:p w:rsidR="0025415D" w:rsidRPr="00CB5A1C" w:rsidRDefault="00CB5A1C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lang w:eastAsia="en-GB"/>
                  </w:rPr>
                  <m:t>ΔT=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n-GB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en-GB"/>
                              </w:rPr>
                              <m:t>%Δm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eastAsia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en-GB"/>
                              </w:rPr>
                              <m:t>%ΔV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eastAsia="en-GB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CB5A1C" w:rsidRDefault="00CB5A1C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</w:p>
          <w:p w:rsidR="00CB5A1C" w:rsidRPr="003F3384" w:rsidRDefault="00F2577C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lang w:eastAsia="en-GB"/>
                  </w:rPr>
                  <m:t xml:space="preserve">       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en-GB"/>
                          </w:rPr>
                          <m:t>1.84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eastAsia="en-GB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en-GB"/>
                          </w:rPr>
                          <m:t>+1.42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eastAsia="en-GB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3F3384" w:rsidRDefault="003F3384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</w:p>
          <w:p w:rsidR="00F2577C" w:rsidRDefault="00F2577C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  <w:r>
              <w:rPr>
                <w:rFonts w:ascii="Calibri Light" w:eastAsia="Times New Roman" w:hAnsi="Calibri Light" w:cs="Times New Roman"/>
                <w:lang w:eastAsia="en-GB"/>
              </w:rPr>
              <w:t xml:space="preserve">       </w:t>
            </w:r>
            <m:oMath>
              <m:r>
                <w:rPr>
                  <w:rFonts w:ascii="Cambria Math" w:eastAsia="Times New Roman" w:hAnsi="Cambria Math" w:cs="Times New Roman"/>
                  <w:lang w:eastAsia="en-GB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lang w:eastAsia="en-GB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lang w:eastAsia="en-GB"/>
                    </w:rPr>
                    <m:t>5.402</m:t>
                  </m:r>
                </m:e>
              </m:rad>
            </m:oMath>
          </w:p>
          <w:p w:rsidR="00F2577C" w:rsidRDefault="00F2577C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</w:p>
          <w:p w:rsidR="00F2577C" w:rsidRDefault="00F2577C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  <w:r>
              <w:rPr>
                <w:rFonts w:ascii="Calibri Light" w:eastAsia="Times New Roman" w:hAnsi="Calibri Light" w:cs="Times New Roman"/>
                <w:lang w:eastAsia="en-GB"/>
              </w:rPr>
              <w:t xml:space="preserve">       </w:t>
            </w:r>
            <m:oMath>
              <m:r>
                <w:rPr>
                  <w:rFonts w:ascii="Cambria Math" w:eastAsia="Times New Roman" w:hAnsi="Cambria Math" w:cs="Times New Roman"/>
                  <w:lang w:eastAsia="en-GB"/>
                </w:rPr>
                <m:t>=2.3242202…</m:t>
              </m:r>
            </m:oMath>
          </w:p>
          <w:p w:rsidR="00F2577C" w:rsidRDefault="00F2577C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</w:p>
          <w:p w:rsidR="00F2577C" w:rsidRDefault="00F2577C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  <w:r>
              <w:rPr>
                <w:rFonts w:ascii="Calibri Light" w:eastAsia="Times New Roman" w:hAnsi="Calibri Light" w:cs="Times New Roman"/>
                <w:lang w:eastAsia="en-GB"/>
              </w:rPr>
              <w:t xml:space="preserve">       </w:t>
            </w:r>
            <m:oMath>
              <m:r>
                <w:rPr>
                  <w:rFonts w:ascii="Cambria Math" w:eastAsia="Times New Roman" w:hAnsi="Cambria Math" w:cs="Times New Roman"/>
                  <w:lang w:eastAsia="en-GB"/>
                </w:rPr>
                <m:t>≈2.32%</m:t>
              </m:r>
            </m:oMath>
          </w:p>
          <w:p w:rsidR="00002700" w:rsidRDefault="00002700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</w:p>
          <w:p w:rsidR="00002700" w:rsidRPr="00002700" w:rsidRDefault="00002700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lang w:eastAsia="en-GB"/>
                  </w:rPr>
                  <m:t>ΔT=0.0075864</m:t>
                </m:r>
              </m:oMath>
            </m:oMathPara>
          </w:p>
          <w:p w:rsidR="00002700" w:rsidRPr="00002700" w:rsidRDefault="00002700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lang w:eastAsia="en-GB"/>
                  </w:rPr>
                  <m:t xml:space="preserve">       ≈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8×10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-3</m:t>
                    </m:r>
                  </m:sup>
                </m:sSup>
              </m:oMath>
            </m:oMathPara>
          </w:p>
        </w:tc>
      </w:tr>
    </w:tbl>
    <w:p w:rsidR="00D10892" w:rsidRDefault="00D10892" w:rsidP="00D10892">
      <w:pPr>
        <w:rPr>
          <w:lang w:eastAsia="en-GB"/>
        </w:rPr>
      </w:pPr>
    </w:p>
    <w:p w:rsidR="00844266" w:rsidRDefault="0015550B" w:rsidP="00844266">
      <w:pPr>
        <w:pStyle w:val="Heading1"/>
        <w:rPr>
          <w:lang w:eastAsia="en-GB"/>
        </w:rPr>
      </w:pPr>
      <w:r>
        <w:rPr>
          <w:lang w:eastAsia="en-GB"/>
        </w:rPr>
        <w:t>Conclusion:</w:t>
      </w:r>
    </w:p>
    <w:p w:rsidR="0015550B" w:rsidRDefault="003D7027" w:rsidP="0015550B">
      <w:pPr>
        <w:rPr>
          <w:lang w:eastAsia="en-GB"/>
        </w:rPr>
      </w:pPr>
      <w:r>
        <w:rPr>
          <w:lang w:eastAsia="en-GB"/>
        </w:rPr>
        <w:t>The</w:t>
      </w:r>
      <w:r w:rsidR="00A6697D">
        <w:rPr>
          <w:lang w:eastAsia="en-GB"/>
        </w:rPr>
        <w:t xml:space="preserve"> average</w:t>
      </w:r>
      <w:r>
        <w:rPr>
          <w:lang w:eastAsia="en-GB"/>
        </w:rPr>
        <w:t xml:space="preserve"> inductance of the inductor was 0.327</w:t>
      </w:r>
      <m:oMath>
        <m:r>
          <w:rPr>
            <w:rFonts w:ascii="Cambria Math" w:hAnsi="Cambria Math"/>
            <w:lang w:eastAsia="en-GB"/>
          </w:rPr>
          <m:t>±</m:t>
        </m:r>
      </m:oMath>
      <w:r w:rsidR="00002700">
        <w:rPr>
          <w:rFonts w:eastAsiaTheme="minorEastAsia"/>
          <w:lang w:eastAsia="en-GB"/>
        </w:rPr>
        <w:t>8x10</w:t>
      </w:r>
      <w:r w:rsidR="00002700">
        <w:rPr>
          <w:rFonts w:eastAsiaTheme="minorEastAsia"/>
          <w:vertAlign w:val="superscript"/>
          <w:lang w:eastAsia="en-GB"/>
        </w:rPr>
        <w:t>-3</w:t>
      </w:r>
      <w:r>
        <w:rPr>
          <w:lang w:eastAsia="en-GB"/>
        </w:rPr>
        <w:t xml:space="preserve"> H</w:t>
      </w:r>
      <w:r w:rsidR="00A6697D">
        <w:rPr>
          <w:lang w:eastAsia="en-GB"/>
        </w:rPr>
        <w:t xml:space="preserve"> over a range of 4.5-1.5 KHz</w:t>
      </w:r>
    </w:p>
    <w:p w:rsidR="0015550B" w:rsidRDefault="0015550B" w:rsidP="0015550B">
      <w:pPr>
        <w:pStyle w:val="Heading1"/>
        <w:rPr>
          <w:lang w:eastAsia="en-GB"/>
        </w:rPr>
      </w:pPr>
      <w:r>
        <w:rPr>
          <w:lang w:eastAsia="en-GB"/>
        </w:rPr>
        <w:t>Evaluation:</w:t>
      </w:r>
    </w:p>
    <w:p w:rsidR="00590CF5" w:rsidRDefault="0015550B" w:rsidP="0015550B">
      <w:pPr>
        <w:rPr>
          <w:lang w:eastAsia="en-GB"/>
        </w:rPr>
      </w:pPr>
      <w:r>
        <w:rPr>
          <w:lang w:eastAsia="en-GB"/>
        </w:rPr>
        <w:t>Looking at the graph reveals that there was a systematic error in the experiment as the line of best fit does not go through the origin</w:t>
      </w:r>
      <w:r w:rsidR="000A353E">
        <w:rPr>
          <w:lang w:eastAsia="en-GB"/>
        </w:rPr>
        <w:t>, the intercept</w:t>
      </w:r>
      <w:r w:rsidR="003B7D9C">
        <w:rPr>
          <w:lang w:eastAsia="en-GB"/>
        </w:rPr>
        <w:t xml:space="preserve"> is </w:t>
      </w:r>
      <w:r w:rsidR="003B7D9C">
        <w:rPr>
          <w:rFonts w:cstheme="minorHAnsi"/>
          <w:lang w:eastAsia="en-GB"/>
        </w:rPr>
        <w:t>≈</w:t>
      </w:r>
      <w:r w:rsidR="003B7D9C">
        <w:rPr>
          <w:lang w:eastAsia="en-GB"/>
        </w:rPr>
        <w:t>-7.5x10</w:t>
      </w:r>
      <w:r w:rsidR="003B7D9C">
        <w:rPr>
          <w:vertAlign w:val="superscript"/>
          <w:lang w:eastAsia="en-GB"/>
        </w:rPr>
        <w:t>-5</w:t>
      </w:r>
      <w:r w:rsidR="003B7D9C">
        <w:rPr>
          <w:lang w:eastAsia="en-GB"/>
        </w:rPr>
        <w:t xml:space="preserve"> when it should be 0</w:t>
      </w:r>
      <w:r>
        <w:rPr>
          <w:lang w:eastAsia="en-GB"/>
        </w:rPr>
        <w:t xml:space="preserve">. To reduce this </w:t>
      </w:r>
      <w:r w:rsidR="004844CE">
        <w:rPr>
          <w:lang w:eastAsia="en-GB"/>
        </w:rPr>
        <w:t>error,</w:t>
      </w:r>
      <w:r w:rsidR="00461D06">
        <w:rPr>
          <w:lang w:eastAsia="en-GB"/>
        </w:rPr>
        <w:t xml:space="preserve"> I </w:t>
      </w:r>
      <w:r w:rsidR="006939EA">
        <w:rPr>
          <w:lang w:eastAsia="en-GB"/>
        </w:rPr>
        <w:t xml:space="preserve">could have used a more modern signal generator as while I used the oscilloscope to double check the frequency and the voltmeter to double check the voltage, these values weren’t exactly on the desired ones and they constantly fluctuated slightly, using a </w:t>
      </w:r>
      <w:r w:rsidR="00005A85">
        <w:rPr>
          <w:lang w:eastAsia="en-GB"/>
        </w:rPr>
        <w:t>more modern signal generator would likely reduce this effect.</w:t>
      </w:r>
    </w:p>
    <w:p w:rsidR="0015550B" w:rsidRDefault="00005A85" w:rsidP="0015550B">
      <w:pPr>
        <w:rPr>
          <w:lang w:eastAsia="en-GB"/>
        </w:rPr>
      </w:pPr>
      <w:r>
        <w:rPr>
          <w:lang w:eastAsia="en-GB"/>
        </w:rPr>
        <w:t xml:space="preserve">I </w:t>
      </w:r>
      <w:r w:rsidR="00461D06">
        <w:rPr>
          <w:lang w:eastAsia="en-GB"/>
        </w:rPr>
        <w:t xml:space="preserve">would </w:t>
      </w:r>
      <w:r w:rsidR="00590CF5">
        <w:rPr>
          <w:lang w:eastAsia="en-GB"/>
        </w:rPr>
        <w:t xml:space="preserve">also </w:t>
      </w:r>
      <w:r w:rsidR="00461D06">
        <w:rPr>
          <w:lang w:eastAsia="en-GB"/>
        </w:rPr>
        <w:t>lower the range to around 150Hz as the given value for the inductance of the inductor I used was 0.5H at 50Hz</w:t>
      </w:r>
      <w:r w:rsidR="005C7AB1">
        <w:rPr>
          <w:lang w:eastAsia="en-GB"/>
        </w:rPr>
        <w:t>.</w:t>
      </w:r>
      <w:r w:rsidR="00590CF5">
        <w:rPr>
          <w:lang w:eastAsia="en-GB"/>
        </w:rPr>
        <w:t xml:space="preserve"> This may not decrease the uncertainty but </w:t>
      </w:r>
      <w:r w:rsidR="00CC07D4">
        <w:rPr>
          <w:lang w:eastAsia="en-GB"/>
        </w:rPr>
        <w:t>it would make analysing the results easier.</w:t>
      </w:r>
    </w:p>
    <w:p w:rsidR="005B6A08" w:rsidRDefault="005B6A08" w:rsidP="0015550B">
      <w:pPr>
        <w:rPr>
          <w:lang w:eastAsia="en-GB"/>
        </w:rPr>
      </w:pPr>
    </w:p>
    <w:p w:rsidR="005B6A08" w:rsidRDefault="005B6A08" w:rsidP="005B6A08">
      <w:pPr>
        <w:pStyle w:val="Heading1"/>
        <w:rPr>
          <w:lang w:eastAsia="en-GB"/>
        </w:rPr>
      </w:pPr>
      <w:r>
        <w:rPr>
          <w:lang w:eastAsia="en-GB"/>
        </w:rPr>
        <w:t>References:</w:t>
      </w:r>
    </w:p>
    <w:p w:rsidR="005B6A08" w:rsidRDefault="000A6261" w:rsidP="005B6A08">
      <w:pPr>
        <w:rPr>
          <w:lang w:eastAsia="en-GB"/>
        </w:rPr>
      </w:pPr>
      <w:hyperlink r:id="rId9" w:history="1">
        <w:r w:rsidR="005B6A08" w:rsidRPr="001D0250">
          <w:rPr>
            <w:rStyle w:val="Hyperlink"/>
            <w:lang w:eastAsia="en-GB"/>
          </w:rPr>
          <w:t>https://en.wikipedia.org/wiki/Faraday%27s_law_of_induction</w:t>
        </w:r>
      </w:hyperlink>
    </w:p>
    <w:p w:rsidR="002C7CAD" w:rsidRDefault="002C7CAD" w:rsidP="005B6A08">
      <w:pPr>
        <w:rPr>
          <w:lang w:eastAsia="en-GB"/>
        </w:rPr>
      </w:pPr>
      <w:r w:rsidRPr="002C7CAD">
        <w:rPr>
          <w:lang w:eastAsia="en-GB"/>
        </w:rPr>
        <w:t>https://en.wikipedia.org/wiki/Electrical_reactance</w:t>
      </w:r>
    </w:p>
    <w:p w:rsidR="005B6A08" w:rsidRPr="005B6A08" w:rsidRDefault="005B6A08" w:rsidP="005B6A08">
      <w:pPr>
        <w:rPr>
          <w:lang w:eastAsia="en-GB"/>
        </w:rPr>
      </w:pPr>
      <w:r w:rsidRPr="005B6A08">
        <w:rPr>
          <w:lang w:eastAsia="en-GB"/>
        </w:rPr>
        <w:t>http://hyperphysics.phy-astr.gsu.edu/hbase/hframe.html</w:t>
      </w:r>
    </w:p>
    <w:sectPr w:rsidR="005B6A08" w:rsidRPr="005B6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261" w:rsidRDefault="000A6261" w:rsidP="004E3131">
      <w:pPr>
        <w:spacing w:after="0" w:line="240" w:lineRule="auto"/>
      </w:pPr>
      <w:r>
        <w:separator/>
      </w:r>
    </w:p>
  </w:endnote>
  <w:endnote w:type="continuationSeparator" w:id="0">
    <w:p w:rsidR="000A6261" w:rsidRDefault="000A6261" w:rsidP="004E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261" w:rsidRDefault="000A6261" w:rsidP="004E3131">
      <w:pPr>
        <w:spacing w:after="0" w:line="240" w:lineRule="auto"/>
      </w:pPr>
      <w:r>
        <w:separator/>
      </w:r>
    </w:p>
  </w:footnote>
  <w:footnote w:type="continuationSeparator" w:id="0">
    <w:p w:rsidR="000A6261" w:rsidRDefault="000A6261" w:rsidP="004E3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06BA7"/>
    <w:multiLevelType w:val="hybridMultilevel"/>
    <w:tmpl w:val="7F86C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96422"/>
    <w:multiLevelType w:val="hybridMultilevel"/>
    <w:tmpl w:val="50647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yMDQxMTWxMDc3MTVS0lEKTi0uzszPAykwrwUAJKHHrSwAAAA="/>
  </w:docVars>
  <w:rsids>
    <w:rsidRoot w:val="006A4691"/>
    <w:rsid w:val="000010C9"/>
    <w:rsid w:val="00002700"/>
    <w:rsid w:val="00005A85"/>
    <w:rsid w:val="00014D47"/>
    <w:rsid w:val="0003699D"/>
    <w:rsid w:val="000931FB"/>
    <w:rsid w:val="000A353E"/>
    <w:rsid w:val="000A6261"/>
    <w:rsid w:val="000D7E33"/>
    <w:rsid w:val="000E11AD"/>
    <w:rsid w:val="00106DA3"/>
    <w:rsid w:val="0015550B"/>
    <w:rsid w:val="00210984"/>
    <w:rsid w:val="002504DF"/>
    <w:rsid w:val="0025415D"/>
    <w:rsid w:val="00276D23"/>
    <w:rsid w:val="002A47B8"/>
    <w:rsid w:val="002C7CAD"/>
    <w:rsid w:val="002E39C1"/>
    <w:rsid w:val="0033455C"/>
    <w:rsid w:val="003972BB"/>
    <w:rsid w:val="003B363B"/>
    <w:rsid w:val="003B7D9C"/>
    <w:rsid w:val="003D7027"/>
    <w:rsid w:val="003E7A6C"/>
    <w:rsid w:val="003F3384"/>
    <w:rsid w:val="00461D06"/>
    <w:rsid w:val="004844CE"/>
    <w:rsid w:val="00495E71"/>
    <w:rsid w:val="004E3131"/>
    <w:rsid w:val="005450EE"/>
    <w:rsid w:val="00590CF5"/>
    <w:rsid w:val="005B68B0"/>
    <w:rsid w:val="005B6A08"/>
    <w:rsid w:val="005C7AB1"/>
    <w:rsid w:val="005F41F5"/>
    <w:rsid w:val="006939EA"/>
    <w:rsid w:val="006A4691"/>
    <w:rsid w:val="006D7701"/>
    <w:rsid w:val="00752FE5"/>
    <w:rsid w:val="007620EA"/>
    <w:rsid w:val="00792021"/>
    <w:rsid w:val="00844266"/>
    <w:rsid w:val="00894600"/>
    <w:rsid w:val="009A1943"/>
    <w:rsid w:val="009E1F5C"/>
    <w:rsid w:val="00A24383"/>
    <w:rsid w:val="00A6697D"/>
    <w:rsid w:val="00AB6625"/>
    <w:rsid w:val="00AD32A7"/>
    <w:rsid w:val="00AF0A52"/>
    <w:rsid w:val="00B17F47"/>
    <w:rsid w:val="00B41F35"/>
    <w:rsid w:val="00B94AFA"/>
    <w:rsid w:val="00C90289"/>
    <w:rsid w:val="00CA4847"/>
    <w:rsid w:val="00CB5A1C"/>
    <w:rsid w:val="00CC07D4"/>
    <w:rsid w:val="00D10892"/>
    <w:rsid w:val="00D4661A"/>
    <w:rsid w:val="00ED046B"/>
    <w:rsid w:val="00EF4D27"/>
    <w:rsid w:val="00F135CB"/>
    <w:rsid w:val="00F228B9"/>
    <w:rsid w:val="00F22967"/>
    <w:rsid w:val="00F2577C"/>
    <w:rsid w:val="00F953D3"/>
    <w:rsid w:val="00F97109"/>
    <w:rsid w:val="00FA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363C9-41A8-4E91-8857-7872EE4F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63B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0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6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4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66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3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E3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31"/>
  </w:style>
  <w:style w:type="paragraph" w:styleId="Footer">
    <w:name w:val="footer"/>
    <w:basedOn w:val="Normal"/>
    <w:link w:val="FooterChar"/>
    <w:uiPriority w:val="99"/>
    <w:unhideWhenUsed/>
    <w:rsid w:val="004E3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31"/>
  </w:style>
  <w:style w:type="character" w:customStyle="1" w:styleId="Heading3Char">
    <w:name w:val="Heading 3 Char"/>
    <w:basedOn w:val="DefaultParagraphFont"/>
    <w:link w:val="Heading3"/>
    <w:uiPriority w:val="9"/>
    <w:rsid w:val="000010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10892"/>
    <w:rPr>
      <w:color w:val="808080"/>
    </w:rPr>
  </w:style>
  <w:style w:type="table" w:styleId="TableGrid">
    <w:name w:val="Table Grid"/>
    <w:basedOn w:val="TableNormal"/>
    <w:uiPriority w:val="39"/>
    <w:rsid w:val="0025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6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A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araday%27s_law_of_induction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ni\Documents\GitHub\AH-Physics-Project\experimen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Current by Period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1.9000000000000006E-4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Sheet1!$B$3:$B$9</c:f>
              <c:numCache>
                <c:formatCode>General</c:formatCode>
                <c:ptCount val="7"/>
                <c:pt idx="0">
                  <c:v>2.2222222222222223E-4</c:v>
                </c:pt>
                <c:pt idx="1">
                  <c:v>2.5000000000000001E-4</c:v>
                </c:pt>
                <c:pt idx="2">
                  <c:v>2.8571428571428574E-4</c:v>
                </c:pt>
                <c:pt idx="3">
                  <c:v>3.3333333333333332E-4</c:v>
                </c:pt>
                <c:pt idx="4">
                  <c:v>4.0000000000000002E-4</c:v>
                </c:pt>
                <c:pt idx="5">
                  <c:v>5.0000000000000001E-4</c:v>
                </c:pt>
                <c:pt idx="6">
                  <c:v>6.6666666666666664E-4</c:v>
                </c:pt>
              </c:numCache>
            </c:numRef>
          </c:xVal>
          <c:yVal>
            <c:numRef>
              <c:f>Sheet1!$R$3:$R$9</c:f>
              <c:numCache>
                <c:formatCode>General</c:formatCode>
                <c:ptCount val="7"/>
                <c:pt idx="0">
                  <c:v>4.4400000000000006E-4</c:v>
                </c:pt>
                <c:pt idx="1">
                  <c:v>5.2559999999999998E-4</c:v>
                </c:pt>
                <c:pt idx="2">
                  <c:v>6.2219999999999994E-4</c:v>
                </c:pt>
                <c:pt idx="3">
                  <c:v>7.4980000000000001E-4</c:v>
                </c:pt>
                <c:pt idx="4">
                  <c:v>9.1780000000000008E-4</c:v>
                </c:pt>
                <c:pt idx="5">
                  <c:v>1.1506000000000001E-3</c:v>
                </c:pt>
                <c:pt idx="6">
                  <c:v>1.5291999999999999E-3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8E-4D0B-A5E0-F2FCA74A17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6183424"/>
        <c:axId val="536185064"/>
      </c:scatterChart>
      <c:valAx>
        <c:axId val="536183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1/f</a:t>
                </a:r>
                <a:r>
                  <a:rPr lang="en-GB" baseline="0"/>
                  <a:t> (s)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185064"/>
        <c:crosses val="autoZero"/>
        <c:crossBetween val="midCat"/>
      </c:valAx>
      <c:valAx>
        <c:axId val="536185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183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63</cp:revision>
  <dcterms:created xsi:type="dcterms:W3CDTF">2017-12-08T10:10:00Z</dcterms:created>
  <dcterms:modified xsi:type="dcterms:W3CDTF">2017-12-15T10:59:00Z</dcterms:modified>
</cp:coreProperties>
</file>