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60" w:before="480"/>
        <w:jc w:val="left"/>
      </w:pPr>
      <w:r>
        <w:rPr>
          <w:rFonts w:ascii="Times New Roman" w:cs="Times New Roman" w:eastAsia="Times New Roman" w:hAnsi="Times New Roman"/>
          <w:b/>
          <w:bCs/>
          <w:sz w:val="36"/>
          <w:szCs w:val="36"/>
        </w:rPr>
        <w:t xml:space="preserve">Chapter 1</w:t>
      </w:r>
    </w:p>
    <w:p>
      <w:pPr>
        <w:spacing w:after="480" w:before="0"/>
        <w:jc w:val="left"/>
      </w:pPr>
      <w:r>
        <w:rPr>
          <w:rFonts w:ascii="Times New Roman" w:cs="Times New Roman" w:eastAsia="Times New Roman" w:hAnsi="Times New Roman"/>
          <w:b/>
          <w:bCs/>
          <w:sz w:val="32"/>
          <w:szCs w:val="32"/>
        </w:rPr>
        <w:t xml:space="preserve">Literature Survey and Problem Setting</w:t>
      </w:r>
    </w:p>
    <w:p>
      <w:pPr>
        <w:pStyle w:val="Heading2"/>
        <w:spacing w:after="200" w:before="360"/>
        <w:jc w:val="left"/>
      </w:pPr>
      <w:r>
        <w:rPr>
          <w:rFonts w:ascii="Times New Roman" w:cs="Times New Roman" w:eastAsia="Times New Roman" w:hAnsi="Times New Roman"/>
          <w:b/>
          <w:bCs/>
          <w:sz w:val="28"/>
          <w:szCs w:val="28"/>
        </w:rPr>
        <w:t xml:space="preserve">1.1  Introduction</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Machine translation is one of the oldest and most active sub-fields of natural language processing. From its origins in the late 1940s as a Cold-War-era cryptographic exercise to the present neural systems that translate at near-human quality between major language pairs, the central problem has remained constant: how can a computational system map a sentence in one natural language to its equivalent in another, preserving meaning while obeying the conventions of the target language? The answer has changed several times. Rule-based systems gave way to statistical methods in the 1990s, statistical methods gave way to neural sequence-to-sequence models in the mid-2010s, and the Transformer architecture has, since 2017, dominated both research and production deployments. Each transition produced large quality gains on resource-rich language pairs such as English-French, English-German, and English-Chinese.</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Yet the gains have been spectacularly uneven. State-of-the-art neural machine translation requires tens of millions of parallel sentence pairs to perform well. For the small number of language pairs where such data exists, translation quality has reached the point where it is sometimes difficult to distinguish machine output from human translations. For the overwhelming majority of the world's roughly seven thousand languages, the parallel data needed simply does not exist. The result is a deep inequity in the technology: speakers of resource-rich languages enjoy fluent automatic translation while speakers of resource-poor languages are largely excluded from a technology that could otherwise broaden their access to information, education, and economic opportunity. Closing this gap is widely regarded as one of the most important open problems in the field.</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Two ideas have emerged as particularly promising responses to this challenge. The first is multilingual neural machine translation, in which a single model is trained on parallel data from many language pairs simultaneously, with the hope that the linguistic information shared across languages can compensate for the scarcity of data in any individual pair. The second is monolingual pretraining, in which the abundant monolingual text available in nearly every language is used to teach a model linguistic representations before any parallel data is seen. When combined, these two ideas can improve low-resource translation quality by an order of magnitude over the bilingual baseline.</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Both ideas, however, rest on a hidden assumption that is increasingly being scrutinized. The assumption is that a single shared encoder, trained on many languages, will learn representations that abstract away from the surface form of any one language and capture instead a language-independent representation of meaning — what an earlier generation of researchers would have called an interlingua. The evidence on this point is mixed. Probing studies have repeatedly shown that the encoder output of a multilingual model retains strong source-language signal, clustering by language family rather than by semantic content. This means that the promised cross-lingual transfer, while real, is incomplete; the encoder is not the language-agnostic semantic representation we hoped it would be. The question of how to make multilingual NMT encoders truly language-agnostic — and whether full agnosticism is even desirable — is currently one of the central architectural questions in the field.</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This thesis addresses that question by proposing a new architectural component, the recursive interlingua layer, which sits between the encoder and the decoder of a multilingual Transformer and applies a variable number of additional Transformer blocks to the encoder output. The number of blocks applied is conditioned on the input itself, so that the model can allocate more abstraction capacity to inputs that require it and less to inputs that do not. The interlingua layer is trained with both the standard translation objective and a denoising auto-encoding objective, and the entire model is initialized from a monolingual-pretrained checkpoint in the style of mBART. The central hypothesis of the thesis is that this combination of architectural and training innovations will produce measurably more language-agnostic representations and measurably better translation in low-resource multilingual settings.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motivation for this work is both scientific and practical. Scientifically, the question of how to architect a multilingual model so that its internal representations approach the classical interlingua ideal remains open after a decade of intense research. Each of the architectural proposals surveyed in this chapter has answered part of the question, but none has answered it completely. A new proposal that combines input-conditioned depth with established training and pretraining techniques offers a fresh angle of attack on a problem that has resisted purely-fixed-architecture solutions. Practically, improving low-resource translation has direct welfare consequences for hundreds of millions of speakers of underserved languages, who currently lack access to the translation technology routinely available to speakers of major European, East Asian, and South Asian languages. Even modest improvements in low-resource translation quality can substantially expand the reach of automatic translation, opening new applications in education, healthcare, and access to information.</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This chapter has two purposes. The first is to survey the literature that situates the proposed contribution within the broader research program of multilingual translation. The survey is organized chronologically and conceptually: from the symbolic interlingua tradition of classical machine translation, through the rise of neural multilingual NMT, to the most recent architectural and training innovations. The second purpose is to formalize the research problem this thesis addresses, articulate the specific gap in the literature, and state the research questions that the subsequent chapters will answer. The chapter closes with a roadmap of the remaining four chapters.</w:t>
      </w:r>
    </w:p>
    <w:p>
      <w:pPr>
        <w:pStyle w:val="Heading3"/>
        <w:spacing w:after="160" w:before="280"/>
        <w:jc w:val="left"/>
      </w:pPr>
      <w:r>
        <w:rPr>
          <w:rFonts w:ascii="Times New Roman" w:cs="Times New Roman" w:eastAsia="Times New Roman" w:hAnsi="Times New Roman"/>
          <w:b/>
          <w:bCs/>
          <w:i/>
          <w:iCs/>
          <w:sz w:val="26"/>
          <w:szCs w:val="26"/>
        </w:rPr>
        <w:t xml:space="preserve">1.1.1  Notation and Conventions</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Throughout this thesis, the following notational conventions are used. A language is denoted ℓ, and the set of languages under consideration is L = {ℓ₁, …, ℓ_K}. A source sentence in language ℓ_i is denoted x^{ℓ_i} or simply x when the language is clear from context; similarly, a target sentence is y^{ℓ_j} or y. A parallel corpus between languages ℓ_i and ℓ_j is D_{ij}, and a monolingual corpus in language ℓ_i is M_i. The full collection of training data is D = ⋃_{i ≠ j} D_{ij} ∪ ⋃_i M_i.</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Neural network components are denoted by capitalized italics: Enc for the encoder, Dec for the decoder, and I for the interlingua module. When language-specific variants are required, subscripts are used: Enc_{ℓ_i} is the encoder specialized for source language ℓ_i. The full model parameters are θ. Intermediate hidden representations are denoted by lowercase bold h, with superscripts indicating layer index (h^(L) for the top layer) and subscripts indicating the sentence (h_x for the representation of sentence x). When the language of a sentence needs to be emphasized in a hidden representation, the notation h^(L)_{x^{ℓ_i}} is used.</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Training objectives are denoted by L with a subscript: L_MT for the maximum-likelihood translation objective, L_DAE for the denoising auto-encoding objective, L_halt for the halting regularization, and L_total for the combined objective. Hyperparameters scaling auxiliary losses are denoted λ and μ. Sentence-level translation quality is evaluated by BLEU, abbreviated B(·,·) where context permits. Representation-quality metrics include SVCCA (singular vector canonical correlation analysis) similarity, denoted s_SVCCA(·,·), and language-identification probing accuracy on intermediate representations, denoted A_LID(·).</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References to prior work follow the convention author (year). When multiple works by the same first author in the same year are cited, they are disambiguated by letter suffix in the order in which they first appear in this thesis (Liu 2021a, Liu 2021b, Liu 2021c). The full bibliography is collected at the end of the thesis.</w:t>
      </w:r>
    </w:p>
    <w:p>
      <w:pPr>
        <w:pStyle w:val="Heading2"/>
        <w:spacing w:after="200" w:before="360"/>
        <w:jc w:val="left"/>
      </w:pPr>
      <w:r>
        <w:rPr>
          <w:rFonts w:ascii="Times New Roman" w:cs="Times New Roman" w:eastAsia="Times New Roman" w:hAnsi="Times New Roman"/>
          <w:b/>
          <w:bCs/>
          <w:sz w:val="28"/>
          <w:szCs w:val="28"/>
        </w:rPr>
        <w:t xml:space="preserve">1.2  The Interlingua Idea: From Symbolic to Neural</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notion of an interlingua predates neural machine translation by more than half a century. To understand the modern revival of this idea, it is useful to begin with its symbolic origins, because the conceptual goals articulated by early researchers remain the goals that contemporary neural systems are attempting to realize.</w:t>
      </w:r>
    </w:p>
    <w:p>
      <w:pPr>
        <w:pStyle w:val="Heading3"/>
        <w:spacing w:after="160" w:before="280"/>
        <w:jc w:val="left"/>
      </w:pPr>
      <w:r>
        <w:rPr>
          <w:rFonts w:ascii="Times New Roman" w:cs="Times New Roman" w:eastAsia="Times New Roman" w:hAnsi="Times New Roman"/>
          <w:b/>
          <w:bCs/>
          <w:i/>
          <w:iCs/>
          <w:sz w:val="26"/>
          <w:szCs w:val="26"/>
        </w:rPr>
        <w:t xml:space="preserve">1.2.1  Classical Interlingua Systems</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earliest explicit proposal for an interlingual approach to machine translation appears in Richens (1958), who suggested that translation between language pairs could be mediated by a language-independent representation of meaning, and that the cost of building translation systems for n languages could thereby be reduced from O(n²) bilingual systems to O(n) analysis and generation modules around a single interlingua. Vauquois (1968) formalized this insight in what is now called the Vauquois triangle, distinguishing three architectures: direct translation, in which the source-language surface form is transformed into the target-language surface form by local rules; transfer-based translation, in which the source is parsed into an abstract representation, transformed into a target-language abstract representation, and generated; and interlingua-based translation, in which the source is mapped into a language-independent representation from which the target is generated. The interlingua sits at the apex of the triangle: the more abstract and language-independent the intermediate representation, the closer the system approaches the interlingua ideal.</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Several substantial interlingua systems were built during the symbolic era. The ATLAS system developed at Fujitsu under Hiroshi Uchida from the mid-1980s implemented an English-Japanese interlingua based on semantic primitives. Uchida went on to direct the Universal Networking Language project, a multipartner initiative that aimed to construct a universal semantic representation grounded in a rich set of word senses drawn from a complete English dictionary, combined via relational symbols such as cause, possession, and agency to compose representations for phrases and sentences. The Lexical Conceptual Structure used in UNITRAN (Dorr, 1992) drew on Jackendoff's theory of conceptual semantics to abstract away language-specific properties from structural idiosyncrasies, producing a compositional representation suitable for translation between divergent languages such as English, Spanish, and German. The KANT system developed at Carnegie Mellon (Mitamura and Nyberg, 1995) applied a controlled-language interlingua approach to technical documentation translation, demonstrating that interlingua-based systems could achieve production-grade quality in restricted domains. Other notable systems include the PIVOT system at NEC, the Rosetta system at Philips, and the Esperanto-based DLT system.</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Across these efforts, a remarkable consensus emerged about what an interlingua should be. Hutchins and Somers (1992), in their survey of the field, articulate five properties: an interlingua should be (i) unambiguous, more explicit even than the natural languages it represents; (ii) content-complete, representing the full morphological, syntactic, semantic, and pragmatic content of the input; (iii) universal, capable of representing the abstract meaning of any text in any domain or language; (iv) faithful to the input content alone, not influenced by the formal representation of that content in the source language; and (v) independent of both source and target languages, so that analysis is source-specific and generation is target-specific, with the interlingua serving as the language-neutral pivot between them. These five properties remain the conceptual benchmark against which contemporary neural interlingua proposals can be measured, even when the systems make no explicit reference to the symbolic tradition.</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Symbolic interlingua systems were eventually superseded by statistical and then neural approaches, not because the interlingua idea itself was wrong, but because the engineering required to build and maintain hand-crafted semantic primitives proved infeasible at scale. Every new domain, every new language, every new genre required substantial human labor to extend the interlingua, and the resulting representations tended to be brittle in the face of linguistic phenomena their designers had not anticipated. By the mid-2000s, phrase-based statistical machine translation (Koehn et al., 2003) had largely displaced symbolic systems in research and industry. Statistical MT had no interlingua at all; it operated entirely at the surface level, learning probabilistic mappings between phrases in parallel corpora. The interlingua program lay dormant for nearly a decade.</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It is worth pausing briefly to characterize what statistical machine translation did and did not contribute to the conceptual landscape of this thesis. Statistical MT, in its dominant phrase-based form, modeled translation as a noisy channel: the probability of a target sentence given a source was decomposed (via Bayes' rule) into a translation model that scored source-target phrase correspondences and a language model that scored target-language fluency. The translation model was learned from parallel data through word and phrase alignment algorithms (Brown et al., 1993; Och and Ney, 2003), and the language model was learned from monolingual target data. In retrospect, the use of monolingual target data via the language model was an early form of what we now call monolingual pretraining; it foreshadowed the more sophisticated use of monolingual data in modern systems.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Statistical MT, however, made no attempt to learn shared cross-lingual representations. Each bilingual system was trained independently of every other, and there was no notion of a representation that abstracted across source languages. Multilingual transfer in statistical MT was achieved, when at all, through pivot translation: training high-quality bilingual systems for ℓ_i–ℓ_pivot and ℓ_pivot–ℓ_j (typically with ℓ_pivot = English) and chaining them at inference time. Pivot translation has the obvious disadvantage of compounding errors and the less obvious disadvantage of being computationally inefficient at deployment. The desire for a direct multilingual model that could avoid pivoting was one of the practical motivations for the neural revival of interlingua research.</w:t>
      </w:r>
    </w:p>
    <w:p>
      <w:pPr>
        <w:pStyle w:val="Heading3"/>
        <w:spacing w:after="160" w:before="280"/>
        <w:jc w:val="left"/>
      </w:pPr>
      <w:r>
        <w:rPr>
          <w:rFonts w:ascii="Times New Roman" w:cs="Times New Roman" w:eastAsia="Times New Roman" w:hAnsi="Times New Roman"/>
          <w:b/>
          <w:bCs/>
          <w:i/>
          <w:iCs/>
          <w:sz w:val="26"/>
          <w:szCs w:val="26"/>
        </w:rPr>
        <w:t xml:space="preserve">1.2.2  The Neural Revival</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neural revival of interlingua research came not from a deliberate attempt to resurrect the program but as an emergent observation. Sutskever et al. (2014) introduced the sequence-to-sequence framework for neural machine translation, in which a recurrent encoder reads the source sentence into a fixed-length vector and a recurrent decoder generates the target sentence from that vector. Bahdanau et al. (2015) extended this with attention, which freed the decoder from depending on a single bottleneck vector and dramatically improved translation quality, particularly for longer sentences. Vaswani et al. (2017) replaced recurrence with self-attention in the Transformer architecture, which has since become the standard backbone for nearly all neural MT systems.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connection to the interlingua tradition emerged in Johnson et al. (2017), who trained a single shared encoder-decoder model on parallel data from multiple language pairs by prepending a target-language token to each source sentence. The remarkable observation was that this single model could translate not only between language pairs seen in training but also between pairs never seen together — a capability they termed zero-shot translation. A model trained on English-Japanese and Korean-English data, for instance, could translate Japanese to Korean directly, without pivoting through English. Johnson et al. interpreted this emergent capability as evidence that the model had learned an implicit interlingual representation: a language-independent abstraction of meaning that the encoder produced and the decoder consumed, regardless of the specific source or target language. The paper triggered a wave of follow-up work attempting to characterize, improve, and exploit this implicit interlingua.</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Subsequent analyses, however, qualified the strong reading of Johnson et al.'s claim. The crucial empirical work was done by Kudugunta et al. (2019), who applied Singular Vector Canonical Correlation Analysis to the internal representations of a massively multilingual model trained on dozens of language pairs. Let h^(L)_x denote the top-layer encoder representation of source sentence x in language ℓ_x. If the encoder were a true interlingua, parallel sentences (x^ℓ₁, x^ℓ₂) expressing the same meaning should produce nearly identical representations regardless of the language of expression. What Kudugunta et al. found was the opposite:</w:t>
      </w:r>
    </w:p>
    <w:p>
      <w:pPr>
        <w:tabs>
          <w:tab w:val="right" w:pos="9000"/>
        </w:tabs>
        <w:spacing w:after="160" w:before="160"/>
        <w:jc w:val="center"/>
      </w:pPr>
      <w:r>
        <w:rPr>
          <w:rFonts w:ascii="Times New Roman" w:cs="Times New Roman" w:eastAsia="Times New Roman" w:hAnsi="Times New Roman"/>
          <w:i/>
          <w:iCs/>
          <w:sz w:val="24"/>
          <w:szCs w:val="24"/>
        </w:rPr>
        <w:t xml:space="preserve">SVCCA(h^(L)_{x^ℓ₁}, h^(L)_{x^ℓ₂})  &lt;  SVCCA(h^(L)_{x^ℓ₁}, h^(L)_{y^ℓ₁})</w:t>
      </w:r>
      <w:r>
        <w:rPr>
          <w:rFonts w:ascii="Times New Roman" w:cs="Times New Roman" w:eastAsia="Times New Roman" w:hAnsi="Times New Roman"/>
          <w:sz w:val="24"/>
          <w:szCs w:val="24"/>
        </w:rPr>
        <w:t xml:space="preserve">	(1.1)</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for unrelated sentences y in the same language as x. That is, encoder representations are more similar across sentences of the same language than across translations of the same sentence. The encoder, despite being shared across many languages, was clustering its outputs by language family rather than by semantic content. The implicit interlingua of Johnson et al. (2017) is therefore at best a partial one: the encoder achieves some degree of cross-lingual abstraction, enough to enable zero-shot translation, but not enough to function as a true language-agnostic semantic representation in the sense envisioned by the classical interlingua tradition.</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This finding has been independently confirmed and extended by many subsequent studies. Pham et al. (2019) showed that the multilingual model captures both language-independent and language-dependent features, and that the former can be prioritized during training through appropriate regularization. Arivazhagan et al. (2019) demonstrated that explicit language invariance losses can guide the encoder toward more language-agnostic representations and that doing so substantially improves zero-shot translation performance. Gao et al. (2024) used t-SNE visualization to show that translation representations from different source languages can be made to align at the encoder output, but only with deliberate training pressure; the default behavior of a multilingual encoder is to preserve source-language signal. The picture that emerges from this body of work is clear: implicit emergence of an interlingua is unreliable, and explicit architectural or objective-level interventions are required to make the encoder more language-agnostic.</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This is the empirical foundation on which modern explicit-interlingua research builds. The remainder of this chapter surveys the architectural and training strategies that have been proposed to close the gap between what we want from a multilingual encoder — a language-agnostic semantic representation — and what we get by default — a language-aware encoder that clusters by language family. The proposed contribution of this thesis fits squarely within this research program.</w:t>
      </w:r>
    </w:p>
    <w:p>
      <w:pPr>
        <w:pStyle w:val="Heading2"/>
        <w:spacing w:after="200" w:before="360"/>
        <w:jc w:val="left"/>
      </w:pPr>
      <w:r>
        <w:rPr>
          <w:rFonts w:ascii="Times New Roman" w:cs="Times New Roman" w:eastAsia="Times New Roman" w:hAnsi="Times New Roman"/>
          <w:b/>
          <w:bCs/>
          <w:sz w:val="28"/>
          <w:szCs w:val="28"/>
        </w:rPr>
        <w:t xml:space="preserve">1.3  Multilingual Neural Machine Translation</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Before turning to explicit interlingua architectures, this section reviews the broader field of multilingual neural machine translation in which they sit. Multilingual NMT is concerned with training a single model to translate among multiple language pairs, with three principal motivations: improving low-resource translation through transfer from high-resource pairs, reducing the engineering burden of maintaining many bilingual systems, and enabling zero-shot translation between pairs without direct parallel data.</w:t>
      </w:r>
    </w:p>
    <w:p>
      <w:pPr>
        <w:pStyle w:val="Heading3"/>
        <w:spacing w:after="160" w:before="280"/>
        <w:jc w:val="left"/>
      </w:pPr>
      <w:r>
        <w:rPr>
          <w:rFonts w:ascii="Times New Roman" w:cs="Times New Roman" w:eastAsia="Times New Roman" w:hAnsi="Times New Roman"/>
          <w:b/>
          <w:bCs/>
          <w:i/>
          <w:iCs/>
          <w:sz w:val="26"/>
          <w:szCs w:val="26"/>
        </w:rPr>
        <w:t xml:space="preserve">1.3.1  Approaches to Sharing</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Approaches to multilingual NMT can be classified by what is shared across languages and what is kept language-specific. The earliest neural multilingual systems used language-specific encoders or decoders with limited sharing. Firat et al. (2016) proposed a multi-way model in which each language had its own encoder and decoder, connected through a shared attention mechanism. This approach scales linearly in parameters with the number of languages and offers a natural way to add new languages, but the limited sharing means that low-resource pairs benefit only modestly from high-resource ones.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opposite extreme was proposed by Ha et al. (2016) and Johnson et al. (2017), who used a single shared encoder, a single shared decoder, and a single shared vocabulary across all languages. The decoder is informed of the desired target language through a special token prepended to the input. This fully-shared approach maximizes parameter sharing and therefore transfer, but suffers from capacity constraints when the number of languages grows large and from interference between dissimilar languages competing for the same parameters.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Between these extremes lies a spectrum of partial-sharing architectures. Blackwood et al. (2018) and Sachan and Neubig (2018) proposed task-specific attention modules that retain shared encoders and decoders but specialize the attention. Wang et al. (2018, 2019) explored fixed mixes of language-specific and shared parameters at various layers. Bapna and Firat (2019) introduced lightweight adapter modules: small bottleneck networks inserted between the layers of a shared backbone that can be trained language-pair-specifically without modifying the backbone. Aharoni et al. (2019) and Arivazhagan et al. (2019b) demonstrated that massively multilingual models trained on over 100 languages can be made to work, but require careful attention to capacity allocation and data balancing.</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modular approach of Escolano et al. (2019, 2021), Lyu et al. (2020), and related work goes to the opposite extreme: each language has its own encoder and decoder, with no shared layers at all. The system relies on training the language-specific modules so that they map into and out of a common representation space, but enforces this only implicitly through the joint training objective. The advantage of modular systems is extensibility: a new language can be added by training only the corresponding encoder and decoder, without retraining the rest of the system. The disadvantage, as we shall see in Section 1.4, is poor zero-shot performance, because nothing in the architecture forces the language-specific modules into a common representation space.</w:t>
      </w:r>
    </w:p>
    <w:p>
      <w:pPr>
        <w:pStyle w:val="Heading3"/>
        <w:spacing w:after="160" w:before="280"/>
        <w:jc w:val="left"/>
      </w:pPr>
      <w:r>
        <w:rPr>
          <w:rFonts w:ascii="Times New Roman" w:cs="Times New Roman" w:eastAsia="Times New Roman" w:hAnsi="Times New Roman"/>
          <w:b/>
          <w:bCs/>
          <w:i/>
          <w:iCs/>
          <w:sz w:val="26"/>
          <w:szCs w:val="26"/>
        </w:rPr>
        <w:t xml:space="preserve">1.3.2  The Low-Resource Problem</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principal practical motivation for multilingual NMT is improving translation for low-resource language pairs. Bilingual neural systems require large parallel corpora — typically millions of sentence pairs — to outperform statistical baselines. For most of the world's languages, no such corpora exist. Multilingual training offers a way to compensate, by allowing a low-resource language pair to benefit from related high-resource pairs through shared parameters.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gains can be dramatic. Aharoni et al. (2019) demonstrated improvements of more than 10 BLEU points for the lowest-resource pairs in their setup, simply by training jointly with many other pairs. The magnitude of the gain correlates with how closely the low-resource pair is related, typologically and lexically, to high-resource pairs in the training set. Languages that share scripts, cognates, and grammatical features with well-resourced relatives benefit most. Languages that are typologically isolated, in scripts unfamiliar to the rest of the training set, or with morphology unlike that of any high-resource language tend to benefit less.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Multilingual training is not without costs. The capacity that a model devotes to representing many languages cannot be devoted to representing any single language. As the number of training languages grows, the per-language quality of the model can degrade, a phenomenon sometimes called the curse of multilinguality (Conneau et al., 2020). The architectures and training strategies surveyed in the remainder of this chapter can be understood as attempts to mitigate this trade-off: to gain the benefits of cross-lingual transfer without paying the full cost in per-language capacity.</w:t>
      </w:r>
    </w:p>
    <w:p>
      <w:pPr>
        <w:pStyle w:val="Heading3"/>
        <w:spacing w:after="160" w:before="280"/>
        <w:jc w:val="left"/>
      </w:pPr>
      <w:r>
        <w:rPr>
          <w:rFonts w:ascii="Times New Roman" w:cs="Times New Roman" w:eastAsia="Times New Roman" w:hAnsi="Times New Roman"/>
          <w:b/>
          <w:bCs/>
          <w:i/>
          <w:iCs/>
          <w:sz w:val="26"/>
          <w:szCs w:val="26"/>
        </w:rPr>
        <w:t xml:space="preserve">1.3.3  Zero-Shot Translation</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A particularly compelling capability of multilingual systems is zero-shot translation: the ability to translate between language pairs that were not seen together during training. If a model has been trained on English-French and English-German data, can it translate French to German directly, without pivoting through English? Johnson et al. (2017) showed that, to a surprising extent, the answer is yes; their fully-shared model produced reasonable French-German output despite never seeing French-German parallel data.</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Subsequent work has shown that zero-shot quality is often substantially below pivot-based translation quality (translating French to English with one model and then English to German with another), and that this gap is exactly the gap that explicit interlingua research aims to close. The intuition is straightforward: zero-shot translation works only insofar as the encoder produces representations that are independent of the source language and that the decoder can interpret regardless of which source language produced them. If the encoder representations carry source-language signal, then the decoder, having seen only certain combinations of source-language signal and target-language output during training, will not know how to handle the unseen combination. Improving the language-agnosticism of the encoder representation directly improves zero-shot translation.</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This direct connection between architectural agnosticism and zero-shot performance makes zero-shot BLEU one of the most useful evaluation metrics for interlingua research. A model that genuinely produces language-independent representations should be able to translate any pair, even unseen ones, with quality close to its supervised pairs. Conversely, a large gap between supervised and zero-shot quality is a sign that the encoder is not as language-agnostic as it might be. We return to this point in Section 1.4 and again in the formal problem setting of Section 1.9.</w:t>
      </w:r>
    </w:p>
    <w:p>
      <w:pPr>
        <w:pStyle w:val="Heading3"/>
        <w:spacing w:after="160" w:before="280"/>
        <w:jc w:val="left"/>
      </w:pPr>
      <w:r>
        <w:rPr>
          <w:rFonts w:ascii="Times New Roman" w:cs="Times New Roman" w:eastAsia="Times New Roman" w:hAnsi="Times New Roman"/>
          <w:b/>
          <w:bCs/>
          <w:i/>
          <w:iCs/>
          <w:sz w:val="26"/>
          <w:szCs w:val="26"/>
        </w:rPr>
        <w:t xml:space="preserve">1.3.4  Evaluation Methodology for Multilingual NMT</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A brief discussion of evaluation methodology is in order before proceeding, because the choice of metrics shapes which architectural innovations appear useful. Translation quality in this thesis, as in most contemporary MT research, is principally evaluated using the BLEU score (Papineni et al., 2002), which compares a candidate translation against one or more reference translations through n-gram precision with a brevity penalty. BLEU has well-known limitations — it correlates imperfectly with human judgments, penalizes legitimate paraphrases, and saturates at high quality levels — but remains the de facto standard for reproducibility across the field. Where appropriate, this thesis supplements BLEU with chrF (Popović, 2015), which measures character-level n-gram similarity and is more sensitive to morphological correctness; and with COMET (Rei et al., 2020), a learned metric trained on human judgment data that correlates more closely with human evaluation than BLEU at the cost of greater computational expense.</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Beyond translation quality, this thesis evaluates representation quality directly, through two complementary intrinsic measures. The first is SVCCA similarity (Raghu et al., 2017), which compares the linear subspaces spanned by two sets of representations and produces a similarity score in [0, 1]. SVCCA has been used extensively in multilingual NMT analysis (Kudugunta et al., 2019) and provides a continuous measure of how much two representations agree, abstracted from any particular linear transformation. The second is language-identification probing accuracy: a classifier is trained to predict the source language from an intermediate model representation, and the resulting accuracy is reported. If the representation is truly language-agnostic, no classifier should be able to recover the source language; the probing accuracy should approach the chance level of 1/K for K source languages. Probing accuracy above chance indicates language-specific information still leaking through the representation.</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combination of BLEU (for supervised and zero-shot translation) and the two intrinsic measures (for representation quality) gives a triangulated picture of model behavior. A successful interlingua architecture should improve all three: BLEU should rise, SVCCA should rise, and language-identification accuracy should fall. The use of all three metrics together is essential because each can be improved spuriously in isolation. For instance, an architecture might achieve high SVCCA similarity by collapsing all representations to a single point, which would destroy translation quality; or it might achieve low language-identification accuracy by injecting noise, with the same destructive effect. Reporting all three metrics together ensures that improvements in one dimension are not bought at unacceptable cost in another.</w:t>
      </w:r>
    </w:p>
    <w:p>
      <w:pPr>
        <w:pStyle w:val="Heading2"/>
        <w:spacing w:after="200" w:before="360"/>
        <w:jc w:val="left"/>
      </w:pPr>
      <w:r>
        <w:rPr>
          <w:rFonts w:ascii="Times New Roman" w:cs="Times New Roman" w:eastAsia="Times New Roman" w:hAnsi="Times New Roman"/>
          <w:b/>
          <w:bCs/>
          <w:sz w:val="28"/>
          <w:szCs w:val="28"/>
        </w:rPr>
        <w:t xml:space="preserve">1.4  Explicit Neural Interlingua Architectures</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findings of Kudugunta et al. (2019) and others — that shared multilingual encoders fail to produce truly language-agnostic representations — motivated a line of work that introduces explicit interlingua modules into the architecture. These modules sit between the encoder and the decoder and are intended to transform the encoder output into a more language-agnostic representation before it reaches the decoder. This section surveys this line of work in chronological order, ending with the most recent retrospective assessments.</w:t>
      </w:r>
    </w:p>
    <w:p>
      <w:pPr>
        <w:pStyle w:val="Heading3"/>
        <w:spacing w:after="160" w:before="280"/>
        <w:jc w:val="left"/>
      </w:pPr>
      <w:r>
        <w:rPr>
          <w:rFonts w:ascii="Times New Roman" w:cs="Times New Roman" w:eastAsia="Times New Roman" w:hAnsi="Times New Roman"/>
          <w:b/>
          <w:bCs/>
          <w:i/>
          <w:iCs/>
          <w:sz w:val="26"/>
          <w:szCs w:val="26"/>
        </w:rPr>
        <w:t xml:space="preserve">1.4.1  The Lu et al. (2018) Architecture</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first explicit neural interlingua module in the modern era was proposed by Lu et al. (2018). Their architecture uses language-specific LSTM encoders and decoders connected by a shared attentional interlingua module. Letting Enc_{ℓ_x} and Dec_{ℓ_y} denote the language-specific encoder and decoder for source and target languages ℓ_x and ℓ_y, and letting I denote the shared interlingua module, their architecture computes:</w:t>
      </w:r>
    </w:p>
    <w:p>
      <w:pPr>
        <w:tabs>
          <w:tab w:val="right" w:pos="9000"/>
        </w:tabs>
        <w:spacing w:after="160" w:before="160"/>
        <w:jc w:val="center"/>
      </w:pPr>
      <w:r>
        <w:rPr>
          <w:rFonts w:ascii="Times New Roman" w:cs="Times New Roman" w:eastAsia="Times New Roman" w:hAnsi="Times New Roman"/>
          <w:i/>
          <w:iCs/>
          <w:sz w:val="24"/>
          <w:szCs w:val="24"/>
        </w:rPr>
        <w:t xml:space="preserve">ŷ  =  Dec_{ℓ_y}(I(Enc_{ℓ_x}(x)))</w:t>
      </w:r>
      <w:r>
        <w:rPr>
          <w:rFonts w:ascii="Times New Roman" w:cs="Times New Roman" w:eastAsia="Times New Roman" w:hAnsi="Times New Roman"/>
          <w:sz w:val="24"/>
          <w:szCs w:val="24"/>
        </w:rPr>
        <w:t xml:space="preserve">	(1.2)</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This decomposition has remained the template for subsequent explicit-interlingua work; the differences lie in how I is parameterized and trained. Lu et al. parameterize I as a single attentional LSTM layer, evaluated on a small multilingual dataset. They validate the interlingua nature of their representation in two ways: by showing that direct zero-shot translation between pairs unseen during training performs reasonably well, and by demonstrating cross-lingual classification, in which a Yelp-review classifier trained on English interlingua embeddings can classify French and German reviews without retraining. Both results suggest that I has succeeded in producing a representation that abstracts at least partially away from the source language.</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limitations of Lu et al. (2018), from a contemporary perspective, are several. The architecture is LSTM-based and predates the Transformer's dominance, so the absolute translation quality is not competitive with modern systems. The interlingua module is a single layer, raising the question of whether deeper interlingua processing would yield further gains. The evaluation is limited to a small number of languages, and there is no analysis of how language-agnostic the representations are by intrinsic probing measures such as SVCCA. Despite these limitations, Lu et al. (2018) is correctly regarded as the foundational paper of modern explicit-interlingua research, and subsequent work can largely be understood as variations on its template.</w:t>
      </w:r>
    </w:p>
    <w:p>
      <w:pPr>
        <w:pStyle w:val="Heading3"/>
        <w:spacing w:after="160" w:before="280"/>
        <w:jc w:val="left"/>
      </w:pPr>
      <w:r>
        <w:rPr>
          <w:rFonts w:ascii="Times New Roman" w:cs="Times New Roman" w:eastAsia="Times New Roman" w:hAnsi="Times New Roman"/>
          <w:b/>
          <w:bCs/>
          <w:i/>
          <w:iCs/>
          <w:sz w:val="26"/>
          <w:szCs w:val="26"/>
        </w:rPr>
        <w:t xml:space="preserve">1.4.2  The Helsinki Attention Bridge Line</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most extensive line of work on explicit interlingua architectures has been conducted by the Helsinki group of Tiedemann, Creutz, and collaborators. Vázquez et al. (2019) proposed the attention bridge architecture, in which language-specific encoders and decoders are connected through a shared inner-attention layer that maps variable-length encoder outputs to a fixed-size sequence of k vectors regardless of input length. The fixed-size design is motivated by the observation that variable-length representations leak source-language information through length itself; mapping to a fixed size removes this leakage.</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Raganato et al. (2020) extended this work in a systematic study published in Computational Linguistics, varying the size of the attention bridge from k=1 to k=200 and analyzing the impact on both translation quality and the transferability of the resulting representations to downstream tasks. Their principal finding is that larger bridges produce both better translation quality, particularly on longer sentences, and more useful sentence embeddings for downstream classification tasks. There is no inherent conflict, they argue, between the use of an interlingua-like module and translation performance; the right architectural choices benefit both.</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Helsinki group's most recent contribution is Mickus et al. (2024), a retrospective evaluation of attention-bridge and modular interlingua architectures across multiple datasets and language combinations. Their finding is sobering: the benefits of these architectures are real but uneven, and depend heavily on training regime and language coverage. In particular, modular architectures with parameter-sharing bridges tend to underperform fully-shared baselines when the number of languages is small or when training data is plentiful. Their value is most evident in low-resource and zero-shot settings. This finding is directly relevant to the present thesis, whose proposed contribution targets precisely the low-resource setting where interlingua modules are most useful.</w:t>
      </w:r>
    </w:p>
    <w:p>
      <w:pPr>
        <w:pStyle w:val="Heading3"/>
        <w:spacing w:after="160" w:before="280"/>
        <w:jc w:val="left"/>
      </w:pPr>
      <w:r>
        <w:rPr>
          <w:rFonts w:ascii="Times New Roman" w:cs="Times New Roman" w:eastAsia="Times New Roman" w:hAnsi="Times New Roman"/>
          <w:b/>
          <w:bCs/>
          <w:i/>
          <w:iCs/>
          <w:sz w:val="26"/>
          <w:szCs w:val="26"/>
        </w:rPr>
        <w:t xml:space="preserve">1.4.3  Language-Aware Interlingua</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Zhu et al. (2020) introduced an important critique of the fully-language-agnostic interlingua. Their argument is that strict language-agnosticism removes information that the decoder needs to generate fluent target-language output. The decoder must know not only what to say but how to say it in the target language, and stripping all source-language information from the interlingua makes the decoder's task harder, not easier. Their proposed architecture, the language-aware interlingua, learns a shared semantic space that retains some specialization for individual language pairs.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This critique is important enough to merit careful consideration in any subsequent interlingua proposal, including the one in this thesis. The fundamental tension is between two desiderata that pull in opposite directions. On one hand, we want the interlingua representation to be language-agnostic, so that the same input meaning produces the same representation regardless of source language, and so that the decoder can translate any source language into any target language. On the other hand, we want the representation to retain enough information about the source for the model to translate fluently, idiomatically, and faithfully. A representation that contained only abstract propositional content, stripped of all stylistic and structural information, might be sufficient for paraphrasing but inadequate for high-quality translation.</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Zhu et al. (2020)'s resolution is to allow language-specific specialization within the interlingua, parameterized by language-pair-specific projections. The empirical result is that their language-aware interlingua matches or exceeds fully-shared baselines while approaching the performance of strong individual bilingual models. The lesson for subsequent work is that the goal should not be the maximally language-agnostic interlingua, but the interlingua that strikes the right balance between agnosticism (which enables transfer and zero-shot) and specialization (which enables fluent generation).</w:t>
      </w:r>
    </w:p>
    <w:p>
      <w:pPr>
        <w:pStyle w:val="Heading3"/>
        <w:spacing w:after="160" w:before="280"/>
        <w:jc w:val="left"/>
      </w:pPr>
      <w:r>
        <w:rPr>
          <w:rFonts w:ascii="Times New Roman" w:cs="Times New Roman" w:eastAsia="Times New Roman" w:hAnsi="Times New Roman"/>
          <w:b/>
          <w:bCs/>
          <w:i/>
          <w:iCs/>
          <w:sz w:val="26"/>
          <w:szCs w:val="26"/>
        </w:rPr>
        <w:t xml:space="preserve">1.4.4  Denoising-Trained Interlingua</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Liu et al. (2021a) made a different but complementary contribution. Their architecture differentiates Transformer layers between language-specific and shared roles, with selective parameter sharing and cross-attention. The architectural innovation is matched by a training innovation: they add a denoising auto-encoding objective to the standard translation objective, requiring the model to reconstruct corrupted monolingual sentences in addition to translating parallel pairs. The combined objective encourages the model to produce representations that support both translation and reconstruction, which empirically improves cross-lingual alignment.</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denoising auto-encoding objective has since become a standard component of strong interlingua and multilingual systems. Wang et al. (2021) provided a latent-variable analysis showing that adding a denoising objective to multilingual training implicitly maximizes the marginal probability of zero-shot translation directions, and demonstrated empirical zero-shot gains. The denoising signal can be combined with the translation signal in a multi-task framework with appropriate weighting:</w:t>
      </w:r>
    </w:p>
    <w:p>
      <w:pPr>
        <w:tabs>
          <w:tab w:val="right" w:pos="9000"/>
        </w:tabs>
        <w:spacing w:after="160" w:before="160"/>
        <w:jc w:val="center"/>
      </w:pPr>
      <w:r>
        <w:rPr>
          <w:rFonts w:ascii="Times New Roman" w:cs="Times New Roman" w:eastAsia="Times New Roman" w:hAnsi="Times New Roman"/>
          <w:i/>
          <w:iCs/>
          <w:sz w:val="24"/>
          <w:szCs w:val="24"/>
        </w:rPr>
        <w:t xml:space="preserve">L_total  =  L_MT  +  λ · L_DAE</w:t>
      </w:r>
      <w:r>
        <w:rPr>
          <w:rFonts w:ascii="Times New Roman" w:cs="Times New Roman" w:eastAsia="Times New Roman" w:hAnsi="Times New Roman"/>
          <w:sz w:val="24"/>
          <w:szCs w:val="24"/>
        </w:rPr>
        <w:t xml:space="preserve">	(1.3)</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where L_MT is the standard maximum-likelihood translation loss over parallel data, L_DAE is the denoising auto-encoding loss over monolingual data, and λ controls their relative weight. The denoising objective itself is:</w:t>
      </w:r>
    </w:p>
    <w:p>
      <w:pPr>
        <w:tabs>
          <w:tab w:val="right" w:pos="9000"/>
        </w:tabs>
        <w:spacing w:after="160" w:before="160"/>
        <w:jc w:val="center"/>
      </w:pPr>
      <w:r>
        <w:rPr>
          <w:rFonts w:ascii="Times New Roman" w:cs="Times New Roman" w:eastAsia="Times New Roman" w:hAnsi="Times New Roman"/>
          <w:i/>
          <w:iCs/>
          <w:sz w:val="24"/>
          <w:szCs w:val="24"/>
        </w:rPr>
        <w:t xml:space="preserve">L_DAE  =  − Σ_x log p(x | g(x); θ)</w:t>
      </w:r>
      <w:r>
        <w:rPr>
          <w:rFonts w:ascii="Times New Roman" w:cs="Times New Roman" w:eastAsia="Times New Roman" w:hAnsi="Times New Roman"/>
          <w:sz w:val="24"/>
          <w:szCs w:val="24"/>
        </w:rPr>
        <w:t xml:space="preserve">	(1.4)</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where g is a noise function that corrupts the input by token masking, span deletion, or sentence permutation. The proposed contribution of this thesis adopts this auxiliary objective and integrates it with the recursive interlingua layer.</w:t>
      </w:r>
    </w:p>
    <w:p>
      <w:pPr>
        <w:pStyle w:val="Heading3"/>
        <w:spacing w:after="160" w:before="280"/>
        <w:jc w:val="left"/>
      </w:pPr>
      <w:r>
        <w:rPr>
          <w:rFonts w:ascii="Times New Roman" w:cs="Times New Roman" w:eastAsia="Times New Roman" w:hAnsi="Times New Roman"/>
          <w:b/>
          <w:bCs/>
          <w:i/>
          <w:iCs/>
          <w:sz w:val="26"/>
          <w:szCs w:val="26"/>
        </w:rPr>
        <w:t xml:space="preserve">1.4.5  Length and the Ill-Formed Interlingual Space</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A subtle but important issue was raised by Zhu et al. (2022) in their analysis of what they called the ill-formed interlingual space in modularized multilingual NMT. The observation is that the standard Transformer encoder is length-preserving: an input of length n produces an output of length n. This means that the length of the encoder output is itself a strong cue to the source language, since different languages have systematically different sentence lengths for the same content (Chinese tends to be shorter than English in tokens, German often longer, and so on). A truly language-agnostic representation cannot preserve source length, because to do so would be to encode source-language identity.</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Zhu et al. (2022) propose a Transformer Attention Bridge that maps variable-length encoder outputs to fixed-length representations via cross-attention, eliminating the length-leakage problem. They combine this with a denoising auto-encoding objective and demonstrate substantial improvements in zero-shot translation on modularized systems. The argument from length-leakage is one of the strongest challenges that any variable-length interlingua proposal must address. The proposed contribution of this thesis preserves the variable-length structure of the encoder output but addresses the length-leakage issue empirically through language-ID probing experiments that measure how much source-language information actually leaks through the interlingua representation; we return to this point in Section 1.9.</w:t>
      </w:r>
    </w:p>
    <w:p>
      <w:pPr>
        <w:pStyle w:val="Heading3"/>
        <w:spacing w:after="160" w:before="280"/>
        <w:jc w:val="left"/>
      </w:pPr>
      <w:r>
        <w:rPr>
          <w:rFonts w:ascii="Times New Roman" w:cs="Times New Roman" w:eastAsia="Times New Roman" w:hAnsi="Times New Roman"/>
          <w:b/>
          <w:bCs/>
          <w:i/>
          <w:iCs/>
          <w:sz w:val="26"/>
          <w:szCs w:val="26"/>
        </w:rPr>
        <w:t xml:space="preserve">1.4.6  Summary of Explicit-Interlingua Architectures</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six lines of work surveyed in this section — Lu et al. (2018), the Helsinki attention bridge line, language-aware interlingua, denoising-trained interlingua, length-rectified bridges, and modular language-specific encoder-decoder systems — represent the principal architectural choices that have been explored. Table 1.1 summarizes their design choices along the most relevant dimensions.</w:t>
      </w:r>
    </w:p>
    <w:p>
      <w:pPr>
        <w:spacing w:after="240" w:before="100"/>
        <w:jc w:val="center"/>
      </w:pPr>
      <w:r>
        <w:rPr>
          <w:rFonts w:ascii="Times New Roman" w:cs="Times New Roman" w:eastAsia="Times New Roman" w:hAnsi="Times New Roman"/>
          <w:i/>
          <w:iCs/>
          <w:sz w:val="20"/>
          <w:szCs w:val="20"/>
        </w:rPr>
        <w:t xml:space="preserve">Table 1.1: Design choices in explicit neural interlingua architectures. The interlingua module is denoted I. The shaded row at the bottom represents this thesis's contribution.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800"/>
        <w:gridCol w:w="1300"/>
        <w:gridCol w:w="1300"/>
        <w:gridCol w:w="1100"/>
        <w:gridCol w:w="1060"/>
      </w:tblGrid>
      <w:tr>
        <w:tc>
          <w:tcPr>
            <w:tcW w:type="dxa" w:w="140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Work</w:t>
            </w:r>
          </w:p>
        </w:tc>
        <w:tc>
          <w:tcPr>
            <w:tcW w:type="dxa" w:w="140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Backbone</w:t>
            </w:r>
          </w:p>
        </w:tc>
        <w:tc>
          <w:tcPr>
            <w:tcW w:type="dxa" w:w="180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I form</w:t>
            </w:r>
          </w:p>
        </w:tc>
        <w:tc>
          <w:tcPr>
            <w:tcW w:type="dxa" w:w="130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I depth</w:t>
            </w:r>
          </w:p>
        </w:tc>
        <w:tc>
          <w:tcPr>
            <w:tcW w:type="dxa" w:w="130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Output len.</w:t>
            </w:r>
          </w:p>
        </w:tc>
        <w:tc>
          <w:tcPr>
            <w:tcW w:type="dxa" w:w="110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Aux. obj.</w:t>
            </w:r>
          </w:p>
        </w:tc>
        <w:tc>
          <w:tcPr>
            <w:tcW w:type="dxa" w:w="106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Pretrain.</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Lu (2018)</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LSTM</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Attentional LSTM</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 layer</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Variable</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None</w:t>
            </w:r>
          </w:p>
        </w:tc>
        <w:tc>
          <w:tcPr>
            <w:tcW w:type="dxa" w:w="1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None</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Vázquez (2019)</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Transformer</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Inner-attn. bridge</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 layer</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Fixed (k)</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None</w:t>
            </w:r>
          </w:p>
        </w:tc>
        <w:tc>
          <w:tcPr>
            <w:tcW w:type="dxa" w:w="1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None</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Zhu (2020)</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Transformer</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Lang.-aware module</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Shallow</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Variable</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None</w:t>
            </w:r>
          </w:p>
        </w:tc>
        <w:tc>
          <w:tcPr>
            <w:tcW w:type="dxa" w:w="1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None</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Liu (2021a)</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Transformer</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Shared Trans. layers</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Fixed</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Variable</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DAE</w:t>
            </w:r>
          </w:p>
        </w:tc>
        <w:tc>
          <w:tcPr>
            <w:tcW w:type="dxa" w:w="1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None</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Zhu (2022)</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Transformer</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Trans. Attn. Bridge</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Fixed</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Fixed</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DAE</w:t>
            </w:r>
          </w:p>
        </w:tc>
        <w:tc>
          <w:tcPr>
            <w:tcW w:type="dxa" w:w="1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None</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Escolano (2021)</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Transformer</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None (modular)</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Variable</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None</w:t>
            </w:r>
          </w:p>
        </w:tc>
        <w:tc>
          <w:tcPr>
            <w:tcW w:type="dxa" w:w="1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Optional</w:t>
            </w:r>
          </w:p>
        </w:tc>
      </w:tr>
      <w:tr>
        <w:tc>
          <w:tcPr>
            <w:tcW w:type="dxa" w:w="1400"/>
            <w:tcBorders>
              <w:top w:val="single" w:color="999999" w:sz="4"/>
              <w:left w:val="single" w:color="999999" w:sz="4"/>
              <w:bottom w:val="single" w:color="999999" w:sz="4"/>
              <w:right w:val="single" w:color="999999" w:sz="4"/>
            </w:tcBorders>
            <w:shd w:fill="FFF8E1" w:val="clear"/>
            <w:tcMar>
              <w:top w:type="dxa" w:w="80"/>
              <w:left w:type="dxa" w:w="120"/>
              <w:bottom w:type="dxa" w:w="80"/>
              <w:right w:type="dxa" w:w="120"/>
            </w:tcMar>
          </w:tcPr>
          <w:p>
            <w:pPr>
              <w:jc w:val="left"/>
            </w:pPr>
            <w:r>
              <w:rPr>
                <w:rFonts w:ascii="Times New Roman" w:cs="Times New Roman" w:eastAsia="Times New Roman" w:hAnsi="Times New Roman"/>
                <w:b/>
                <w:bCs/>
                <w:i w:val="false"/>
                <w:iCs w:val="false"/>
                <w:sz w:val="20"/>
                <w:szCs w:val="20"/>
              </w:rPr>
              <w:t xml:space="preserve">This work</w:t>
            </w:r>
          </w:p>
        </w:tc>
        <w:tc>
          <w:tcPr>
            <w:tcW w:type="dxa" w:w="1400"/>
            <w:tcBorders>
              <w:top w:val="single" w:color="999999" w:sz="4"/>
              <w:left w:val="single" w:color="999999" w:sz="4"/>
              <w:bottom w:val="single" w:color="999999" w:sz="4"/>
              <w:right w:val="single" w:color="999999" w:sz="4"/>
            </w:tcBorders>
            <w:shd w:fill="FFF8E1" w:val="clear"/>
            <w:tcMar>
              <w:top w:type="dxa" w:w="80"/>
              <w:left w:type="dxa" w:w="120"/>
              <w:bottom w:type="dxa" w:w="80"/>
              <w:right w:type="dxa" w:w="120"/>
            </w:tcMar>
          </w:tcPr>
          <w:p>
            <w:pPr>
              <w:jc w:val="left"/>
            </w:pPr>
            <w:r>
              <w:rPr>
                <w:rFonts w:ascii="Times New Roman" w:cs="Times New Roman" w:eastAsia="Times New Roman" w:hAnsi="Times New Roman"/>
                <w:b/>
                <w:bCs/>
                <w:i w:val="false"/>
                <w:iCs w:val="false"/>
                <w:sz w:val="20"/>
                <w:szCs w:val="20"/>
              </w:rPr>
              <w:t xml:space="preserve">Transformer</w:t>
            </w:r>
          </w:p>
        </w:tc>
        <w:tc>
          <w:tcPr>
            <w:tcW w:type="dxa" w:w="1800"/>
            <w:tcBorders>
              <w:top w:val="single" w:color="999999" w:sz="4"/>
              <w:left w:val="single" w:color="999999" w:sz="4"/>
              <w:bottom w:val="single" w:color="999999" w:sz="4"/>
              <w:right w:val="single" w:color="999999" w:sz="4"/>
            </w:tcBorders>
            <w:shd w:fill="FFF8E1" w:val="clear"/>
            <w:tcMar>
              <w:top w:type="dxa" w:w="80"/>
              <w:left w:type="dxa" w:w="120"/>
              <w:bottom w:type="dxa" w:w="80"/>
              <w:right w:type="dxa" w:w="120"/>
            </w:tcMar>
          </w:tcPr>
          <w:p>
            <w:pPr>
              <w:jc w:val="left"/>
            </w:pPr>
            <w:r>
              <w:rPr>
                <w:rFonts w:ascii="Times New Roman" w:cs="Times New Roman" w:eastAsia="Times New Roman" w:hAnsi="Times New Roman"/>
                <w:b/>
                <w:bCs/>
                <w:i w:val="false"/>
                <w:iCs w:val="false"/>
                <w:sz w:val="20"/>
                <w:szCs w:val="20"/>
              </w:rPr>
              <w:t xml:space="preserve">Transformer stack</w:t>
            </w:r>
          </w:p>
        </w:tc>
        <w:tc>
          <w:tcPr>
            <w:tcW w:type="dxa" w:w="1300"/>
            <w:tcBorders>
              <w:top w:val="single" w:color="999999" w:sz="4"/>
              <w:left w:val="single" w:color="999999" w:sz="4"/>
              <w:bottom w:val="single" w:color="999999" w:sz="4"/>
              <w:right w:val="single" w:color="999999" w:sz="4"/>
            </w:tcBorders>
            <w:shd w:fill="FFF8E1" w:val="clear"/>
            <w:tcMar>
              <w:top w:type="dxa" w:w="80"/>
              <w:left w:type="dxa" w:w="120"/>
              <w:bottom w:type="dxa" w:w="80"/>
              <w:right w:type="dxa" w:w="120"/>
            </w:tcMar>
          </w:tcPr>
          <w:p>
            <w:pPr>
              <w:jc w:val="left"/>
            </w:pPr>
            <w:r>
              <w:rPr>
                <w:rFonts w:ascii="Times New Roman" w:cs="Times New Roman" w:eastAsia="Times New Roman" w:hAnsi="Times New Roman"/>
                <w:b/>
                <w:bCs/>
                <w:i w:val="false"/>
                <w:iCs w:val="false"/>
                <w:sz w:val="20"/>
                <w:szCs w:val="20"/>
              </w:rPr>
              <w:t xml:space="preserve">Input-cond.</w:t>
            </w:r>
          </w:p>
        </w:tc>
        <w:tc>
          <w:tcPr>
            <w:tcW w:type="dxa" w:w="1300"/>
            <w:tcBorders>
              <w:top w:val="single" w:color="999999" w:sz="4"/>
              <w:left w:val="single" w:color="999999" w:sz="4"/>
              <w:bottom w:val="single" w:color="999999" w:sz="4"/>
              <w:right w:val="single" w:color="999999" w:sz="4"/>
            </w:tcBorders>
            <w:shd w:fill="FFF8E1" w:val="clear"/>
            <w:tcMar>
              <w:top w:type="dxa" w:w="80"/>
              <w:left w:type="dxa" w:w="120"/>
              <w:bottom w:type="dxa" w:w="80"/>
              <w:right w:type="dxa" w:w="120"/>
            </w:tcMar>
          </w:tcPr>
          <w:p>
            <w:pPr>
              <w:jc w:val="left"/>
            </w:pPr>
            <w:r>
              <w:rPr>
                <w:rFonts w:ascii="Times New Roman" w:cs="Times New Roman" w:eastAsia="Times New Roman" w:hAnsi="Times New Roman"/>
                <w:b/>
                <w:bCs/>
                <w:i w:val="false"/>
                <w:iCs w:val="false"/>
                <w:sz w:val="20"/>
                <w:szCs w:val="20"/>
              </w:rPr>
              <w:t xml:space="preserve">Variable</w:t>
            </w:r>
          </w:p>
        </w:tc>
        <w:tc>
          <w:tcPr>
            <w:tcW w:type="dxa" w:w="1100"/>
            <w:tcBorders>
              <w:top w:val="single" w:color="999999" w:sz="4"/>
              <w:left w:val="single" w:color="999999" w:sz="4"/>
              <w:bottom w:val="single" w:color="999999" w:sz="4"/>
              <w:right w:val="single" w:color="999999" w:sz="4"/>
            </w:tcBorders>
            <w:shd w:fill="FFF8E1" w:val="clear"/>
            <w:tcMar>
              <w:top w:type="dxa" w:w="80"/>
              <w:left w:type="dxa" w:w="120"/>
              <w:bottom w:type="dxa" w:w="80"/>
              <w:right w:type="dxa" w:w="120"/>
            </w:tcMar>
          </w:tcPr>
          <w:p>
            <w:pPr>
              <w:jc w:val="left"/>
            </w:pPr>
            <w:r>
              <w:rPr>
                <w:rFonts w:ascii="Times New Roman" w:cs="Times New Roman" w:eastAsia="Times New Roman" w:hAnsi="Times New Roman"/>
                <w:b/>
                <w:bCs/>
                <w:i w:val="false"/>
                <w:iCs w:val="false"/>
                <w:sz w:val="20"/>
                <w:szCs w:val="20"/>
              </w:rPr>
              <w:t xml:space="preserve">DAE</w:t>
            </w:r>
          </w:p>
        </w:tc>
        <w:tc>
          <w:tcPr>
            <w:tcW w:type="dxa" w:w="1060"/>
            <w:tcBorders>
              <w:top w:val="single" w:color="999999" w:sz="4"/>
              <w:left w:val="single" w:color="999999" w:sz="4"/>
              <w:bottom w:val="single" w:color="999999" w:sz="4"/>
              <w:right w:val="single" w:color="999999" w:sz="4"/>
            </w:tcBorders>
            <w:shd w:fill="FFF8E1" w:val="clear"/>
            <w:tcMar>
              <w:top w:type="dxa" w:w="80"/>
              <w:left w:type="dxa" w:w="120"/>
              <w:bottom w:type="dxa" w:w="80"/>
              <w:right w:type="dxa" w:w="120"/>
            </w:tcMar>
          </w:tcPr>
          <w:p>
            <w:pPr>
              <w:jc w:val="left"/>
            </w:pPr>
            <w:r>
              <w:rPr>
                <w:rFonts w:ascii="Times New Roman" w:cs="Times New Roman" w:eastAsia="Times New Roman" w:hAnsi="Times New Roman"/>
                <w:b/>
                <w:bCs/>
                <w:i w:val="false"/>
                <w:iCs w:val="false"/>
                <w:sz w:val="20"/>
                <w:szCs w:val="20"/>
              </w:rPr>
              <w:t xml:space="preserve">mBART</w:t>
            </w:r>
          </w:p>
        </w:tc>
      </w:tr>
    </w:tbl>
    <w:p>
      <w:pPr>
        <w:spacing w:after="120" w:before="240" w:line="300"/>
        <w:ind w:firstLine="360"/>
        <w:jc w:val="both"/>
      </w:pPr>
      <w:r>
        <w:rPr>
          <w:rFonts w:ascii="Times New Roman" w:cs="Times New Roman" w:eastAsia="Times New Roman" w:hAnsi="Times New Roman"/>
          <w:b w:val="false"/>
          <w:bCs w:val="false"/>
          <w:i w:val="false"/>
          <w:iCs w:val="false"/>
          <w:sz w:val="24"/>
          <w:szCs w:val="24"/>
        </w:rPr>
        <w:t xml:space="preserve">Two observations follow from this comparison. First, every prior approach uses a fixed interlingua depth: the number of layers, or the size of the bridge, is set as a hyperparameter and is the same for every input. No prior work conditions the interlingua depth on the input itself. This is the architectural gap that the proposed recursive interlingua layer fills. Second, while denoising auto-encoding and pretraining have been used separately in interlingua research, no prior work combines deep variable-depth interlingua processing with both DAE training and monolingual pretraining in the low-resource setting. This is the empirical gap that this thesis addresses.</w:t>
      </w:r>
    </w:p>
    <w:p>
      <w:pPr>
        <w:pStyle w:val="Heading2"/>
        <w:spacing w:after="200" w:before="360"/>
        <w:jc w:val="left"/>
      </w:pPr>
      <w:r>
        <w:rPr>
          <w:rFonts w:ascii="Times New Roman" w:cs="Times New Roman" w:eastAsia="Times New Roman" w:hAnsi="Times New Roman"/>
          <w:b/>
          <w:bCs/>
          <w:sz w:val="28"/>
          <w:szCs w:val="28"/>
        </w:rPr>
        <w:t xml:space="preserve">1.5  Training Objectives for Language-Agnostic Representations</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Architectural innovation alone is insufficient to produce language-agnostic representations. The training signal must also push the model in the right direction. This section surveys training objectives that have been proposed to encourage cross-lingual alignment in multilingual NMT systems.</w:t>
      </w:r>
    </w:p>
    <w:p>
      <w:pPr>
        <w:pStyle w:val="Heading3"/>
        <w:spacing w:after="160" w:before="280"/>
        <w:jc w:val="left"/>
      </w:pPr>
      <w:r>
        <w:rPr>
          <w:rFonts w:ascii="Times New Roman" w:cs="Times New Roman" w:eastAsia="Times New Roman" w:hAnsi="Times New Roman"/>
          <w:b/>
          <w:bCs/>
          <w:i/>
          <w:iCs/>
          <w:sz w:val="26"/>
          <w:szCs w:val="26"/>
        </w:rPr>
        <w:t xml:space="preserve">1.5.1  The Baseline Translation Objective</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standard training objective for neural machine translation is the conditional log-likelihood of the target given the source, averaged over the parallel training corpus:</w:t>
      </w:r>
    </w:p>
    <w:p>
      <w:pPr>
        <w:tabs>
          <w:tab w:val="right" w:pos="9000"/>
        </w:tabs>
        <w:spacing w:after="160" w:before="160"/>
        <w:jc w:val="center"/>
      </w:pPr>
      <w:r>
        <w:rPr>
          <w:rFonts w:ascii="Times New Roman" w:cs="Times New Roman" w:eastAsia="Times New Roman" w:hAnsi="Times New Roman"/>
          <w:i/>
          <w:iCs/>
          <w:sz w:val="24"/>
          <w:szCs w:val="24"/>
        </w:rPr>
        <w:t xml:space="preserve">L_MT  =  − Σ_{(x,y) ∈ D} log p(y | x; θ)</w:t>
      </w:r>
      <w:r>
        <w:rPr>
          <w:rFonts w:ascii="Times New Roman" w:cs="Times New Roman" w:eastAsia="Times New Roman" w:hAnsi="Times New Roman"/>
          <w:sz w:val="24"/>
          <w:szCs w:val="24"/>
        </w:rPr>
        <w:t xml:space="preserve">	(1.5)</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This objective is sufficient to train high-quality bilingual translation systems but has been criticized as insufficient for multilingual training. The criticism is that the conditional log-likelihood places no explicit constraint on the intermediate representations: as long as the model produces the right output, the representations can be as language-specific as they like. There is no signal in L_MT to penalize the model for producing representations that cluster by source language rather than by meaning. The training objectives surveyed in the rest of this section can be understood as ways of adding such a signal.</w:t>
      </w:r>
    </w:p>
    <w:p>
      <w:pPr>
        <w:pStyle w:val="Heading3"/>
        <w:spacing w:after="160" w:before="280"/>
        <w:jc w:val="left"/>
      </w:pPr>
      <w:r>
        <w:rPr>
          <w:rFonts w:ascii="Times New Roman" w:cs="Times New Roman" w:eastAsia="Times New Roman" w:hAnsi="Times New Roman"/>
          <w:b/>
          <w:bCs/>
          <w:i/>
          <w:iCs/>
          <w:sz w:val="26"/>
          <w:szCs w:val="26"/>
        </w:rPr>
        <w:t xml:space="preserve">1.5.2  Explicit Invariance Losses</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Arivazhagan et al. (2019a) proposed adding an explicit language invariance loss to L_MT. The idea is to introduce a regularization term that penalizes the model for producing different representations of parallel sentences. For a pair of parallel sentences (x, y) that translate the same meaning across languages, an invariance loss might compute the cosine distance between their encoder representations and penalize the model for non-zero distance. Pham et al. (2019) used a similar approach with pooled fixed-size sentence representations. These losses are intuitively appealing and empirically helpful, but they have two limitations. First, they require parallel data to identify which sentences should have similar representations, which limits their applicability in low-resource settings where parallel data is scarce. Second, they impose a strong constraint that may over-regularize the representations, sacrificing translation quality for cross-lingual alignment.</w:t>
      </w:r>
    </w:p>
    <w:p>
      <w:pPr>
        <w:pStyle w:val="Heading3"/>
        <w:spacing w:after="160" w:before="280"/>
        <w:jc w:val="left"/>
      </w:pPr>
      <w:r>
        <w:rPr>
          <w:rFonts w:ascii="Times New Roman" w:cs="Times New Roman" w:eastAsia="Times New Roman" w:hAnsi="Times New Roman"/>
          <w:b/>
          <w:bCs/>
          <w:i/>
          <w:iCs/>
          <w:sz w:val="26"/>
          <w:szCs w:val="26"/>
        </w:rPr>
        <w:t xml:space="preserve">1.5.3  Denoising Auto-Encoding</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As noted in Section 1.4.4, denoising auto-encoding (DAE) provides a complementary signal that does not require parallel data. The model is trained to reconstruct a corrupted version of a monolingual sentence:</w:t>
      </w:r>
    </w:p>
    <w:p>
      <w:pPr>
        <w:tabs>
          <w:tab w:val="right" w:pos="9000"/>
        </w:tabs>
        <w:spacing w:after="160" w:before="160"/>
        <w:jc w:val="center"/>
      </w:pPr>
      <w:r>
        <w:rPr>
          <w:rFonts w:ascii="Times New Roman" w:cs="Times New Roman" w:eastAsia="Times New Roman" w:hAnsi="Times New Roman"/>
          <w:i/>
          <w:iCs/>
          <w:sz w:val="24"/>
          <w:szCs w:val="24"/>
        </w:rPr>
        <w:t xml:space="preserve">L_DAE  =  − Σ_{x ∈ D_mono} log p(x | g(x); θ)</w:t>
      </w:r>
      <w:r>
        <w:rPr>
          <w:rFonts w:ascii="Times New Roman" w:cs="Times New Roman" w:eastAsia="Times New Roman" w:hAnsi="Times New Roman"/>
          <w:sz w:val="24"/>
          <w:szCs w:val="24"/>
        </w:rPr>
        <w:t xml:space="preserve">	(1.6)</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with the noise function g typically a combination of token masking, span deletion, and sentence permutation. The DAE objective drives the encoder to produce representations from which the original input can be recovered, which encourages capturing the full content of the input. When DAE is applied to monolingual data from multiple languages simultaneously, with a shared encoder, the encoder is forced to handle all languages with the same parameters. Wang et al. (2021) showed via a latent-variable analysis that this implicitly encourages alignment of representations across languages, and demonstrated empirical gains on zero-shot translation. Liu et al. (2021a) used DAE as the auxiliary objective in their explicit-interlingua architecture, with similar results.</w:t>
      </w:r>
    </w:p>
    <w:p>
      <w:pPr>
        <w:pStyle w:val="Heading3"/>
        <w:spacing w:after="160" w:before="280"/>
        <w:jc w:val="left"/>
      </w:pPr>
      <w:r>
        <w:rPr>
          <w:rFonts w:ascii="Times New Roman" w:cs="Times New Roman" w:eastAsia="Times New Roman" w:hAnsi="Times New Roman"/>
          <w:b/>
          <w:bCs/>
          <w:i/>
          <w:iCs/>
          <w:sz w:val="26"/>
          <w:szCs w:val="26"/>
        </w:rPr>
        <w:t xml:space="preserve">1.5.4  Contrastive Objectives</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Pan et al. (2021) introduced contrastive learning to multilingual NMT in the mRASP2 system. The idea is to encourage the model to produce similar representations for sentences that have similar meaning across languages, while pushing apart representations for sentences with different meanings. Contrastive learning has been highly successful in self-supervised representation learning more broadly and provides a natural fit for cross-lingual alignment. The principal practical challenge is constructing appropriate positive and negative pairs at scale, which Pan et al. (2021) address through random sampling and code-switched data augmentation.</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Gao et al. (2023) extended this line with cross-lingual consistency regularization (CrossConST), which adds a Kullback-Leibler divergence term between the model's output distributions for translations of the same source into different target languages. The CrossConST objective encourages the model to produce consistent translations regardless of which source language expresses the meaning, and yields substantial improvements in zero-shot translation.</w:t>
      </w:r>
    </w:p>
    <w:p>
      <w:pPr>
        <w:pStyle w:val="Heading3"/>
        <w:spacing w:after="160" w:before="280"/>
        <w:jc w:val="left"/>
      </w:pPr>
      <w:r>
        <w:rPr>
          <w:rFonts w:ascii="Times New Roman" w:cs="Times New Roman" w:eastAsia="Times New Roman" w:hAnsi="Times New Roman"/>
          <w:b/>
          <w:bCs/>
          <w:i/>
          <w:iCs/>
          <w:sz w:val="26"/>
          <w:szCs w:val="26"/>
        </w:rPr>
        <w:t xml:space="preserve">1.5.5  Choice of Objectives for This Thesis</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proposed contribution of this thesis adopts the denoising auto-encoding objective of Equation (1.6) as its primary auxiliary loss. The reasons are practical and theoretical. Practically, DAE does not require parallel data, which is essential in the low-resource setting that is the focus of this thesis. Theoretically, DAE has been shown both empirically and analytically to improve cross-lingual alignment, making it a natural fit for an interlingua-focused architecture. The total training objective is therefore:</w:t>
      </w:r>
    </w:p>
    <w:p>
      <w:pPr>
        <w:tabs>
          <w:tab w:val="right" w:pos="9000"/>
        </w:tabs>
        <w:spacing w:after="160" w:before="160"/>
        <w:jc w:val="center"/>
      </w:pPr>
      <w:r>
        <w:rPr>
          <w:rFonts w:ascii="Times New Roman" w:cs="Times New Roman" w:eastAsia="Times New Roman" w:hAnsi="Times New Roman"/>
          <w:i/>
          <w:iCs/>
          <w:sz w:val="24"/>
          <w:szCs w:val="24"/>
        </w:rPr>
        <w:t xml:space="preserve">L_total  =  L_MT  +  λ · L_DAE</w:t>
      </w:r>
      <w:r>
        <w:rPr>
          <w:rFonts w:ascii="Times New Roman" w:cs="Times New Roman" w:eastAsia="Times New Roman" w:hAnsi="Times New Roman"/>
          <w:sz w:val="24"/>
          <w:szCs w:val="24"/>
        </w:rPr>
        <w:t xml:space="preserve">	(1.7)</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with λ a hyperparameter to be tuned on development data. The proposed architecture is compatible with additional objectives (contrastive, invariance, or consistency regularization), but a clean ablation comparing the recursive interlingua layer against fixed-depth baselines requires holding the training objective constant. The exploration of richer objective combinations is left to future work and discussed in Chapter 5.</w:t>
      </w:r>
    </w:p>
    <w:p>
      <w:pPr>
        <w:pStyle w:val="Heading2"/>
        <w:spacing w:after="200" w:before="360"/>
        <w:jc w:val="left"/>
      </w:pPr>
      <w:r>
        <w:rPr>
          <w:rFonts w:ascii="Times New Roman" w:cs="Times New Roman" w:eastAsia="Times New Roman" w:hAnsi="Times New Roman"/>
          <w:b/>
          <w:bCs/>
          <w:sz w:val="28"/>
          <w:szCs w:val="28"/>
        </w:rPr>
        <w:t xml:space="preserve">1.6  Monolingual Pretraining for Low-Resource Neural Machine Translation</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Monolingual data is abundantly available for most languages, in contrast to parallel data which is scarce. Using monolingual data to improve translation has been a central concern of low-resource NMT research for over a decade. This section surveys the principal approaches.</w:t>
      </w:r>
    </w:p>
    <w:p>
      <w:pPr>
        <w:pStyle w:val="Heading3"/>
        <w:spacing w:after="160" w:before="280"/>
        <w:jc w:val="left"/>
      </w:pPr>
      <w:r>
        <w:rPr>
          <w:rFonts w:ascii="Times New Roman" w:cs="Times New Roman" w:eastAsia="Times New Roman" w:hAnsi="Times New Roman"/>
          <w:b/>
          <w:bCs/>
          <w:i/>
          <w:iCs/>
          <w:sz w:val="26"/>
          <w:szCs w:val="26"/>
        </w:rPr>
        <w:t xml:space="preserve">1.6.1  Back-Translation and Data Augmentation</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earliest and still most widely used approach to leveraging monolingual data for translation is back-translation, introduced by Sennrich et al. (2016). The idea is simple. Given a reverse model that translates from the target language to the source language, one can take monolingual target-language text, translate it to the source language, and add the resulting (synthetic source, real target) pairs to the parallel training data. The forward model then trains on a mixture of real and synthetic parallel data. Back-translation has been shown to produce substantial gains in low-resource translation and remains a baseline in most multilingual NMT papers.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Currey et al. (2017) introduced an even simpler approach, copied monolingual data, in which monolingual target-language sentences are paired with themselves (target-side text copied to the source side) and added to training. The intuition is that the copies teach the model to produce fluent target-language output even when the source-side input is unusual. Although less effective than back-translation, copied data is computationally cheaper and useful when no reverse model is available.</w:t>
      </w:r>
    </w:p>
    <w:p>
      <w:pPr>
        <w:pStyle w:val="Heading3"/>
        <w:spacing w:after="160" w:before="280"/>
        <w:jc w:val="left"/>
      </w:pPr>
      <w:r>
        <w:rPr>
          <w:rFonts w:ascii="Times New Roman" w:cs="Times New Roman" w:eastAsia="Times New Roman" w:hAnsi="Times New Roman"/>
          <w:b/>
          <w:bCs/>
          <w:i/>
          <w:iCs/>
          <w:sz w:val="26"/>
          <w:szCs w:val="26"/>
        </w:rPr>
        <w:t xml:space="preserve">1.6.2  Pretrained Language Models</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pretraining paradigm extends the use of monolingual data from a data-augmentation technique to a representation-learning framework. The basic idea is to pretrain a sequence-to-sequence model on large monolingual corpora using a self-supervised objective, and then fine-tune the pretrained model on parallel data for the translation task. The pretrained model brings with it linguistic knowledge — vocabulary, syntax, semantics — that a randomly initialized model would have to learn from the (small) parallel data alone.</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most influential pretraining model for translation is mBART (Liu et al., 2020), which extends the BART denoising autoencoder (Lewis et al., 2020) to a multilingual setting. mBART is pretrained on monolingual text from 25 languages using a span-corruption and sentence-permutation denoising objective, and is then fine-tuned on parallel data for the desired translation pair. Liu et al. (2020) report gains of up to 12 BLEU points over a randomly initialized baseline for low-resource translation pairs, and somewhat smaller but still substantial gains for medium-resource pairs. The mBART checkpoint has become a standard initialization for low-resource neural MT and is the initialization adopted by the proposed contribution of this thesis.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mT5 (Xue et al., 2021) extends the T5 model (Raffel et al., 2020) to 101 languages with a text-to-text format. XLM-R (Conneau et al., 2020) is an encoder-only pretrained model that achieves strong performance on cross-lingual classification tasks. mBART-50 (Tang et al., 2021) extends mBART to 50 languages with multilingual fine-tuning. The pretraining literature is now extensive and continues to grow; for the purposes of this thesis, mBART is adopted as the canonical pretrained initialization, with the understanding that the proposed architecture is compatible with any seq2seq pretrained model.</w:t>
      </w:r>
    </w:p>
    <w:p>
      <w:pPr>
        <w:pStyle w:val="Heading3"/>
        <w:spacing w:after="160" w:before="280"/>
        <w:jc w:val="left"/>
      </w:pPr>
      <w:r>
        <w:rPr>
          <w:rFonts w:ascii="Times New Roman" w:cs="Times New Roman" w:eastAsia="Times New Roman" w:hAnsi="Times New Roman"/>
          <w:b/>
          <w:bCs/>
          <w:i/>
          <w:iCs/>
          <w:sz w:val="26"/>
          <w:szCs w:val="26"/>
        </w:rPr>
        <w:t xml:space="preserve">1.6.3  Continual and Adaptive Pretraining</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A limitation of standard pretraining is that the pretraining language set is fixed. If the target translation pair involves a language not in the pretraining set, the pretrained model offers little benefit and may even hurt performance through cross-lingual interference. Liu et al. (2021c) proposed continual mixed-language pretraining as a remedy: the pretrained model is further pretrained on monolingual data from the new language, mixed with data from related pretraining languages, before being fine-tuned for translation. This approach is especially useful for extremely low-resource languages that are not in the original mBART pretraining set.</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interaction between pretraining and explicit-interlingua architectures has received relatively little attention. Most prior interlingua work either trains from scratch or initializes only the encoder from a pretrained model. The proposed contribution of this thesis adopts an mBART-style initialization for the full encoder-decoder backbone, with the recursive interlingua layer initialized either randomly or from selected layers of the pretrained encoder; the optimal initialization strategy for the interlingua layer is an empirical question addressed in Chapter 3.</w:t>
      </w:r>
    </w:p>
    <w:p>
      <w:pPr>
        <w:pStyle w:val="Heading2"/>
        <w:spacing w:after="200" w:before="360"/>
        <w:jc w:val="left"/>
      </w:pPr>
      <w:r>
        <w:rPr>
          <w:rFonts w:ascii="Times New Roman" w:cs="Times New Roman" w:eastAsia="Times New Roman" w:hAnsi="Times New Roman"/>
          <w:b/>
          <w:bCs/>
          <w:sz w:val="28"/>
          <w:szCs w:val="28"/>
        </w:rPr>
        <w:t xml:space="preserve">1.7  Adaptive Computation in Transformers</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architectural innovation proposed by this thesis is to make the depth of the interlingua module input-conditioned rather than fixed. This idea draws on a separate line of research on adaptive computation in neural networks, which this section briefly surveys.</w:t>
      </w:r>
    </w:p>
    <w:p>
      <w:pPr>
        <w:pStyle w:val="Heading3"/>
        <w:spacing w:after="160" w:before="280"/>
        <w:jc w:val="left"/>
      </w:pPr>
      <w:r>
        <w:rPr>
          <w:rFonts w:ascii="Times New Roman" w:cs="Times New Roman" w:eastAsia="Times New Roman" w:hAnsi="Times New Roman"/>
          <w:b/>
          <w:bCs/>
          <w:i/>
          <w:iCs/>
          <w:sz w:val="26"/>
          <w:szCs w:val="26"/>
        </w:rPr>
        <w:t xml:space="preserve">1.7.1  Adaptive Computation Time</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foundational work on adaptive computation in neural networks is Graves (2016), who introduced Adaptive Computation Time (ACT) for recurrent neural networks. The idea is to allow the model to apply a variable number of recurrent steps to each input element, with the number of steps learned end-to-end through a halting mechanism. At each step, a halting probability p_t in [0, 1] is predicted by a small auxiliary network, and computation stops when the cumulative halting probability exceeds a threshold:</w:t>
      </w:r>
    </w:p>
    <w:p>
      <w:pPr>
        <w:tabs>
          <w:tab w:val="right" w:pos="9000"/>
        </w:tabs>
        <w:spacing w:after="160" w:before="160"/>
        <w:jc w:val="center"/>
      </w:pPr>
      <w:r>
        <w:rPr>
          <w:rFonts w:ascii="Times New Roman" w:cs="Times New Roman" w:eastAsia="Times New Roman" w:hAnsi="Times New Roman"/>
          <w:i/>
          <w:iCs/>
          <w:sz w:val="24"/>
          <w:szCs w:val="24"/>
        </w:rPr>
        <w:t xml:space="preserve">N(x)  =  min{T : Σ_{t=1}^{T} p_t ≥ 1 − ε}</w:t>
      </w:r>
      <w:r>
        <w:rPr>
          <w:rFonts w:ascii="Times New Roman" w:cs="Times New Roman" w:eastAsia="Times New Roman" w:hAnsi="Times New Roman"/>
          <w:sz w:val="24"/>
          <w:szCs w:val="24"/>
        </w:rPr>
        <w:t xml:space="preserve">	(1.8)</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for some small ε. The training objective includes a small penalty on the expected number of steps, which trades off computation cost against task accuracy. Graves (2016) demonstrated that ACT can learn input-conditioned depth on toy tasks and on character-level language modeling. The mechanism is differentiable end-to-end through a relaxation of the halting decision, and has since been adapted to many other architectures.</w:t>
      </w:r>
    </w:p>
    <w:p>
      <w:pPr>
        <w:pStyle w:val="Heading3"/>
        <w:spacing w:after="160" w:before="280"/>
        <w:jc w:val="left"/>
      </w:pPr>
      <w:r>
        <w:rPr>
          <w:rFonts w:ascii="Times New Roman" w:cs="Times New Roman" w:eastAsia="Times New Roman" w:hAnsi="Times New Roman"/>
          <w:b/>
          <w:bCs/>
          <w:i/>
          <w:iCs/>
          <w:sz w:val="26"/>
          <w:szCs w:val="26"/>
        </w:rPr>
        <w:t xml:space="preserve">1.7.2  The Universal Transformer</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Dehghani et al. (2018) introduced the Universal Transformer, which applies ACT to the Transformer architecture. The Universal Transformer replaces the stack of distinct Transformer layers with a single shared-weight layer applied recurrently for a variable number of steps, with the number of steps determined by ACT. The result is a Transformer whose depth is input-conditioned: simple inputs are processed with few steps, complex inputs with many. Dehghani et al. (2018) demonstrate that the Universal Transformer matches or exceeds the standard Transformer on several tasks, including translation, while using fewer parameters.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Universal Transformer is the most direct architectural precedent for the recursive interlingua layer proposed in this thesis, but with two important differences. First, the Universal Transformer applies adaptive depth to the entire model, whereas the proposed contribution applies it only to the interlingua module sitting between the encoder and decoder. Second, the Universal Transformer uses shared weights across recurrent steps, whereas the proposed contribution allows distinct weights at each interlingua layer up to a maximum depth, in the style of Elbayad et al. (2020). The motivation for the latter choice is that the interlingua module may benefit from different processing at different depths — initial layers attending to surface form, deeper layers abstracting semantic content — which shared weights would preclude.</w:t>
      </w:r>
    </w:p>
    <w:p>
      <w:pPr>
        <w:pStyle w:val="Heading3"/>
        <w:spacing w:after="160" w:before="280"/>
        <w:jc w:val="left"/>
      </w:pPr>
      <w:r>
        <w:rPr>
          <w:rFonts w:ascii="Times New Roman" w:cs="Times New Roman" w:eastAsia="Times New Roman" w:hAnsi="Times New Roman"/>
          <w:b/>
          <w:bCs/>
          <w:i/>
          <w:iCs/>
          <w:sz w:val="26"/>
          <w:szCs w:val="26"/>
        </w:rPr>
        <w:t xml:space="preserve">1.7.3  Depth-Adaptive Transformers</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Elbayad et al. (2020) proposed the Depth-Adaptive Transformer, which differs from the Universal Transformer in that distinct layers are applied at each step, and the model learns how many layers to apply per input. The mechanism is an early-exit decision: a small classifier is attached to each decoder layer, and the model can choose to emit the prediction at any layer rather than running to the full depth. The result is that easy inputs are processed shallowly and hard inputs deeply, with substantial computational savings at inference time.</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Elbayad et al. (2020) report that on the IWSLT German-English translation task, their Depth-Adaptive Transformer matches a strong fixed-depth baseline while using less than a quarter of the decoder layers on average. The combination of input-conditioned depth and distinct per-layer weights, which they pioneered for the decoder, is the architectural template adopted by the proposed contribution of this thesis for the interlingua module.</w:t>
      </w:r>
    </w:p>
    <w:p>
      <w:pPr>
        <w:pStyle w:val="Heading3"/>
        <w:spacing w:after="160" w:before="280"/>
        <w:jc w:val="left"/>
      </w:pPr>
      <w:r>
        <w:rPr>
          <w:rFonts w:ascii="Times New Roman" w:cs="Times New Roman" w:eastAsia="Times New Roman" w:hAnsi="Times New Roman"/>
          <w:b/>
          <w:bCs/>
          <w:i/>
          <w:iCs/>
          <w:sz w:val="26"/>
          <w:szCs w:val="26"/>
        </w:rPr>
        <w:t xml:space="preserve">1.7.4  Other Adaptive Computation Approaches</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Adaptive computation has been applied in many other ways in recent neural network research. Abnar et al. (2023) introduced Hyper-UT, which combines hypernetworks with adaptive depth to generalize across tasks of varying complexity. Csordás et al. (2024) propose Sparse Universal Transformers, which combine the shared-weight depth of the Universal Transformer with mixture-of-experts sparsity. Schuster et al. (2022) explore early-exit strategies for autoregressive language model decoding. These works extend the adaptive-computation paradigm in directions orthogonal to the present thesis, and are discussed here primarily to indicate the breadth of the research area.</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To the best of the author's knowledge, no prior work has applied input-conditioned variable depth specifically to an interlingua module between encoder and decoder in a multilingual NMT system. This is the architectural innovation of the present thesis. Combined with the denoising auto-encoding objective from Section 1.5 and the monolingual pretraining of Section 1.6, the resulting system addresses a gap in the literature that none of the prior approaches taken individually has filled.</w:t>
      </w:r>
    </w:p>
    <w:p>
      <w:pPr>
        <w:pStyle w:val="Heading2"/>
        <w:spacing w:after="200" w:before="360"/>
        <w:jc w:val="left"/>
      </w:pPr>
      <w:r>
        <w:rPr>
          <w:rFonts w:ascii="Times New Roman" w:cs="Times New Roman" w:eastAsia="Times New Roman" w:hAnsi="Times New Roman"/>
          <w:b/>
          <w:bCs/>
          <w:sz w:val="28"/>
          <w:szCs w:val="28"/>
        </w:rPr>
        <w:t xml:space="preserve">1.8  Synthesis: Where the Field Stands</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preceding six sections have surveyed a substantial body of literature spanning sixty years of machine translation research and a decade of neural multilingual NMT. Before turning to the formal problem setting, it is worth synthesizing the state of the field along the dimensions that matter for the present thesis.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First, the interlingua program is alive and well in its neural form. Six decades after Richens (1958) and Vauquois (1968), the central goal — translating through a language-independent representation of meaning — remains a compelling research direction. The reasons are no longer purely conceptual: explicit interlingua modules have been shown to improve zero-shot translation, enable cross-lingual transfer in low-resource settings, and produce more interpretable internal representations. The classical interlingua ideal of a fully language-independent representation has been moderated by the practical observation (Zhu et al., 2020) that some language-pair-specific specialization improves translation quality, but the broader program of seeking architectures that approximate the interlingua ideal continues.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Second, the implicit interlingua of Johnson et al. (2017) is unreliable. Multiple lines of evidence — SVCCA analyses (Kudugunta et al., 2019), zero-shot performance gaps (Arivazhagan et al., 2019b), and probing studies (Gao et al., 2024) — show that the encoder of a fully-shared multilingual model produces representations that cluster by language family rather than by semantic content. Explicit architectural or objective-level interventions are required to produce more language-agnostic representations.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Third, explicit interlingua architectures have explored a range of designs. From single-layer attentional modules (Lu et al., 2018) through fixed-size attention bridges (Vázquez et al., 2019; Raganato et al., 2020), language-aware modules (Zhu et al., 2020), denoising-trained shared layers (Liu et al., 2021a), and fixed-length cross-attention bridges (Zhu et al., 2022), the field has tried many architectural variations. Across this diversity, one constant is striking: every prior explicit-interlingua approach uses a fixed interlingua structure, with depth or bridge size set as a hyperparameter. No prior work has explored input-conditioned interlingua depth.</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Fourth, training objectives have evolved in parallel with architectures. Denoising auto-encoding (Liu et al., 2021a; Wang et al., 2021), contrastive learning (Pan et al., 2021), and consistency regularization (Gao et al., 2023) have all been shown to improve cross-lingual alignment. Among these, DAE has the practical advantage of requiring only monolingual data, making it especially attractive in low-resource settings.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Fifth, monolingual pretraining has emerged as one of the most effective tools for low-resource translation. mBART (Liu et al., 2020) and its successors have delivered gains of up to 12 BLEU points on low-resource pairs, and the pretrained checkpoint has become a near-universal starting point. The interaction between pretraining and explicit-interlingua architectures, however, has received relatively little attention; most interlingua work either trains from scratch or initializes only the encoder.</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Sixth, adaptive computation in Transformers — pioneered by ACT (Graves, 2016), the Universal Transformer (Dehghani et al., 2018), and the Depth-Adaptive Transformer (Elbayad et al., 2020) — provides the mechanism by which input-conditioned interlingua depth can be implemented. The technology exists; what is missing is its application to interlingua modules specifically.</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These six observations together define the gap that this thesis addresses. The field has converged on explicit interlingua modules as the right architectural response to the language-bias problem, has converged on denoising and contrastive objectives as the right training signals, and has converged on monolingual pretraining as the right initialization for low-resource settings. What is missing is a unifying contribution that combines all three with an architectural innovation grounded in adaptive computation. Table 1.2 summarizes the dimensions along which this thesis contributes.</w:t>
      </w:r>
    </w:p>
    <w:p>
      <w:pPr>
        <w:spacing w:after="240" w:before="100"/>
        <w:jc w:val="center"/>
      </w:pPr>
      <w:r>
        <w:rPr>
          <w:rFonts w:ascii="Times New Roman" w:cs="Times New Roman" w:eastAsia="Times New Roman" w:hAnsi="Times New Roman"/>
          <w:i/>
          <w:iCs/>
          <w:sz w:val="20"/>
          <w:szCs w:val="20"/>
        </w:rPr>
        <w:t xml:space="preserve">Table 1.2: Positioning of this thesis along the dimensions established by prior interlingua research. Shaded cells indicate dimensions where the contribution is novel.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Dimension</w:t>
            </w:r>
          </w:p>
        </w:tc>
        <w:tc>
          <w:tcPr>
            <w:tcW w:type="dxa" w:w="340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Prior best</w:t>
            </w:r>
          </w:p>
        </w:tc>
        <w:tc>
          <w:tcPr>
            <w:tcW w:type="dxa" w:w="376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Our choice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bCs/>
                <w:i w:val="false"/>
                <w:iCs w:val="false"/>
                <w:sz w:val="20"/>
                <w:szCs w:val="20"/>
              </w:rPr>
              <w:t xml:space="preserve">Interlingua architecture</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Fixed-depth Transformer stack (Liu 2021a)</w:t>
            </w:r>
          </w:p>
        </w:tc>
        <w:tc>
          <w:tcPr>
            <w:tcW w:type="dxa" w:w="3760"/>
            <w:tcBorders>
              <w:top w:val="single" w:color="999999" w:sz="4"/>
              <w:left w:val="single" w:color="999999" w:sz="4"/>
              <w:bottom w:val="single" w:color="999999" w:sz="4"/>
              <w:right w:val="single" w:color="999999" w:sz="4"/>
            </w:tcBorders>
            <w:shd w:fill="FFF8E1" w:val="clear"/>
            <w:tcMar>
              <w:top w:type="dxa" w:w="80"/>
              <w:left w:type="dxa" w:w="120"/>
              <w:bottom w:type="dxa" w:w="80"/>
              <w:right w:type="dxa" w:w="120"/>
            </w:tcMar>
          </w:tcPr>
          <w:p>
            <w:pPr>
              <w:jc w:val="left"/>
            </w:pPr>
            <w:r>
              <w:rPr>
                <w:rFonts w:ascii="Times New Roman" w:cs="Times New Roman" w:eastAsia="Times New Roman" w:hAnsi="Times New Roman"/>
                <w:b/>
                <w:bCs/>
                <w:i w:val="false"/>
                <w:iCs w:val="false"/>
                <w:sz w:val="20"/>
                <w:szCs w:val="20"/>
              </w:rPr>
              <w:t xml:space="preserve">Variable-depth Transformer stack</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bCs/>
                <w:i w:val="false"/>
                <w:iCs w:val="false"/>
                <w:sz w:val="20"/>
                <w:szCs w:val="20"/>
              </w:rPr>
              <w:t xml:space="preserve">Depth control</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Fixed (hyperparameter)</w:t>
            </w:r>
          </w:p>
        </w:tc>
        <w:tc>
          <w:tcPr>
            <w:tcW w:type="dxa" w:w="3760"/>
            <w:tcBorders>
              <w:top w:val="single" w:color="999999" w:sz="4"/>
              <w:left w:val="single" w:color="999999" w:sz="4"/>
              <w:bottom w:val="single" w:color="999999" w:sz="4"/>
              <w:right w:val="single" w:color="999999" w:sz="4"/>
            </w:tcBorders>
            <w:shd w:fill="FFF8E1" w:val="clear"/>
            <w:tcMar>
              <w:top w:type="dxa" w:w="80"/>
              <w:left w:type="dxa" w:w="120"/>
              <w:bottom w:type="dxa" w:w="80"/>
              <w:right w:type="dxa" w:w="120"/>
            </w:tcMar>
          </w:tcPr>
          <w:p>
            <w:pPr>
              <w:jc w:val="left"/>
            </w:pPr>
            <w:r>
              <w:rPr>
                <w:rFonts w:ascii="Times New Roman" w:cs="Times New Roman" w:eastAsia="Times New Roman" w:hAnsi="Times New Roman"/>
                <w:b/>
                <w:bCs/>
                <w:i w:val="false"/>
                <w:iCs w:val="false"/>
                <w:sz w:val="20"/>
                <w:szCs w:val="20"/>
              </w:rPr>
              <w:t xml:space="preserve">Input-conditioned via ACT-style halting</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bCs/>
                <w:i w:val="false"/>
                <w:iCs w:val="false"/>
                <w:sz w:val="20"/>
                <w:szCs w:val="20"/>
              </w:rPr>
              <w:t xml:space="preserve">Length handling</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Fixed-length bridge (Vázquez 2019; Zhu 2022) or variable preserving</w:t>
            </w:r>
          </w:p>
        </w:tc>
        <w:tc>
          <w:tcPr>
            <w:tcW w:type="dxa" w:w="3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Variable, probed for length-leakage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bCs/>
                <w:i w:val="false"/>
                <w:iCs w:val="false"/>
                <w:sz w:val="20"/>
                <w:szCs w:val="20"/>
              </w:rPr>
              <w:t xml:space="preserve">Training objective</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L_MT alone, or + L_DAE</w:t>
            </w:r>
          </w:p>
        </w:tc>
        <w:tc>
          <w:tcPr>
            <w:tcW w:type="dxa" w:w="3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L_MT + λ L_DAE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bCs/>
                <w:i w:val="false"/>
                <w:iCs w:val="false"/>
                <w:sz w:val="20"/>
                <w:szCs w:val="20"/>
              </w:rPr>
              <w:t xml:space="preserve">Initialization</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Random, or mBART</w:t>
            </w:r>
          </w:p>
        </w:tc>
        <w:tc>
          <w:tcPr>
            <w:tcW w:type="dxa" w:w="3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mBART</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bCs/>
                <w:i w:val="false"/>
                <w:iCs w:val="false"/>
                <w:sz w:val="20"/>
                <w:szCs w:val="20"/>
              </w:rPr>
              <w:t xml:space="preserve">Evaluation of agnosticism</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BLEU on zero-shot, occasional SVCCA</w:t>
            </w:r>
          </w:p>
        </w:tc>
        <w:tc>
          <w:tcPr>
            <w:tcW w:type="dxa" w:w="3760"/>
            <w:tcBorders>
              <w:top w:val="single" w:color="999999" w:sz="4"/>
              <w:left w:val="single" w:color="999999" w:sz="4"/>
              <w:bottom w:val="single" w:color="999999" w:sz="4"/>
              <w:right w:val="single" w:color="999999" w:sz="4"/>
            </w:tcBorders>
            <w:shd w:fill="FFF8E1" w:val="clear"/>
            <w:tcMar>
              <w:top w:type="dxa" w:w="80"/>
              <w:left w:type="dxa" w:w="120"/>
              <w:bottom w:type="dxa" w:w="80"/>
              <w:right w:type="dxa" w:w="120"/>
            </w:tcMar>
          </w:tcPr>
          <w:p>
            <w:pPr>
              <w:jc w:val="left"/>
            </w:pPr>
            <w:r>
              <w:rPr>
                <w:rFonts w:ascii="Times New Roman" w:cs="Times New Roman" w:eastAsia="Times New Roman" w:hAnsi="Times New Roman"/>
                <w:b/>
                <w:bCs/>
                <w:i w:val="false"/>
                <w:iCs w:val="false"/>
                <w:sz w:val="20"/>
                <w:szCs w:val="20"/>
              </w:rPr>
              <w:t xml:space="preserve">BLEU + SVCCA + language-ID probing</w:t>
            </w:r>
          </w:p>
        </w:tc>
      </w:tr>
    </w:tbl>
    <w:p>
      <w:r>
        <w:br w:type="page"/>
      </w:r>
    </w:p>
    <w:p>
      <w:pPr>
        <w:pStyle w:val="Heading2"/>
        <w:spacing w:after="200" w:before="360"/>
        <w:jc w:val="left"/>
      </w:pPr>
      <w:r>
        <w:rPr>
          <w:rFonts w:ascii="Times New Roman" w:cs="Times New Roman" w:eastAsia="Times New Roman" w:hAnsi="Times New Roman"/>
          <w:b/>
          <w:bCs/>
          <w:sz w:val="28"/>
          <w:szCs w:val="28"/>
        </w:rPr>
        <w:t xml:space="preserve">1.9  Problem Setting and Research Questions</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Having surveyed the literature, this section formalizes the research problem this thesis addresses, articulates the specific gap to be filled, and states the research questions that the subsequent chapters will answer.</w:t>
      </w:r>
    </w:p>
    <w:p>
      <w:pPr>
        <w:pStyle w:val="Heading3"/>
        <w:spacing w:after="160" w:before="280"/>
        <w:jc w:val="left"/>
      </w:pPr>
      <w:r>
        <w:rPr>
          <w:rFonts w:ascii="Times New Roman" w:cs="Times New Roman" w:eastAsia="Times New Roman" w:hAnsi="Times New Roman"/>
          <w:b/>
          <w:bCs/>
          <w:i/>
          <w:iCs/>
          <w:sz w:val="26"/>
          <w:szCs w:val="26"/>
        </w:rPr>
        <w:t xml:space="preserve">1.9.1  Formal Setting</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Let L = {ℓ₁, ℓ₂, …, ℓ_K} be a set of K languages. For each ordered pair of languages (ℓ_i, ℓ_j) with i ≠ j, let D_{ij} = {(x, y)} denote the parallel corpus of source-target pairs in (ℓ_i, ℓ_j). The corpora may have very different sizes; we are particularly interested in the low-resource setting in which most D_{ij} have fewer than 100,000 sentence pairs, and some may have none. In addition, for each language ℓ_i, let M_i denote a (potentially large) monolingual corpus in that language.</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task is to learn a translation model that, given a source sentence x in any language ℓ_i ∈ L and a designated target language ℓ_j ∈ L, produces a translation ŷ in ℓ_j. Following Johnson et al. (2017), we model this with a single sequence-to-sequence neural network whose input is augmented with a target-language token. We denote the model's parameters by θ and write the conditional distribution as p(y | x, ℓ_j; θ).</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We evaluate the model on three types of translation: supervised pairs, for which D_{ij} was available during training; zero-shot pairs, for which D_{ij} was empty but both ℓ_i and ℓ_j were seen in some training pair; and, optionally, transfer pairs, for which ℓ_i or ℓ_j was not seen in any training pair but related languages were. The principal evaluation metrics are BLEU score, complemented by intrinsic measures of representation quality including SVCCA similarity across language pairs and language-identification probing accuracy on intermediate representations.</w:t>
      </w:r>
    </w:p>
    <w:p>
      <w:pPr>
        <w:pStyle w:val="Heading3"/>
        <w:spacing w:after="160" w:before="280"/>
        <w:jc w:val="left"/>
      </w:pPr>
      <w:r>
        <w:rPr>
          <w:rFonts w:ascii="Times New Roman" w:cs="Times New Roman" w:eastAsia="Times New Roman" w:hAnsi="Times New Roman"/>
          <w:b/>
          <w:bCs/>
          <w:i/>
          <w:iCs/>
          <w:sz w:val="26"/>
          <w:szCs w:val="26"/>
        </w:rPr>
        <w:t xml:space="preserve">1.9.2  Architectural Setting</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Following the explicit-interlingua tradition surveyed in Section 1.4, we factor the translation model as:</w:t>
      </w:r>
    </w:p>
    <w:p>
      <w:pPr>
        <w:tabs>
          <w:tab w:val="right" w:pos="9000"/>
        </w:tabs>
        <w:spacing w:after="160" w:before="160"/>
        <w:jc w:val="center"/>
      </w:pPr>
      <w:r>
        <w:rPr>
          <w:rFonts w:ascii="Times New Roman" w:cs="Times New Roman" w:eastAsia="Times New Roman" w:hAnsi="Times New Roman"/>
          <w:i/>
          <w:iCs/>
          <w:sz w:val="24"/>
          <w:szCs w:val="24"/>
        </w:rPr>
        <w:t xml:space="preserve">p(y | x, ℓ_j; θ)  =  Dec(I(Enc(x, ℓ_i)), ℓ_j)</w:t>
      </w:r>
      <w:r>
        <w:rPr>
          <w:rFonts w:ascii="Times New Roman" w:cs="Times New Roman" w:eastAsia="Times New Roman" w:hAnsi="Times New Roman"/>
          <w:sz w:val="24"/>
          <w:szCs w:val="24"/>
        </w:rPr>
        <w:t xml:space="preserve">	(1.9)</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where Enc is a (possibly shared) encoder, Dec is a (possibly shared) decoder, and I is an interlingua module placed between them. Prior work has explored a range of choices for I, all of which fix the depth or size of I as a hyperparameter. This thesis proposes that I have a depth that is conditioned on the input itself:</w:t>
      </w:r>
    </w:p>
    <w:p>
      <w:pPr>
        <w:tabs>
          <w:tab w:val="right" w:pos="9000"/>
        </w:tabs>
        <w:spacing w:after="160" w:before="160"/>
        <w:jc w:val="center"/>
      </w:pPr>
      <w:r>
        <w:rPr>
          <w:rFonts w:ascii="Times New Roman" w:cs="Times New Roman" w:eastAsia="Times New Roman" w:hAnsi="Times New Roman"/>
          <w:i/>
          <w:iCs/>
          <w:sz w:val="24"/>
          <w:szCs w:val="24"/>
        </w:rPr>
        <w:t xml:space="preserve">I(h)  =  f_{N(h)}(h)</w:t>
      </w:r>
      <w:r>
        <w:rPr>
          <w:rFonts w:ascii="Times New Roman" w:cs="Times New Roman" w:eastAsia="Times New Roman" w:hAnsi="Times New Roman"/>
          <w:sz w:val="24"/>
          <w:szCs w:val="24"/>
        </w:rPr>
        <w:t xml:space="preserve">	(1.10)</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where h = Enc(x, ℓ_i) is the encoder output, f_n denotes the application of n interlingua Transformer layers, and N(h) is a halting function that determines how many layers to apply based on the encoder output. The halting function is parameterized as a small auxiliary network trained jointly with the rest of the model, in the style of Graves (2016) and Dehghani et al. (2018). The detailed parameterization is deferred to Chapter 2.</w:t>
      </w:r>
    </w:p>
    <w:p>
      <w:pPr>
        <w:pStyle w:val="Heading3"/>
        <w:spacing w:after="160" w:before="280"/>
        <w:jc w:val="left"/>
      </w:pPr>
      <w:r>
        <w:rPr>
          <w:rFonts w:ascii="Times New Roman" w:cs="Times New Roman" w:eastAsia="Times New Roman" w:hAnsi="Times New Roman"/>
          <w:b/>
          <w:bCs/>
          <w:i/>
          <w:iCs/>
          <w:sz w:val="26"/>
          <w:szCs w:val="26"/>
        </w:rPr>
        <w:t xml:space="preserve">1.9.3  Training Setting</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model is trained on a combination of supervised translation data and monolingual data. The total loss is:</w:t>
      </w:r>
    </w:p>
    <w:p>
      <w:pPr>
        <w:tabs>
          <w:tab w:val="right" w:pos="9000"/>
        </w:tabs>
        <w:spacing w:after="160" w:before="160"/>
        <w:jc w:val="center"/>
      </w:pPr>
      <w:r>
        <w:rPr>
          <w:rFonts w:ascii="Times New Roman" w:cs="Times New Roman" w:eastAsia="Times New Roman" w:hAnsi="Times New Roman"/>
          <w:i/>
          <w:iCs/>
          <w:sz w:val="24"/>
          <w:szCs w:val="24"/>
        </w:rPr>
        <w:t xml:space="preserve">L_total  =  L_MT  +  λ · L_DAE  +  μ · L_halt</w:t>
      </w:r>
      <w:r>
        <w:rPr>
          <w:rFonts w:ascii="Times New Roman" w:cs="Times New Roman" w:eastAsia="Times New Roman" w:hAnsi="Times New Roman"/>
          <w:sz w:val="24"/>
          <w:szCs w:val="24"/>
        </w:rPr>
        <w:t xml:space="preserve">	(1.11)</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where L_MT is the conditional log-likelihood over parallel pairs, L_DAE is the denoising auto-encoding loss over monolingual data, L_halt is a small regularization penalty that discourages the halting function from running for many more steps than necessary, and λ and μ are weighting hyperparameters. The model is initialized from a monolingual-pretrained checkpoint (specifically, mBART) before fine-tuning on the combined objective.</w:t>
      </w:r>
    </w:p>
    <w:p>
      <w:pPr>
        <w:pStyle w:val="Heading3"/>
        <w:spacing w:after="160" w:before="280"/>
        <w:jc w:val="left"/>
      </w:pPr>
      <w:r>
        <w:rPr>
          <w:rFonts w:ascii="Times New Roman" w:cs="Times New Roman" w:eastAsia="Times New Roman" w:hAnsi="Times New Roman"/>
          <w:b/>
          <w:bCs/>
          <w:i/>
          <w:iCs/>
          <w:sz w:val="26"/>
          <w:szCs w:val="26"/>
        </w:rPr>
        <w:t xml:space="preserve">1.9.4  The Specific Gap</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literature surveyed in Sections 1.2 through 1.7 establishes several converging trends: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(a) Explicit interlingua modules improve zero-shot translation and produce more language-agnostic representations than shared multilingual encoders without such modules.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(b) Denoising auto-encoding is an effective auxiliary training objective that does not require parallel data and improves cross-lingual alignment.</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(c) Monolingual pretraining (mBART) is one of the most effective tools for low-resource neural machine translation, producing gains of up to 12 BLEU points.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(d) Adaptive computation in Transformers, through ACT-style halting (Graves, 2016; Dehghani et al., 2018) or early-exit mechanisms (Elbayad et al., 2020), enables input-conditioned depth, improving both quality and efficiency.</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Each of (a)–(d) has been demonstrated separately. However, no prior work combines all four. Specifically:</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(i) No prior interlingua architecture uses input-conditioned variable depth; every explicit-interlingua module surveyed in Section 1.4 has fixed depth or fixed bridge size.</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(ii) No prior adaptive-computation Transformer has been applied specifically to an interlingua module in a multilingual NMT system.</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(iii) The combination of explicit interlingua + DAE + mBART initialization + low-resource setting has not been systematically studied; existing work pairs at most two or three of these components.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gap, therefore, is at the intersection of architecture (adaptive interlingua depth), training (DAE), pretraining (mBART), and setting (low-resource multilingual). Filling this gap is the contribution of the present thesis.</w:t>
      </w:r>
    </w:p>
    <w:p>
      <w:pPr>
        <w:pStyle w:val="Heading3"/>
        <w:spacing w:after="160" w:before="280"/>
        <w:jc w:val="left"/>
      </w:pPr>
      <w:r>
        <w:rPr>
          <w:rFonts w:ascii="Times New Roman" w:cs="Times New Roman" w:eastAsia="Times New Roman" w:hAnsi="Times New Roman"/>
          <w:b/>
          <w:bCs/>
          <w:i/>
          <w:iCs/>
          <w:sz w:val="26"/>
          <w:szCs w:val="26"/>
        </w:rPr>
        <w:t xml:space="preserve">1.9.5  An Illustrative Example</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To make concrete the intuition behind input-conditioned interlingua depth, consider two source sentences in two different languages, both expressing the same meaning. Suppose the first sentence is short, syntactically simple, and uses common vocabulary that overlaps with vocabulary in the target language; the second is long, syntactically complex (perhaps containing nested relative clauses or noun-incorporating morphology unfamiliar to the target language), and uses rare vocabulary.</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A fixed-depth interlingua module must apply the same number of layers of processing to both sentences. If the fixed depth is small enough to handle the simple sentence efficiently, the complex sentence will be under-processed and its interlingua representation may still carry source-language signal that the decoder finds difficult to interpret. If the fixed depth is large enough to handle the complex sentence well, the simple sentence will be over-processed, which both wastes computation and may distort the representation through unnecessary transformations. The fundamental trade-off between under-processing and over-processing is structural: there is no fixed depth that is optimal for every input.</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An input-conditioned variable-depth interlingua avoids this trade-off by allocating exactly as much processing as each input requires. The simple sentence might pass through the interlingua module with one or two layers; the complex sentence might require six or eight. The halting mechanism that decides when to stop is trained end-to-end alongside the rest of the model, learning from the gradient signal which inputs benefit from more processing and which do not. The result, we hypothesize, is both better average translation quality (because no input is under-processed) and better representation quality (because no input is over-processed).</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This intuition is testable, and Chapter 3 reports the relevant experiments. It is worth noting that the intuition is consistent with prior findings in adaptive computation more broadly: Graves (2016), Dehghani et al. (2018), and Elbayad et al. (2020) all report that input-conditioned depth helps on tasks where inputs vary substantially in difficulty, while offering little benefit on tasks where inputs are uniform. Multilingual translation is, by its nature, a task in which inputs vary substantially in difficulty — different source languages have different distances from each target language, and within each source language, different sentences have different complexity. The conditions for adaptive depth to be useful are therefore present.</w:t>
      </w:r>
    </w:p>
    <w:p>
      <w:pPr>
        <w:pStyle w:val="Heading3"/>
        <w:spacing w:after="160" w:before="280"/>
        <w:jc w:val="left"/>
      </w:pPr>
      <w:r>
        <w:rPr>
          <w:rFonts w:ascii="Times New Roman" w:cs="Times New Roman" w:eastAsia="Times New Roman" w:hAnsi="Times New Roman"/>
          <w:b/>
          <w:bCs/>
          <w:i/>
          <w:iCs/>
          <w:sz w:val="26"/>
          <w:szCs w:val="26"/>
        </w:rPr>
        <w:t xml:space="preserve">1.9.6  Research Questions</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thesis is organized around three research questions, each formulated with an explicit success criterion that determines whether the question has been answered affirmatively.</w:t>
      </w:r>
    </w:p>
    <w:p>
      <w:pPr>
        <w:spacing w:after="240" w:before="100"/>
        <w:jc w:val="center"/>
      </w:pPr>
      <w:r>
        <w:rPr>
          <w:rFonts w:ascii="Times New Roman" w:cs="Times New Roman" w:eastAsia="Times New Roman" w:hAnsi="Times New Roman"/>
          <w:i/>
          <w:iCs/>
          <w:sz w:val="20"/>
          <w:szCs w:val="20"/>
        </w:rPr>
        <w:t xml:space="preserve">Table 1.3: Research questions addressed by this thesis, with associated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c>
          <w:tcPr>
            <w:tcW w:type="dxa" w:w="120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RQ</w:t>
            </w:r>
          </w:p>
        </w:tc>
        <w:tc>
          <w:tcPr>
            <w:tcW w:type="dxa" w:w="420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Question</w:t>
            </w:r>
          </w:p>
        </w:tc>
        <w:tc>
          <w:tcPr>
            <w:tcW w:type="dxa" w:w="396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Success criterion</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RQ1</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Does an input-conditioned recursive interlingua layer between encoder and decoder improve translation quality over a fixed-depth interlingua baseline in low-resource multilingual NMT?</w:t>
            </w:r>
          </w:p>
        </w:tc>
        <w:tc>
          <w:tcPr>
            <w:tcW w:type="dxa" w:w="3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BLEU improvement of at least 1.0 point averaged over supervised low-resource pairs, against a parameter-matched fixed-depth baseline.</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RQ2</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Does the recursive interlingua layer produce measurably more language-agnostic representations than a standard multilingual encoder?</w:t>
            </w:r>
          </w:p>
        </w:tc>
        <w:tc>
          <w:tcPr>
            <w:tcW w:type="dxa" w:w="3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Reduction of language-ID probing accuracy on interlingua output to within 10 percentage points of chance, and an increase in cross-lingual SVCCA similarity by at least 0.10 over the baseline encoder output.</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RQ3</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Does monolingual pretraining provide a complementary gain when combined with the recursive interlingua layer in the low-resource setting?</w:t>
            </w:r>
          </w:p>
        </w:tc>
        <w:tc>
          <w:tcPr>
            <w:tcW w:type="dxa" w:w="3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Pretraining produces an additional BLEU gain on top of the recursive-interlingua gain (rather than overlapping with it), and the combined model outperforms each ablation by a statistically significant margin.</w:t>
            </w:r>
          </w:p>
        </w:tc>
      </w:tr>
    </w:tbl>
    <w:p>
      <w:pPr>
        <w:spacing w:after="120" w:before="240" w:line="300"/>
        <w:ind w:firstLine="360"/>
        <w:jc w:val="both"/>
      </w:pPr>
      <w:r>
        <w:rPr>
          <w:rFonts w:ascii="Times New Roman" w:cs="Times New Roman" w:eastAsia="Times New Roman" w:hAnsi="Times New Roman"/>
          <w:b w:val="false"/>
          <w:bCs w:val="false"/>
          <w:i w:val="false"/>
          <w:iCs w:val="false"/>
          <w:sz w:val="24"/>
          <w:szCs w:val="24"/>
        </w:rPr>
        <w:t xml:space="preserve">Research Question 1 is the principal architectural question of the thesis. It asks whether the input-conditioned variable-depth design produces measurable translation-quality improvements in the low-resource setting, against a properly parameter-matched fixed-depth baseline. The matching of parameter counts is essential to rule out the trivial explanation that any improvement is due to additional capacity rather than to the adaptive-depth mechanism itself. RQ1 is addressed in Chapter 3, which presents the principal experiments.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Research Question 2 is the principal representational question of the thesis. It asks whether the recursive interlingua layer succeeds in producing more language-agnostic representations, in addition to or independently of any translation-quality improvement. The two success criteria are complementary: language-ID probing accuracy directly measures the leakage of source-language information through the interlingua, while SVCCA similarity measures the alignment of representations of parallel sentences across languages. Together they triangulate the claim of language-agnosticism in a way that BLEU alone cannot. RQ2 is addressed in Chapter 4.</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Research Question 3 asks whether the architectural and training innovations of this thesis compose constructively with monolingual pretraining, or whether the gains from the two sources overlap. The success criterion is deliberately strict: a statistically significant additional gain over each individual ablation. This is a stronger criterion than mere additivity and is intended to demonstrate genuine complementarity. RQ3 is addressed in Chapter 4 alongside RQ2.</w:t>
      </w:r>
    </w:p>
    <w:p>
      <w:pPr>
        <w:pStyle w:val="Heading3"/>
        <w:spacing w:after="160" w:before="280"/>
        <w:jc w:val="left"/>
      </w:pPr>
      <w:r>
        <w:rPr>
          <w:rFonts w:ascii="Times New Roman" w:cs="Times New Roman" w:eastAsia="Times New Roman" w:hAnsi="Times New Roman"/>
          <w:b/>
          <w:bCs/>
          <w:i/>
          <w:iCs/>
          <w:sz w:val="26"/>
          <w:szCs w:val="26"/>
        </w:rPr>
        <w:t xml:space="preserve">1.9.7  Hypotheses and Predictions</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Corresponding to each research question, the thesis makes the following hypotheses, which subsequent chapters will test:</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Hypothesis H1, corresponding to RQ1: The proposed model with input-conditioned variable-depth interlingua will achieve BLEU scores at least 1.0 point higher than a parameter-matched fixed-depth interlingua baseline, averaged over the supervised low-resource translation pairs in the evaluation set. The hypothesized improvement should hold across multiple language families to demonstrate generality.</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Hypothesis H2, corresponding to RQ2: The interlingua output of the proposed model will be more language-agnostic than the encoder output of a comparable shared multilingual encoder, as measured by both (a) language-identification probing accuracy at the interlingua output being within 10 percentage points of the chance level of 1/K, and (b) cross-lingual SVCCA similarity at the interlingua output being at least 0.10 higher than at the baseline encoder output.</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Hypothesis H3, corresponding to RQ3: The combination of the proposed architecture, DAE training, and mBART initialization will outperform each of the three pairwise ablations (without architecture, without DAE, without pretraining) by a margin that is statistically significant at the p &lt; 0.05 level under a bootstrap resampling test, demonstrating that the three components contribute additively rather than redundantly.</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These hypotheses are deliberately specific. They commit the thesis to falsifiable predictions whose failure would constitute genuine negative evidence against the proposed approach. Chapter 5 returns to these hypotheses in light of the experimental results and explicitly evaluates each against its corresponding success criterion.</w:t>
      </w:r>
    </w:p>
    <w:p>
      <w:pPr>
        <w:pStyle w:val="Heading3"/>
        <w:spacing w:after="160" w:before="280"/>
        <w:jc w:val="left"/>
      </w:pPr>
      <w:r>
        <w:rPr>
          <w:rFonts w:ascii="Times New Roman" w:cs="Times New Roman" w:eastAsia="Times New Roman" w:hAnsi="Times New Roman"/>
          <w:b/>
          <w:bCs/>
          <w:i/>
          <w:iCs/>
          <w:sz w:val="26"/>
          <w:szCs w:val="26"/>
        </w:rPr>
        <w:t xml:space="preserve">1.9.8  Scope and Limitations</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It is worth stating clearly what this thesis does and does not attempt. The thesis attempts to demonstrate that the proposed architecture and training procedure produce measurable improvements in translation quality and representation quality in the low-resource multilingual setting, against well-chosen baselines. It does not attempt to produce a state-of-the-art massively multilingual system, nor to demonstrate improvements in the high-resource setting, nor to address language pairs that are typologically isolated from all training languages. The experimental scope is restricted to a moderate number of languages (specifics deferred to Chapter 3) and a moderate-scale model. The scientific claims of the thesis are correspondingly restricted to that experimental setting; whether the conclusions generalize to massively multilingual systems or to extremely large models is left as future work.</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A second important limitation is that the thesis does not address the question of whether language-agnostic representations are inherently desirable. As noted in Section 1.4.3, Zhu et al. (2020) and others have argued that some language-pair-specific specialization is necessary for fluent generation. The proposed architecture and training procedure produce representations that are more language-agnostic than the baseline by the chosen metrics, but the thesis does not take a strong position on whether agnosticism beyond a certain point would be beneficial. The empirical results, together with discussion in Chapter 5, leave this question for future investigation.</w:t>
      </w:r>
    </w:p>
    <w:p>
      <w:pPr>
        <w:pStyle w:val="Heading2"/>
        <w:spacing w:after="200" w:before="360"/>
        <w:jc w:val="left"/>
      </w:pPr>
      <w:r>
        <w:rPr>
          <w:rFonts w:ascii="Times New Roman" w:cs="Times New Roman" w:eastAsia="Times New Roman" w:hAnsi="Times New Roman"/>
          <w:b/>
          <w:bCs/>
          <w:sz w:val="28"/>
          <w:szCs w:val="28"/>
        </w:rPr>
        <w:t xml:space="preserve">1.10  Thesis Structure and Contributions</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thesis is organized into five chapters. The present Chapter 1 has surveyed the literature and stated the research questions. The remaining four chapters address those questions and conclude the work.</w:t>
      </w:r>
    </w:p>
    <w:p>
      <w:pPr>
        <w:spacing w:after="120" w:before="200" w:line="300"/>
        <w:ind w:firstLine="360"/>
        <w:jc w:val="both"/>
      </w:pPr>
      <w:r>
        <w:rPr>
          <w:rFonts w:ascii="Times New Roman" w:cs="Times New Roman" w:eastAsia="Times New Roman" w:hAnsi="Times New Roman"/>
          <w:b w:val="false"/>
          <w:bCs w:val="false"/>
          <w:i w:val="false"/>
          <w:iCs w:val="false"/>
          <w:sz w:val="24"/>
          <w:szCs w:val="24"/>
        </w:rPr>
        <w:t xml:space="preserve">Chapter 2 presents the proposed architecture in detail. It describes the recursive interlingua layer formally, including the parameterization of the per-layer Transformer blocks, the halting mechanism, and the integration with the encoder and decoder. It also describes the training procedure, including the combined loss of Equation (1.11), the data sampling strategy, the optimization hyperparameters, and the initialization from mBART. Chapter 2 ends with implementation details sufficient for reproducibility.</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Chapter 3 presents the principal experiments addressing RQ1. The chapter describes the data, baselines, and evaluation protocol; reports BLEU results on supervised, zero-shot, and (where applicable) transfer translation; and analyzes the behavior of the halting mechanism. The chapter compares the proposed architecture against both fixed-depth interlingua baselines and the strongest non-interlingua multilingual systems available.</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Chapter 4 addresses RQ2 and RQ3. The chapter presents the representation-quality analyses, including language-ID probing on interlingua outputs and SVCCA across language pairs at multiple model depths. It also presents the ablation studies comparing the proposed system against versions without pretraining, without DAE, and without adaptive depth, in order to disentangle the contributions of each component. Chapter 4 closes with qualitative analyses of model behavior on selected examples.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Chapter 5 concludes the thesis. It summarizes the findings against the research questions of Section 1.9.5, situates the contributions within the broader research program of multilingual translation, and discusses the limitations and threats to validity of the experimental results. The chapter ends with a discussion of future directions, including the application of the proposed architecture to richer training objectives, larger model scales, and zero-shot transfer to unseen languages.</w:t>
      </w:r>
    </w:p>
    <w:p>
      <w:pPr>
        <w:pStyle w:val="Heading3"/>
        <w:spacing w:after="160" w:before="280"/>
        <w:jc w:val="left"/>
      </w:pPr>
      <w:r>
        <w:rPr>
          <w:rFonts w:ascii="Times New Roman" w:cs="Times New Roman" w:eastAsia="Times New Roman" w:hAnsi="Times New Roman"/>
          <w:b/>
          <w:bCs/>
          <w:i/>
          <w:iCs/>
          <w:sz w:val="26"/>
          <w:szCs w:val="26"/>
        </w:rPr>
        <w:t xml:space="preserve">1.10.1  Summary of Contributions</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principal contributions of this thesis are as follows.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First, the thesis introduces the recursive interlingua layer, a Transformer-based interlingua module whose depth is conditioned on the encoder output via an ACT-style halting mechanism. To the best of the author's knowledge, this is the first application of adaptive computation depth specifically to an interlingua module in a multilingual neural machine translation system.</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Second, the thesis demonstrates that the recursive interlingua layer, when trained with a denoising auto-encoding objective and initialized from monolingual pretraining, produces measurable improvements over fixed-depth baselines on low-resource multilingual translation, on both supervised and zero-shot pairs.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Third, the thesis demonstrates through probing experiments that the recursive interlingua layer produces representations that are more language-agnostic than those of a comparable shared multilingual encoder without an interlingua module, as measured by both language-ID probing accuracy and cross-lingual SVCCA similarity.</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Fourth, the thesis demonstrates through ablation studies that the architectural, training-objective, and pretraining contributions compose constructively in the low-resource setting, with each component contributing a statistically significant additional gain when added to the others.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Together, these contributions advance the explicit-interlingua research program initiated by Lu et al. (2018) and continued by Vázquez et al. (2019), Zhu et al. (2020), Liu et al. (2021a), and others. They also extend the adaptive-computation research program initiated by Graves (2016) and Dehghani et al. (2018) into a new application area. Most importantly, they offer a concrete and reproducible step toward closing the translation-quality gap between resource-rich and resource-poor languages, which remains the central practical motivation for multilingual NMT research.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Chapter 1 — Literature Survey and Problem Setting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Literature Survey and Problem Setting</dc:title>
  <dc:creator>PhD Thesis Author</dc:creator>
  <cp:lastModifiedBy>Un-named</cp:lastModifiedBy>
  <cp:revision>1</cp:revision>
  <dcterms:created xsi:type="dcterms:W3CDTF">2026-05-12T09:36:20.964Z</dcterms:created>
  <dcterms:modified xsi:type="dcterms:W3CDTF">2026-05-12T09:36:20.965Z</dcterms:modified>
</cp:coreProperties>
</file>

<file path=docProps/custom.xml><?xml version="1.0" encoding="utf-8"?>
<Properties xmlns="http://schemas.openxmlformats.org/officeDocument/2006/custom-properties" xmlns:vt="http://schemas.openxmlformats.org/officeDocument/2006/docPropsVTypes"/>
</file>