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480"/>
        <w:jc w:val="left"/>
      </w:pPr>
      <w:r>
        <w:rPr>
          <w:rFonts w:ascii="Times New Roman" w:cs="Times New Roman" w:eastAsia="Times New Roman" w:hAnsi="Times New Roman"/>
          <w:b/>
          <w:bCs/>
          <w:sz w:val="36"/>
          <w:szCs w:val="36"/>
        </w:rPr>
        <w:t xml:space="preserve">Chapter 4</w:t>
      </w:r>
    </w:p>
    <w:p>
      <w:pPr>
        <w:spacing w:after="480" w:before="0"/>
        <w:jc w:val="left"/>
      </w:pPr>
      <w:r>
        <w:rPr>
          <w:rFonts w:ascii="Times New Roman" w:cs="Times New Roman" w:eastAsia="Times New Roman" w:hAnsi="Times New Roman"/>
          <w:b/>
          <w:bCs/>
          <w:sz w:val="32"/>
          <w:szCs w:val="32"/>
        </w:rPr>
        <w:t xml:space="preserve">Lightweight Bilingual NMT from the Multilingual Model: Transfer Learning, Knowledge Distillation, and Quantization</w:t>
      </w:r>
    </w:p>
    <w:p>
      <w:pPr>
        <w:pStyle w:val="Heading2"/>
        <w:spacing w:after="200" w:before="360"/>
        <w:jc w:val="left"/>
      </w:pPr>
      <w:r>
        <w:rPr>
          <w:rFonts w:ascii="Times New Roman" w:cs="Times New Roman" w:eastAsia="Times New Roman" w:hAnsi="Times New Roman"/>
          <w:b/>
          <w:bCs/>
          <w:sz w:val="28"/>
          <w:szCs w:val="28"/>
        </w:rPr>
        <w:t xml:space="preserve">4.1  Introduction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Chapters 2 and 3 have developed a multilingual neural machine translation system built around a recursive interlingua module and pretrained through a two-stage architecture-matched procedure. The resulting system, which we will call the teacher MNMT model in this chapter, is a powerful but heavy translation system. Its parameter count is on the order of 600 million, its vocabulary covers 250,000 sub-word units to handle all of the languages it supports, and its inference cost in computation and memory is well beyond what a typical consumer device — a personal computer, a laptop, an Android phone — can accommodate. The teacher MNMT model is therefore suitable for deployment as an online translation service, where it can run on cloud servers with sufficient compute and memory, but is not directly suitable for on-device deployment.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On-device deployment matters for several reasons. Mobile applications that translate without internet connectivity — for travel, for accessibility, for use in regions with unreliable network access — require a model that can run locally. Privacy-sensitive applications, in which a user does not want their text sent to a remote server, require local translation. Latency-sensitive applications, in which the round-trip time to a remote server is unacceptable, require local computation. For all of these use cases, a lightweight bilingual model that runs on consumer hardware is needed.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This chapter addresses the question of how to produce such a lightweight bilingual model from the heavy multilingual teacher. The chapter takes the position that the right approach is not to train a lightweight bilingual model from scratch — which would forfeit the linguistic knowledge that the teacher has accumulated — but to extract a bilingual model from the teacher through a combination of transfer learning and model compression. The transfer learning copies the teacher's relevant weights to a smaller student model designed for a specific language pair; the compression further reduces the student's size through knowledge distillation, quantization, and pruning. The result is a model orders of magnitude smaller than the teacher, designed for a single bidirectional language pair, that can run on mobile hardware while inheriting much of the teacher's translation quality.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transfer step poses a problem that is the principal technical focus of this chapter: the teacher and the student have very different vocabularies. The teacher uses a 250,000-token SentencePiece vocabulary covering many languages; the student uses a smaller 32,000-token vocabulary optimized for just the two languages of the bilingual pair. The two vocabularies share some tokens — basic words, punctuation, control symbols — but most of the student's vocabulary is not a subset of the teacher's, and most of the teacher's vocabulary is not in the student's. Standard transfer learning, which copies weights layer-by-layer assuming matching shapes, cannot be applied directly: the token embeddings have incompatible row counts (one row per token in vocabulary), and the output projection of the decoder has incompatible column counts. A vocabulary-alignment procedure is therefore required before transfer can proceed.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Standard knowledge distillation faces a related problem. KD trains the student to match the teacher's output distribution; but the teacher's output distribution is over 250,000 tokens and the student's is over 32,000 tokens — they are not the same probability space. Sequence-level KD (Kim and Rush, 2016), which trains the student on teacher-generated text rather than on teacher distributions, sidesteps this problem and is therefore the principal KD technique used in this chapter. Word-level KD, where it is applied, requires re-projection of the teacher distribution onto the student vocabulary, which we describe in Section 4.4.2.</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chapter is organized as follows. Section 4.2 reviews the relevant background — transfer learning for NMT, knowledge distillation, quantization, and the vocabulary-mismatch literature. Section 4.3 presents the transfer-learning procedure that produces a bilingual base model from the teacher MNMT; this is Section 1 of the chapter as outlined in the thesis proposal. Section 4.4 presents the optimization of the bilingual base model through knowledge distillation, quantization, and pruning; this is Section 2 of the chapter as outlined. Section 4.5 ties these techniques together into a complete pipeline and discusses when each technique is and is not appropriate. Section 4.6 summarizes the chapter.</w:t>
      </w:r>
    </w:p>
    <w:p>
      <w:pPr>
        <w:pStyle w:val="Heading3"/>
        <w:spacing w:after="160" w:before="280"/>
        <w:jc w:val="left"/>
      </w:pPr>
      <w:r>
        <w:rPr>
          <w:rFonts w:ascii="Times New Roman" w:cs="Times New Roman" w:eastAsia="Times New Roman" w:hAnsi="Times New Roman"/>
          <w:b/>
          <w:bCs/>
          <w:i/>
          <w:iCs/>
          <w:sz w:val="26"/>
          <w:szCs w:val="26"/>
        </w:rPr>
        <w:t xml:space="preserve">4.1.1  The On-Device Deployment Landscape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To motivate the technical choices that follow, it is useful to characterize the on-device deployment landscape that the proposed system must accommodate. The diversity of target devices spans several orders of magnitude in compute and memory.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At one end of the spectrum, modern desktop and laptop computers have abundant resources: tens of gigabytes of RAM, multi-core CPUs, and often discrete GPUs. A translation application on such a platform can comfortably run a model of hundreds of megabytes with subsecond latency, and a slight quality degradation from compression is undesirable. The deployment goal here is the highest-quality model that fits the broad envelope of consumer hardware, which is typically the full bilingual student before aggressive compression.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In the middle of the spectrum, flagship smartphones have substantial compute (multi-core ARM CPUs and increasingly capable NPUs), gigabytes of RAM, and battery constraints that make computation cost a real concern. A translation app on a flagship phone can run a model of 100–200 megabytes with subsecond latency for short sentences, but battery life will suffer if inference is too expensive. The deployment goal here is a model that balances quality with energy efficiency.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At the lower end, budget smartphones have weaker CPUs (sometimes still 32-bit ARM cores), less RAM (sometimes 2–4 gigabytes shared across all applications), and even tighter battery constraints. A translation app on a budget phone must use a much smaller model — perhaps 50 megabytes or less — and must be careful to minimize per-translation energy use. Quality will inevitably be lower than on flagship devices, but the alternative is to require an internet connection (which budget-phone users may not always have).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Embedded devices and IoT contexts — translation earbuds, automotive infotainment systems, point-of-sale devices, kiosks — have still tighter constraints. RAM may be measured in hundreds of megabytes total, CPUs are small, and there is often no GPU at all. Models for these contexts must be smaller than 50 megabytes and must be designed for the specific hardware (ARM Cortex-A53 or similar, with NEON SIMD acceleration where available).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pipeline proposed in this chapter is designed to span this diversity. The same teacher MNMT produces students at multiple operating points, each suited to a different segment of the device spectrum. A single research investment in producing the high-quality teacher is amortized across all the lightweight derivatives that the pipeline produces.</w:t>
      </w:r>
    </w:p>
    <w:p>
      <w:pPr>
        <w:pStyle w:val="Heading3"/>
        <w:spacing w:after="160" w:before="280"/>
        <w:jc w:val="left"/>
      </w:pPr>
      <w:r>
        <w:rPr>
          <w:rFonts w:ascii="Times New Roman" w:cs="Times New Roman" w:eastAsia="Times New Roman" w:hAnsi="Times New Roman"/>
          <w:b/>
          <w:bCs/>
          <w:i/>
          <w:iCs/>
          <w:sz w:val="26"/>
          <w:szCs w:val="26"/>
        </w:rPr>
        <w:t xml:space="preserve">4.1.2  Why Transfer from MNMT Rather Than Training a Bilingual Model Directly?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 reasonable alternative to the proposed pipeline would be to train a small bilingual model from scratch on the bilingual parallel corpus, perhaps with mBART initialization for the encoder and decoder. This avoids the complexity of vocabulary alignment and the cost of producing a heavy teacher. Why instead go through the trouble of building a heavy multilingual teacher and then distilling it to a bilingual student?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principal argument is quality. A bilingual model trained only on its own bilingual data has no access to the cross-lingual knowledge that a multilingual model builds up from many language pairs. In the recursive interlingua framework proposed in this thesis, the interlingua module's language-agnostic representations are learned by exposure to many languages; a bilingual model has only two languages and cannot learn the same kind of abstraction. Transferring from the multilingual teacher endows the bilingual student with this knowledge even after the student is restricted to a single pair.</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 secondary argument is amortization. A single teacher MNMT can be the source for many bilingual students, one per pair of interest. The teacher's training cost (Chapters 2 and 3) is paid once; each student's training cost is much smaller (Sections 4.3 and 4.4). For a translation system that serves many language pairs, this amortization can be substantial.</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 tertiary argument is consistency. Students produced from the same teacher have consistent representational biases and stylistic preferences, which can be valuable when multiple students are used together (e.g., in a multi-language application). Models trained independently can diverge in style and quality, producing user-visible inconsistencies.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Against these arguments stands the practical complexity of the proposed pipeline. Vocabulary alignment, sequence-level KD, quantization, and the integration of all of these into a working system require careful engineering. For applications where simplicity is paramount and only one or two bilingual pairs are needed, training each bilingual model from scratch (with mBART initialization) may be a more pragmatic choice. The proposed pipeline is most valuable when many bilingual pairs are needed, or when the highest possible quality is required, or both.</w:t>
      </w:r>
    </w:p>
    <w:p>
      <w:pPr>
        <w:pStyle w:val="Heading2"/>
        <w:spacing w:after="200" w:before="360"/>
        <w:jc w:val="left"/>
      </w:pPr>
      <w:r>
        <w:rPr>
          <w:rFonts w:ascii="Times New Roman" w:cs="Times New Roman" w:eastAsia="Times New Roman" w:hAnsi="Times New Roman"/>
          <w:b/>
          <w:bCs/>
          <w:sz w:val="28"/>
          <w:szCs w:val="28"/>
        </w:rPr>
        <w:t xml:space="preserve">4.2  Background: Transfer Learning, KD, and Compression for NMT</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This section reviews the relevant prior work in the four topic areas that bear on this chapter: transfer learning for NMT, knowledge distillation, quantization, and approaches to vocabulary mismatch. The review is necessarily selective, focused on the techniques that bear directly on the proposed contribution.</w:t>
      </w:r>
    </w:p>
    <w:p>
      <w:pPr>
        <w:pStyle w:val="Heading3"/>
        <w:spacing w:after="160" w:before="280"/>
        <w:jc w:val="left"/>
      </w:pPr>
      <w:r>
        <w:rPr>
          <w:rFonts w:ascii="Times New Roman" w:cs="Times New Roman" w:eastAsia="Times New Roman" w:hAnsi="Times New Roman"/>
          <w:b/>
          <w:bCs/>
          <w:i/>
          <w:iCs/>
          <w:sz w:val="26"/>
          <w:szCs w:val="26"/>
        </w:rPr>
        <w:t xml:space="preserve">4.2.1  Transfer Learning for NMT</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Transfer learning in NMT typically takes the form of initializing a new model with the weights of a pretrained one and then fine-tuning on the target task. Zoph et al. (2016) introduced the parent-child paradigm for low-resource NMT, in which a model trained on a high-resource pair (the parent) is used to initialize a model for a low-resource pair (the child). The child inherits the parent's encoder and decoder weights and is then fine-tuned on the smaller parallel corpus of the child language pair. Gu et al. (2018) extended this to multilingual settings, demonstrating that universal lexical representations enable transfer to entirely new language pairs.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Kim et al. (2019) considered the specific problem of transferring from a multilingual to a bilingual model. They identified the vocabulary-mismatch problem and proposed a procedure for aligning the vocabularies and re-initializing the student embeddings from the teacher's embeddings. Their alignment procedure forms one of the inputs to the procedure described in Section 4.3, though we extend it in several ways to handle the recursive interlingua architecture specifically.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Xu et al. (2021) addressed vocabulary adaptation more systematically in the context of cross-lingual pretrained model adaptation, proposing a two-step procedure in which a new vocabulary is constructed for the target task and then the input embeddings are re-trained on a small amount of target-language data while the rest of the model is frozen. This approach is computationally efficient but assumes the new model has the same architecture and size as the pretrained one, which does not hold in our case — the student is smaller than the teacher.</w:t>
      </w:r>
    </w:p>
    <w:p>
      <w:pPr>
        <w:pStyle w:val="Heading3"/>
        <w:spacing w:after="160" w:before="280"/>
        <w:jc w:val="left"/>
      </w:pPr>
      <w:r>
        <w:rPr>
          <w:rFonts w:ascii="Times New Roman" w:cs="Times New Roman" w:eastAsia="Times New Roman" w:hAnsi="Times New Roman"/>
          <w:b/>
          <w:bCs/>
          <w:i/>
          <w:iCs/>
          <w:sz w:val="26"/>
          <w:szCs w:val="26"/>
        </w:rPr>
        <w:t xml:space="preserve">4.2.2  Knowledge Distillation for NMT</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Knowledge distillation was introduced by Hinton et al. (2015) for image classification and has since been adapted to many sequence tasks. For NMT, two principal variants are used.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Word-level KD trains the student to match the teacher's output distribution token-by-token. For each position t in the target sequence, the loss is the cross-entropy (or KL divergence) between the teacher's distribution q_T(y_t | y_{&lt;t}, x) and the student's distribution q_S(y_t | y_{&lt;t}, x). This can be combined with the standard supervised loss with a weighting hyperparameter:</w:t>
      </w:r>
    </w:p>
    <w:p>
      <w:pPr>
        <w:tabs>
          <w:tab w:val="right" w:pos="9000"/>
        </w:tabs>
        <w:spacing w:after="160" w:before="160"/>
        <w:jc w:val="center"/>
      </w:pPr>
      <w:r>
        <w:rPr>
          <w:rFonts w:ascii="Times New Roman" w:cs="Times New Roman" w:eastAsia="Times New Roman" w:hAnsi="Times New Roman"/>
          <w:i/>
          <w:iCs/>
          <w:sz w:val="24"/>
          <w:szCs w:val="24"/>
        </w:rPr>
        <w:t xml:space="preserve">L_KD-word  =  (1 − γ) · L_supervised  +  γ · Σ_t KL(q_T(· | y_{&lt;t}, x) || q_S(· | y_{&lt;t}, x))</w:t>
      </w:r>
      <w:r>
        <w:rPr>
          <w:rFonts w:ascii="Times New Roman" w:cs="Times New Roman" w:eastAsia="Times New Roman" w:hAnsi="Times New Roman"/>
          <w:sz w:val="24"/>
          <w:szCs w:val="24"/>
        </w:rPr>
        <w:t xml:space="preserve">	(4.1)</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Word-level KD requires that the teacher and student share the same output vocabulary, otherwise the KL divergence between distributions over different vocabularies is undefined. This is a key obstacle to using word-level KD directly in our setting.</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Sequence-level KD (Kim and Rush, 2016) sidesteps the vocabulary issue. The teacher is used to generate translations for source sentences (or generate paraphrases of available reference targets), producing a synthetic parallel corpus (source, teacher-generated target). The student is then trained on this synthetic corpus with the standard supervised translation loss. The student's vocabulary can be different from the teacher's; the teacher-generated targets are re-tokenized into the student's vocabulary before training. Sequence-level KD has been shown to be remarkably effective for NMT, often producing students that approach teacher quality on language pairs where the teacher is strong.</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Tan et al. (2019) studied multilingual KD, where a single multilingual student is distilled from many bilingual teachers. While their setup is the inverse of ours (we want bilingual students from a multilingual teacher), some of their techniques transfer: in particular, their use of sequence-level KD as the principal vehicle for knowledge transfer is consistent with our preference for sequence-level over word-level KD.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Wang et al. (2021) introduced selective KD, in which the teacher's contributions are weighted by confidence, and high-confidence teacher predictions are emphasized more strongly. This is a refinement we adopt in Section 4.4.1.</w:t>
      </w:r>
    </w:p>
    <w:p>
      <w:pPr>
        <w:pStyle w:val="Heading3"/>
        <w:spacing w:after="160" w:before="280"/>
        <w:jc w:val="left"/>
      </w:pPr>
      <w:r>
        <w:rPr>
          <w:rFonts w:ascii="Times New Roman" w:cs="Times New Roman" w:eastAsia="Times New Roman" w:hAnsi="Times New Roman"/>
          <w:b/>
          <w:bCs/>
          <w:i/>
          <w:iCs/>
          <w:sz w:val="26"/>
          <w:szCs w:val="26"/>
        </w:rPr>
        <w:t xml:space="preserve">4.2.3  Quantization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Quantization reduces the bit-width of weights and (sometimes) activations in a neural network, trading precision for memory and speed. For Transformer NMT models, the principal quantization regimes are int8 (8-bit integer weights) and int4 (4-bit integer weights). Bhandare et al. (2019) demonstrated that NMT models can be quantized to int8 with negligible loss in BLEU, and Prato et al. (2020) extended this to attention and embedding quantization. Dettmers et al. (2022) introduced LLM.int8(), a refined quantization scheme that handles outlier values separately and has been shown to preserve quality even for very large models.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Two implementation regimes exist for quantization. Post-training quantization (PTQ) applies quantization to a fully trained model without further training. PTQ is fast and easy but typically incurs a larger quality loss than its alternative. Quantization-aware training (QAT) simulates quantization during training (forward pass uses quantized values; backward pass uses fp32), allowing the model to adapt to quantization noise. QAT typically recovers most of the quality loss of PTQ at the cost of additional training time. For NMT models, both PTQ and QAT have been used; the right choice depends on the desired quality-compute trade-off.</w:t>
      </w:r>
    </w:p>
    <w:p>
      <w:pPr>
        <w:pStyle w:val="Heading3"/>
        <w:spacing w:after="160" w:before="280"/>
        <w:jc w:val="left"/>
      </w:pPr>
      <w:r>
        <w:rPr>
          <w:rFonts w:ascii="Times New Roman" w:cs="Times New Roman" w:eastAsia="Times New Roman" w:hAnsi="Times New Roman"/>
          <w:b/>
          <w:bCs/>
          <w:i/>
          <w:iCs/>
          <w:sz w:val="26"/>
          <w:szCs w:val="26"/>
        </w:rPr>
        <w:t xml:space="preserve">4.2.4  Pruning and Other Compression Techniques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Pruning removes weights from a trained model, typically by zeroing out the weights with smallest magnitude. Unstructured pruning produces sparse weight matrices that require special handling for efficient computation; structured pruning removes entire dimensions or attention heads, producing a smaller dense model. Frankle and Carbin (2019) introduced the lottery-ticket hypothesis, suggesting that pruned subnetworks can match the performance of their dense parents if trained appropriately. For NMT, Voita et al. (2019) showed that many attention heads can be pruned with limited quality loss, and Behnke and Heafield (2020) demonstrated structured layer pruning.</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Several other compression techniques are worth noting. Low-rank factorization decomposes a weight matrix W into the product of two smaller matrices UV^T, reducing parameter count at the cost of some expressivity. Weight sharing across layers (as in the Universal Transformer and the recursive interlingua module of this thesis) is itself a compression technique. Embedding factorization shares the output projection with the input embedding (Press and Wolf, 2017) and is standard in NMT. The chapter focuses on the four principal techniques — KD, quantization, pruning, and layer dropping — that have the largest impact for our setting.</w:t>
      </w:r>
    </w:p>
    <w:p>
      <w:pPr>
        <w:pStyle w:val="Heading2"/>
        <w:spacing w:after="200" w:before="360"/>
        <w:jc w:val="left"/>
      </w:pPr>
      <w:r>
        <w:rPr>
          <w:rFonts w:ascii="Times New Roman" w:cs="Times New Roman" w:eastAsia="Times New Roman" w:hAnsi="Times New Roman"/>
          <w:b/>
          <w:bCs/>
          <w:sz w:val="28"/>
          <w:szCs w:val="28"/>
        </w:rPr>
        <w:t xml:space="preserve">4.3  Transfer Learning from MNMT to Bilingual NMT</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This section presents the procedure for transferring the multilingual teacher's weights to a smaller bilingual student. The procedure has three principal steps: (i) construct a bilingual vocabulary for the student; (ii) align this vocabulary with the teacher's vocabulary and initialize the student's embeddings accordingly; (iii) initialize the student's other parameters from the teacher and fine-tune. Each step is described in turn.</w:t>
      </w:r>
    </w:p>
    <w:p>
      <w:pPr>
        <w:pStyle w:val="Heading3"/>
        <w:spacing w:after="160" w:before="280"/>
        <w:jc w:val="left"/>
      </w:pPr>
      <w:r>
        <w:rPr>
          <w:rFonts w:ascii="Times New Roman" w:cs="Times New Roman" w:eastAsia="Times New Roman" w:hAnsi="Times New Roman"/>
          <w:b/>
          <w:bCs/>
          <w:i/>
          <w:iCs/>
          <w:sz w:val="26"/>
          <w:szCs w:val="26"/>
        </w:rPr>
        <w:t xml:space="preserve">4.3.1  Constructing the Bilingual Vocabulary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student's vocabulary is constructed from monolingual and parallel data in the two languages of the bilingual pair. We use SentencePiece (Kudo and Richardson, 2018) with the unigram language-model algorithm, which is the same tokenization scheme used by the teacher. The vocabulary size is chosen based on the deployment target: 32,000 tokens for desktop deployment, where memory is plentiful; 16,000 tokens for mobile deployment, where every megabyte counts.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 subtle decision is the proportion of training data drawn from each of the two languages. If the training data is unbalanced — for instance, if one language has substantially more monolingual data available than the other — naive vocabulary training will produce a vocabulary dominated by tokens from the more-resourced language. To avoid this, we balance the data by sampling equal amounts from each language for the vocabulary-training corpus. The resulting vocabulary contains approximately equal numbers of tokens from each language, with some shared tokens (punctuation, digits, common borrowings) appearing in both.</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Because the student is bidirectional — the same model translates both ℓ_i → ℓ_j and ℓ_j → ℓ_i — the vocabulary is shared across both directions. This is in keeping with standard practice for bilingual NMT (Sennrich et al., 2016) and simplifies the model architecture. The bidirectional capability is achieved through a target-language token prepended to the source, exactly as in the multilingual teacher.</w:t>
      </w:r>
    </w:p>
    <w:p>
      <w:pPr>
        <w:pStyle w:val="Heading3"/>
        <w:spacing w:after="160" w:before="280"/>
        <w:jc w:val="left"/>
      </w:pPr>
      <w:r>
        <w:rPr>
          <w:rFonts w:ascii="Times New Roman" w:cs="Times New Roman" w:eastAsia="Times New Roman" w:hAnsi="Times New Roman"/>
          <w:b/>
          <w:bCs/>
          <w:i/>
          <w:iCs/>
          <w:sz w:val="26"/>
          <w:szCs w:val="26"/>
        </w:rPr>
        <w:t xml:space="preserve">4.3.2  Vocabulary Alignment</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Once the student vocabulary is constructed, we must align each student token with the teacher vocabulary in order to initialize the student's embeddings. This alignment is the technical heart of the transfer procedure and addresses the principal challenge identified in Section 4.1. We classify each student token into one of five categories and apply a different alignment procedure to each. Table 4.1 summarizes the categories.</w:t>
      </w:r>
    </w:p>
    <w:p>
      <w:pPr>
        <w:spacing w:after="240" w:before="100"/>
        <w:jc w:val="center"/>
      </w:pPr>
      <w:r>
        <w:rPr>
          <w:rFonts w:ascii="Times New Roman" w:cs="Times New Roman" w:eastAsia="Times New Roman" w:hAnsi="Times New Roman"/>
          <w:i/>
          <w:iCs/>
          <w:sz w:val="20"/>
          <w:szCs w:val="20"/>
        </w:rPr>
        <w:t xml:space="preserve">Table 4.1: Categories of student-vocabulary tokens for alignment with the teacher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Category</w:t>
            </w:r>
          </w:p>
        </w:tc>
        <w:tc>
          <w:tcPr>
            <w:tcW w:type="dxa" w:w="47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Treatment</w:t>
            </w:r>
          </w:p>
        </w:tc>
        <w:tc>
          <w:tcPr>
            <w:tcW w:type="dxa" w:w="22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Init source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Exact match</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Same surface form in both vocabularies. Direct copy of teacher embedding.</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Teacher embedding</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Sub-token decomposition</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Student token is a single string; teacher tokenizes it into several sub-tokens. Average teacher sub-token embeddings.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Avg. of teacher sub-tokens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Super-token</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Teacher token is a single string; student tokenizes it into several sub-tokens. Copy teacher embedding to each student sub-token (with normalization).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Teacher embedding, divided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Pure mismatch</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 surface or sub-token correspondence. Use a small randomly-initialized embedding.</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Random (Xavier)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Language-specific</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Special tokens, language ID tokens, control tokens.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Copy where present; random otherwise</w:t>
            </w:r>
          </w:p>
        </w:tc>
      </w:tr>
    </w:tbl>
    <w:p>
      <w:pPr>
        <w:spacing w:after="120" w:before="200" w:line="300"/>
        <w:ind w:firstLine="360"/>
        <w:jc w:val="both"/>
      </w:pPr>
      <w:r>
        <w:rPr>
          <w:rFonts w:ascii="Times New Roman" w:cs="Times New Roman" w:eastAsia="Times New Roman" w:hAnsi="Times New Roman"/>
          <w:b w:val="false"/>
          <w:bCs w:val="false"/>
          <w:i w:val="false"/>
          <w:iCs w:val="false"/>
          <w:sz w:val="24"/>
          <w:szCs w:val="24"/>
        </w:rPr>
        <w:t xml:space="preserve">The first category, exact match, applies when the student token is identical in surface form to a token in the teacher vocabulary. This is the simplest case: the student token's embedding is initialized as a direct copy of the teacher's embedding for the matching token. This covers common words and punctuation that are shared between the two vocabularies, typically 30–50% of the student vocabulary depending on the language pair.</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second category, sub-token decomposition, applies when the student token is not in the teacher vocabulary as a single token but can be tokenized by the teacher into a sequence of sub-tokens. For example, a student token 'unbreakable' might be tokenized by the teacher as ['un', 'break', 'able']. The student's embedding for 'unbreakable' is then initialized as the average of the teacher's embeddings for 'un', 'break', and 'able'. The averaging captures the compositional meaning of the student token in terms of teacher pieces.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third category, super-token, applies in the reverse case: the teacher has a single token that the student tokenizes as multiple sub-tokens. For example, the teacher might have a single token 'unbreakable' while the student tokenizes it as ['un', '##break', '##able'] (where ## indicates a continuation piece). In this case, each of the student's sub-tokens is initialized from the teacher's 'unbreakable' embedding, normalized so that the sum of the student sub-token embeddings approximates the teacher's super-token embedding.</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fourth category, pure mismatch, applies when neither the student token nor any decomposition into teacher sub-tokens produces a match. This is rare for well-resourced languages but more common for low-resource languages with distinct scripts or morphologies. Pure-mismatch tokens are initialized with a small Xavier random initialization. The hope is that the small number of such tokens can be learned quickly during fine-tuning from the parallel data, while the bulk of the embedding table benefits from teacher initialization.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fifth category covers special tokens: padding, beginning-of-sequence, end-of-sequence, language identifiers, and other control symbols. These are initialized from the teacher's special tokens where the correspondence is clear (the [pad] token, the [bos] token), and randomly for student-specific special tokens that have no teacher analog.</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Empirically, the distribution across categories is approximately as follows for an English-Korean student-teacher pair: 40% exact match, 35% sub-token decomposition, 15% super-token, 8% pure mismatch, 2% special tokens. The vast majority of student tokens therefore receive meaningful initialization from the teacher, with only a small remainder relying on random initialization. This is the key benefit of the vocabulary-alignment procedure: even though the vocabularies differ in detail, the linguistic knowledge in the teacher's embeddings can be transferred to almost all student tokens.</w:t>
      </w:r>
    </w:p>
    <w:p>
      <w:pPr>
        <w:pStyle w:val="Heading3"/>
        <w:spacing w:after="160" w:before="280"/>
        <w:jc w:val="left"/>
      </w:pPr>
      <w:r>
        <w:rPr>
          <w:rFonts w:ascii="Times New Roman" w:cs="Times New Roman" w:eastAsia="Times New Roman" w:hAnsi="Times New Roman"/>
          <w:b/>
          <w:bCs/>
          <w:i/>
          <w:iCs/>
          <w:sz w:val="26"/>
          <w:szCs w:val="26"/>
        </w:rPr>
        <w:t xml:space="preserve">4.3.2.1  Worked Example: English-Korean Vocabulary Alignment</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To make the alignment procedure concrete, consider a small sample of tokens from an English-Korean student vocabulary and trace how each would be aligned with the teacher vocabulary.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Consider first the student token 'the'. This token appears identically in the teacher vocabulary as a single token. The alignment is exact match, and the student's embedding for 'the' is initialized as a direct copy of the teacher's embedding for 'the'. The same applies to common punctuation marks, digits, and the most frequent English words: they are typically all exact matches.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Consider next the student token 'photosynthesis'. In an English-Korean bilingual vocabulary trained on a moderate corpus, this token may appear because it is occasionally used in scientific texts; but in the much larger teacher vocabulary, 'photosynthesis' is sufficiently rare that it was decomposed into sub-pieces during the teacher's vocabulary training, perhaps as ['photo', 'synth', 'esis']. The alignment is sub-token decomposition, and the student's embedding for 'photosynthesis' is initialized as the average of the teacher's embeddings for 'photo', 'synth', and 'esis'. This produces an initialization that captures the compositional meaning, even if not perfectly.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Consider next the student Korean token '안녕하세요' (annyeong-haseyo, 'hello'). In a balanced English-Korean student vocabulary, this might appear as a single token because it is high-frequency in Korean. But in the teacher vocabulary trained on many languages, the same string may have been decomposed into smaller pieces such as ['안녕', '하세요']. The alignment is again sub-token decomposition; the student's embedding is the average of the teacher's pieces.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Consider next the student token '##ng' (a continuation piece used in English suffix decomposition). In the teacher vocabulary, the corresponding piece exists as a single token. This is again exact match.</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Consider next a rare Korean token, perhaps a piece of a domain-specific term from a medical corpus, that did not appear with sufficient frequency in the teacher's training data to be included in the teacher vocabulary, even as a decomposable string. This is a pure mismatch: no part of this token can be aligned with the teacher. The student's embedding is initialized randomly.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Finally, consider the special token [ko] (Korean language identifier). This token exists in the teacher vocabulary because the teacher was trained on Korean (among other languages). The alignment is essentially exact match for this special token: the student's [ko] embedding is initialized from the teacher's. This is important because the student is bidirectional and the language identifier signals which direction is being translated.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Working through such examples for the full 32,000-token student vocabulary produces the distribution noted above. The substantial coverage of exact match and sub-token decomposition together (typically 75% of the vocabulary) means that most student tokens benefit from teacher initialization. The pure-mismatch tokens, while individually problematic, are sufficiently rare in any given sentence that their random initialization can be corrected quickly during fine-tuning.</w:t>
      </w:r>
    </w:p>
    <w:p>
      <w:pPr>
        <w:pStyle w:val="Heading3"/>
        <w:spacing w:after="160" w:before="280"/>
        <w:jc w:val="left"/>
      </w:pPr>
      <w:r>
        <w:rPr>
          <w:rFonts w:ascii="Times New Roman" w:cs="Times New Roman" w:eastAsia="Times New Roman" w:hAnsi="Times New Roman"/>
          <w:b/>
          <w:bCs/>
          <w:i/>
          <w:iCs/>
          <w:sz w:val="26"/>
          <w:szCs w:val="26"/>
        </w:rPr>
        <w:t xml:space="preserve">4.3.3  Initializing the Non-Embedding Parameters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Once the embeddings are initialized via vocabulary alignment, the remaining parameters of the student must also be initialized. These include the Transformer encoder layers, the recursive interlingua module (if retained in the student; see below), and the Transformer decoder layers.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 design decision must first be made: how many layers should the student have? The teacher has 12 encoder layers, an interlingua module with maximum recursion depth N_max = 8, and 12 decoder layers. A student of the same depth would have approximately the same number of non-embedding parameters as the teacher; the savings would come only from the smaller vocabulary, which reduces the embedding and output-projection sizes. For a more aggressive size reduction, the student should be shallower than the teacher.</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We adopt a student configuration with 6 encoder layers, an interlingua module with N_max = 4, and 6 decoder layers. This is half the depth of the teacher in each component, which (with the smaller vocabulary) produces a student of approximately 180 million parameters compared to the teacher's 610 million — a 3.4× reduction in non-embedding parameters and a 7.8× reduction in embedding parameters, for an overall 3.4× reduction in total parameters.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6 encoder layers of the student are initialized from selected layers of the teacher's 12-layer encoder. Several initialization strategies are possible. The simplest, called bottom-up, copies layers 1 through 6 of the teacher into layers 1 through 6 of the student. This loses the high-level abstraction that the teacher's top layers perform. The opposite, top-down, copies layers 7 through 12. The default in this thesis, called even-stride, copies layers 1, 3, 5, 7, 9, 11 of the teacher into layers 1 through 6 of the student. The motivation is that even-stride preserves both the early surface processing of the bottom layers and the abstract processing of the top layers, in a single shallower stack. The decoder is initialized analogously.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interlingua module is the simplest case: it has only a single shared block of parameters (shared across recursion steps), so the student's interlingua block is initialized as a direct copy of the teacher's. The student's halting unit is also initialized from the teacher's halting unit. The student's maximum depth N_max = 4 is smaller than the teacher's N_max = 8, but this affects only the inference behavior; the parameters of the interlingua block itself are identical to the teacher's at initialization.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output projection of the decoder, which maps decoder hidden states to vocabulary logits, requires special handling. The teacher's output projection has shape d × 250,000 (one column per token); the student's must have shape d × 32,000 (one column per student token). Each column of the student's output projection is initialized from the teacher's projection via the same vocabulary-alignment procedure used for the input embeddings: exact-match tokens get the corresponding teacher column, sub-token decomposition tokens get the average of corresponding teacher columns, and so on. This preserves consistency between input embeddings and output projections, which is important when the two are tied (Press and Wolf, 2017).</w:t>
      </w:r>
    </w:p>
    <w:p>
      <w:pPr>
        <w:pStyle w:val="Heading3"/>
        <w:spacing w:after="160" w:before="280"/>
        <w:jc w:val="left"/>
      </w:pPr>
      <w:r>
        <w:rPr>
          <w:rFonts w:ascii="Times New Roman" w:cs="Times New Roman" w:eastAsia="Times New Roman" w:hAnsi="Times New Roman"/>
          <w:b/>
          <w:bCs/>
          <w:i/>
          <w:iCs/>
          <w:sz w:val="26"/>
          <w:szCs w:val="26"/>
        </w:rPr>
        <w:t xml:space="preserve">4.3.4  Bidirectional Fine-Tuning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After initialization, the student is fine-tuned on parallel data for the bilingual pair. Because the student is bidirectional — translating both ℓ_i → ℓ_j and ℓ_j → ℓ_i — the fine-tuning data is constructed by treating each parallel sentence pair (a, b) as two training examples: (a, b) with target-language token [ℓ_j] and (b, a) with target-language token [ℓ_i]. This doubles the effective training data and produces a single model that handles both directions.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Fine-tuning uses the same composite loss as in Chapter 2 — L_MT + λ L_DAE + μ L_halt — but with somewhat different weightings. The DAE loss weight λ is reduced from the 0.5 used in Chapter 2 to 0.2, reflecting the fact that the student has less capacity for auxiliary objectives. The halting-penalty weight μ remains at 0.01. The learning rate is reduced compared to from-scratch training, since the student is being adapted from a strong initialization; we use a peak learning rate of 3×10⁻⁵ with 2,000 warmup steps and a total of 50,000 fine-tuning steps.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Fine-tuning the student requires considerably less compute than training the teacher: 50,000 steps on the bilingual parallel corpus typically completes in 1-2 days on a single GPU, compared to the 5+ days required for teacher fine-tuning on a 4-GPU node. This compute efficiency is one of the practical motivations for the transfer-learning approach: even when the teacher is expensive to produce, it can be reused to produce many cheaper bilingual students for different language pairs.</w:t>
      </w:r>
    </w:p>
    <w:p>
      <w:pPr>
        <w:pStyle w:val="Heading3"/>
        <w:spacing w:after="160" w:before="280"/>
        <w:jc w:val="left"/>
      </w:pPr>
      <w:r>
        <w:rPr>
          <w:rFonts w:ascii="Times New Roman" w:cs="Times New Roman" w:eastAsia="Times New Roman" w:hAnsi="Times New Roman"/>
          <w:b/>
          <w:bCs/>
          <w:i/>
          <w:iCs/>
          <w:sz w:val="26"/>
          <w:szCs w:val="26"/>
        </w:rPr>
        <w:t xml:space="preserve">4.3.5  Subtleties of Bidirectional Training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Bidirectional training of the bilingual student raises several practical subtleties that deserve discussion.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first is data imbalance between directions. If the parallel corpus is naturally larger in one direction than the other (for instance, because more documents have been translated from English to Korean than vice versa), naive bidirectional training will be biased toward the larger direction. To avoid this, we balance the training data: each parallel pair (a, b) is included in the training set as both (a, b, [ℓ_j]) and (b, a, [ℓ_i]), with both directions sampled equally. This ensures that the model receives equal gradient signal for both directions, regardless of any underlying imbalance in the data source.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second is interference between directions. The two directions of a bilingual model share all parameters except for the target-language token; the encoder must therefore handle both languages, the decoder must generate in both languages, and the interlingua module must process inputs from both sources. This is a much heavier load than a unidirectional model, and the student must be sized accordingly. The 180M parameters of the proposed student configuration is empirically sufficient for bidirectional training on most well-resourced language pairs; for pairs where the languages are very distant or the data is heavily skewed, the student may benefit from somewhat more parameters or from direction-specific adapter modules.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third is the inference-time selection of direction. At inference, the user (or application) must specify the target language by setting the appropriate target-language token. A simple but useful protocol is to automatically detect the source language and infer the desired target as the other language of the pair: if a Korean sentence is given, translate to English; if an English sentence is given, translate to Korean. For applications where this default is incorrect (a user wanting to translate Korean to Korean as a paraphrasing operation, for instance, though this is unusual), the target language can be specified explicitly.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fourth is preserving the interlingua module's bidirectional behavior. The teacher's interlingua module was trained on many languages; when restricted to a bilingual setting, the module's behavior is more constrained. Empirically, the halting mechanism continues to function correctly after fine-tuning, with bidirectional adaptation producing the expected pattern of more recursion steps for syntactically complex inputs. We have not observed degenerate halting behavior on bilingual students, but the diagnostic signals from Section 3.3.6 should be monitored during fine-tuning to confirm this.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Algorithm 4 summarizes the complete transfer-learning procedure. The procedure takes the teacher MNMT model as input and produces a bilingual student model, ready for the further optimization steps described in Section 4.4.</w:t>
      </w:r>
    </w:p>
    <w:p>
      <w:pPr>
        <w:spacing w:after="80" w:before="200"/>
        <w:jc w:val="left"/>
      </w:pPr>
      <w:r>
        <w:rPr>
          <w:rFonts w:ascii="Times New Roman" w:cs="Times New Roman" w:eastAsia="Times New Roman" w:hAnsi="Times New Roman"/>
          <w:b/>
          <w:bCs/>
          <w:sz w:val="22"/>
          <w:szCs w:val="22"/>
        </w:rPr>
        <w:t xml:space="preserve">Algorithm 4: Transfer Learning from MNMT to Bilingual Student</w:t>
      </w:r>
    </w:p>
    <w:p>
      <w:pPr>
        <w:spacing w:after="0" w:before="0" w:line="280"/>
        <w:ind w:left="360"/>
        <w:jc w:val="left"/>
      </w:pPr>
      <w:r>
        <w:rPr>
          <w:rFonts w:ascii="Courier New" w:cs="Courier New" w:eastAsia="Courier New" w:hAnsi="Courier New"/>
          <w:sz w:val="22"/>
          <w:szCs w:val="22"/>
        </w:rPr>
        <w:t xml:space="preserve">Inputs: teacher MNMT model θ_T with vocab V_T,</w:t>
      </w:r>
    </w:p>
    <w:p>
      <w:pPr>
        <w:spacing w:after="0" w:before="0" w:line="280"/>
        <w:ind w:left="360"/>
        <w:jc w:val="left"/>
      </w:pPr>
      <w:r>
        <w:rPr>
          <w:rFonts w:ascii="Courier New" w:cs="Courier New" w:eastAsia="Courier New" w:hAnsi="Courier New"/>
          <w:sz w:val="22"/>
          <w:szCs w:val="22"/>
        </w:rPr>
        <w:t xml:space="preserve">        bilingual parallel data D_{i,j} ∪ D_{j,i},</w:t>
      </w:r>
    </w:p>
    <w:p>
      <w:pPr>
        <w:spacing w:after="0" w:before="0" w:line="280"/>
        <w:ind w:left="360"/>
        <w:jc w:val="left"/>
      </w:pPr>
      <w:r>
        <w:rPr>
          <w:rFonts w:ascii="Courier New" w:cs="Courier New" w:eastAsia="Courier New" w:hAnsi="Courier New"/>
          <w:sz w:val="22"/>
          <w:szCs w:val="22"/>
        </w:rPr>
        <w:t xml:space="preserve">        monolingual data M_i, M_j,</w:t>
      </w:r>
    </w:p>
    <w:p>
      <w:pPr>
        <w:spacing w:after="0" w:before="0" w:line="280"/>
        <w:ind w:left="360"/>
        <w:jc w:val="left"/>
      </w:pPr>
      <w:r>
        <w:rPr>
          <w:rFonts w:ascii="Courier New" w:cs="Courier New" w:eastAsia="Courier New" w:hAnsi="Courier New"/>
          <w:sz w:val="22"/>
          <w:szCs w:val="22"/>
        </w:rPr>
        <w:t xml:space="preserve">        student vocab size V_S, student depth (N_enc^S, N_max^S, N_dec^S)</w:t>
      </w:r>
    </w:p>
    <w:p>
      <w:pPr>
        <w:spacing w:after="0" w:before="0" w:line="280"/>
        <w:ind w:left="360"/>
        <w:jc w:val="left"/>
      </w:pPr>
      <w:r>
        <w:rPr>
          <w:rFonts w:ascii="Courier New" w:cs="Courier New" w:eastAsia="Courier New" w:hAnsi="Courier New"/>
          <w:sz w:val="22"/>
          <w:szCs w:val="22"/>
        </w:rPr>
        <w:t xml:space="preserve"/>
      </w:r>
    </w:p>
    <w:p>
      <w:pPr>
        <w:spacing w:after="0" w:before="0" w:line="280"/>
        <w:ind w:left="360"/>
        <w:jc w:val="left"/>
      </w:pPr>
      <w:r>
        <w:rPr>
          <w:rFonts w:ascii="Courier New" w:cs="Courier New" w:eastAsia="Courier New" w:hAnsi="Courier New"/>
          <w:sz w:val="22"/>
          <w:szCs w:val="22"/>
        </w:rPr>
        <w:t xml:space="preserve">Step 1: Construct student vocabulary</w:t>
      </w:r>
    </w:p>
    <w:p>
      <w:pPr>
        <w:spacing w:after="0" w:before="0" w:line="280"/>
        <w:ind w:left="360"/>
        <w:jc w:val="left"/>
      </w:pPr>
      <w:r>
        <w:rPr>
          <w:rFonts w:ascii="Courier New" w:cs="Courier New" w:eastAsia="Courier New" w:hAnsi="Courier New"/>
          <w:sz w:val="22"/>
          <w:szCs w:val="22"/>
        </w:rPr>
        <w:t xml:space="preserve">    Sample equal monolingual data from ℓ_i and ℓ_j</w:t>
      </w:r>
    </w:p>
    <w:p>
      <w:pPr>
        <w:spacing w:after="0" w:before="0" w:line="280"/>
        <w:ind w:left="360"/>
        <w:jc w:val="left"/>
      </w:pPr>
      <w:r>
        <w:rPr>
          <w:rFonts w:ascii="Courier New" w:cs="Courier New" w:eastAsia="Courier New" w:hAnsi="Courier New"/>
          <w:sz w:val="22"/>
          <w:szCs w:val="22"/>
        </w:rPr>
        <w:t xml:space="preserve">    Train SentencePiece unigram LM with vocab size V_S → V_student</w:t>
      </w:r>
    </w:p>
    <w:p>
      <w:pPr>
        <w:spacing w:after="0" w:before="0" w:line="280"/>
        <w:ind w:left="360"/>
        <w:jc w:val="left"/>
      </w:pPr>
      <w:r>
        <w:rPr>
          <w:rFonts w:ascii="Courier New" w:cs="Courier New" w:eastAsia="Courier New" w:hAnsi="Courier New"/>
          <w:sz w:val="22"/>
          <w:szCs w:val="22"/>
        </w:rPr>
        <w:t xml:space="preserve"/>
      </w:r>
    </w:p>
    <w:p>
      <w:pPr>
        <w:spacing w:after="0" w:before="0" w:line="280"/>
        <w:ind w:left="360"/>
        <w:jc w:val="left"/>
      </w:pPr>
      <w:r>
        <w:rPr>
          <w:rFonts w:ascii="Courier New" w:cs="Courier New" w:eastAsia="Courier New" w:hAnsi="Courier New"/>
          <w:sz w:val="22"/>
          <w:szCs w:val="22"/>
        </w:rPr>
        <w:t xml:space="preserve">Step 2: Vocabulary alignment</w:t>
      </w:r>
    </w:p>
    <w:p>
      <w:pPr>
        <w:spacing w:after="0" w:before="0" w:line="280"/>
        <w:ind w:left="360"/>
        <w:jc w:val="left"/>
      </w:pPr>
      <w:r>
        <w:rPr>
          <w:rFonts w:ascii="Courier New" w:cs="Courier New" w:eastAsia="Courier New" w:hAnsi="Courier New"/>
          <w:sz w:val="22"/>
          <w:szCs w:val="22"/>
        </w:rPr>
        <w:t xml:space="preserve">    For each token w in V_student:</w:t>
      </w:r>
    </w:p>
    <w:p>
      <w:pPr>
        <w:spacing w:after="0" w:before="0" w:line="280"/>
        <w:ind w:left="360"/>
        <w:jc w:val="left"/>
      </w:pPr>
      <w:r>
        <w:rPr>
          <w:rFonts w:ascii="Courier New" w:cs="Courier New" w:eastAsia="Courier New" w:hAnsi="Courier New"/>
          <w:sz w:val="22"/>
          <w:szCs w:val="22"/>
        </w:rPr>
        <w:t xml:space="preserve">        Categorize w (exact / sub-decomp / super / mismatch / special)</w:t>
      </w:r>
    </w:p>
    <w:p>
      <w:pPr>
        <w:spacing w:after="0" w:before="0" w:line="280"/>
        <w:ind w:left="360"/>
        <w:jc w:val="left"/>
      </w:pPr>
      <w:r>
        <w:rPr>
          <w:rFonts w:ascii="Courier New" w:cs="Courier New" w:eastAsia="Courier New" w:hAnsi="Courier New"/>
          <w:sz w:val="22"/>
          <w:szCs w:val="22"/>
        </w:rPr>
        <w:t xml:space="preserve">        Initialize embedding e_w from teacher embeddings per Table 4.1</w:t>
      </w:r>
    </w:p>
    <w:p>
      <w:pPr>
        <w:spacing w:after="0" w:before="0" w:line="280"/>
        <w:ind w:left="360"/>
        <w:jc w:val="left"/>
      </w:pPr>
      <w:r>
        <w:rPr>
          <w:rFonts w:ascii="Courier New" w:cs="Courier New" w:eastAsia="Courier New" w:hAnsi="Courier New"/>
          <w:sz w:val="22"/>
          <w:szCs w:val="22"/>
        </w:rPr>
        <w:t xml:space="preserve"/>
      </w:r>
    </w:p>
    <w:p>
      <w:pPr>
        <w:spacing w:after="0" w:before="0" w:line="280"/>
        <w:ind w:left="360"/>
        <w:jc w:val="left"/>
      </w:pPr>
      <w:r>
        <w:rPr>
          <w:rFonts w:ascii="Courier New" w:cs="Courier New" w:eastAsia="Courier New" w:hAnsi="Courier New"/>
          <w:sz w:val="22"/>
          <w:szCs w:val="22"/>
        </w:rPr>
        <w:t xml:space="preserve">Step 3: Layer initialization (even-stride)</w:t>
      </w:r>
    </w:p>
    <w:p>
      <w:pPr>
        <w:spacing w:after="0" w:before="0" w:line="280"/>
        <w:ind w:left="360"/>
        <w:jc w:val="left"/>
      </w:pPr>
      <w:r>
        <w:rPr>
          <w:rFonts w:ascii="Courier New" w:cs="Courier New" w:eastAsia="Courier New" w:hAnsi="Courier New"/>
          <w:sz w:val="22"/>
          <w:szCs w:val="22"/>
        </w:rPr>
        <w:t xml:space="preserve">    For k = 1 to N_enc^S:  copy teacher enc layer 2k-1 to student enc layer k</w:t>
      </w:r>
    </w:p>
    <w:p>
      <w:pPr>
        <w:spacing w:after="0" w:before="0" w:line="280"/>
        <w:ind w:left="360"/>
        <w:jc w:val="left"/>
      </w:pPr>
      <w:r>
        <w:rPr>
          <w:rFonts w:ascii="Courier New" w:cs="Courier New" w:eastAsia="Courier New" w:hAnsi="Courier New"/>
          <w:sz w:val="22"/>
          <w:szCs w:val="22"/>
        </w:rPr>
        <w:t xml:space="preserve">    Copy teacher interlingua block to student interlingua block</w:t>
      </w:r>
    </w:p>
    <w:p>
      <w:pPr>
        <w:spacing w:after="0" w:before="0" w:line="280"/>
        <w:ind w:left="360"/>
        <w:jc w:val="left"/>
      </w:pPr>
      <w:r>
        <w:rPr>
          <w:rFonts w:ascii="Courier New" w:cs="Courier New" w:eastAsia="Courier New" w:hAnsi="Courier New"/>
          <w:sz w:val="22"/>
          <w:szCs w:val="22"/>
        </w:rPr>
        <w:t xml:space="preserve">    For k = 1 to N_dec^S:  copy teacher dec layer 2k-1 to student dec layer k</w:t>
      </w:r>
    </w:p>
    <w:p>
      <w:pPr>
        <w:spacing w:after="0" w:before="0" w:line="280"/>
        <w:ind w:left="360"/>
        <w:jc w:val="left"/>
      </w:pPr>
      <w:r>
        <w:rPr>
          <w:rFonts w:ascii="Courier New" w:cs="Courier New" w:eastAsia="Courier New" w:hAnsi="Courier New"/>
          <w:sz w:val="22"/>
          <w:szCs w:val="22"/>
        </w:rPr>
        <w:t xml:space="preserve">    Initialize output projection from teacher projection (Step 2 mapping)</w:t>
      </w:r>
    </w:p>
    <w:p>
      <w:pPr>
        <w:spacing w:after="0" w:before="0" w:line="280"/>
        <w:ind w:left="360"/>
        <w:jc w:val="left"/>
      </w:pPr>
      <w:r>
        <w:rPr>
          <w:rFonts w:ascii="Courier New" w:cs="Courier New" w:eastAsia="Courier New" w:hAnsi="Courier New"/>
          <w:sz w:val="22"/>
          <w:szCs w:val="22"/>
        </w:rPr>
        <w:t xml:space="preserve"/>
      </w:r>
    </w:p>
    <w:p>
      <w:pPr>
        <w:spacing w:after="0" w:before="0" w:line="280"/>
        <w:ind w:left="360"/>
        <w:jc w:val="left"/>
      </w:pPr>
      <w:r>
        <w:rPr>
          <w:rFonts w:ascii="Courier New" w:cs="Courier New" w:eastAsia="Courier New" w:hAnsi="Courier New"/>
          <w:sz w:val="22"/>
          <w:szCs w:val="22"/>
        </w:rPr>
        <w:t xml:space="preserve">Step 4: Bidirectional fine-tuning</w:t>
      </w:r>
    </w:p>
    <w:p>
      <w:pPr>
        <w:spacing w:after="0" w:before="0" w:line="280"/>
        <w:ind w:left="360"/>
        <w:jc w:val="left"/>
      </w:pPr>
      <w:r>
        <w:rPr>
          <w:rFonts w:ascii="Courier New" w:cs="Courier New" w:eastAsia="Courier New" w:hAnsi="Courier New"/>
          <w:sz w:val="22"/>
          <w:szCs w:val="22"/>
        </w:rPr>
        <w:t xml:space="preserve">    Construct bidirectional D' = {(a, b, [ℓ_j])} ∪ {(b, a, [ℓ_i])}</w:t>
      </w:r>
    </w:p>
    <w:p>
      <w:pPr>
        <w:spacing w:after="0" w:before="0" w:line="280"/>
        <w:ind w:left="360"/>
        <w:jc w:val="left"/>
      </w:pPr>
      <w:r>
        <w:rPr>
          <w:rFonts w:ascii="Courier New" w:cs="Courier New" w:eastAsia="Courier New" w:hAnsi="Courier New"/>
          <w:sz w:val="22"/>
          <w:szCs w:val="22"/>
        </w:rPr>
        <w:t xml:space="preserve">    Fine-tune student on D' with L_total (λ=0.2, μ=0.01) for 50k steps</w:t>
      </w:r>
    </w:p>
    <w:p>
      <w:pPr>
        <w:spacing w:after="0" w:before="0" w:line="280"/>
        <w:ind w:left="360"/>
        <w:jc w:val="left"/>
      </w:pPr>
      <w:r>
        <w:rPr>
          <w:rFonts w:ascii="Courier New" w:cs="Courier New" w:eastAsia="Courier New" w:hAnsi="Courier New"/>
          <w:sz w:val="22"/>
          <w:szCs w:val="22"/>
        </w:rPr>
        <w:t xml:space="preserve"/>
      </w:r>
    </w:p>
    <w:p>
      <w:pPr>
        <w:spacing w:after="0" w:before="0" w:line="280"/>
        <w:ind w:left="360"/>
        <w:jc w:val="left"/>
      </w:pPr>
      <w:r>
        <w:rPr>
          <w:rFonts w:ascii="Courier New" w:cs="Courier New" w:eastAsia="Courier New" w:hAnsi="Courier New"/>
          <w:sz w:val="22"/>
          <w:szCs w:val="22"/>
        </w:rPr>
        <w:t xml:space="preserve">Return: bilingual student model θ_S</w:t>
      </w:r>
    </w:p>
    <w:p>
      <w:pPr>
        <w:spacing w:after="200"/>
      </w:pPr>
      <w:r>
        <w:t xml:space="preserve"/>
      </w:r>
    </w:p>
    <w:p>
      <w:pPr>
        <w:pStyle w:val="Heading3"/>
        <w:spacing w:after="160" w:before="280"/>
        <w:jc w:val="left"/>
      </w:pPr>
      <w:r>
        <w:rPr>
          <w:rFonts w:ascii="Times New Roman" w:cs="Times New Roman" w:eastAsia="Times New Roman" w:hAnsi="Times New Roman"/>
          <w:b/>
          <w:bCs/>
          <w:i/>
          <w:iCs/>
          <w:sz w:val="26"/>
          <w:szCs w:val="26"/>
        </w:rPr>
        <w:t xml:space="preserve">4.3.6  Risks and Failure Modes in Transfer Learning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Three failure modes can affect the transfer-learning procedure, and it is useful to identify them explicitly so that they can be detected and addressed.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Catastrophic forgetting. After transfer initialization, the student has weights inherited from the teacher that encode a great deal of linguistic knowledge. Fine-tuning on the bilingual parallel data may erase some of this knowledge, especially if the parallel data is small and the learning rate is high. The classical mitigation, used in our procedure, is the reduced learning rate (3×10⁻⁵, half of what would be used for from-scratch training). An additional mitigation is to include some of the teacher's monolingual data in the fine-tuning mix, with the L_DAE objective active; this provides a regularizing signal that prevents the student from drifting too far from its initialization. The default fine-tuning configuration includes 20% monolingual data for this reason.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Embedding-output mismatch. If the embedding alignment and output-projection alignment use different procedures, the two layers can become inconsistent — the input embedding for a token might be initialized one way and the output projection's column for the same token another way, with different downstream behavior. The fix, used in our procedure, is to apply the same alignment procedure for both layers, so that the input embedding and output projection are consistent at initialization. When the two are tied (Press and Wolf, 2017), this is automatic; when they are not tied, care must be taken.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Halting unit miscalibration. The teacher's halting unit was trained on the full distribution of inputs the teacher saw — many languages, many sentence types. The student sees a much narrower distribution (only two languages). The teacher's halting probabilities may be miscalibrated for this narrower distribution, producing either too many or too few halts on average. The diagnostic is to track the average effective depth N̄ during fine-tuning; if it drifts far from the teacher's average (typically 3–4 for the teacher), then the halting unit may need additional adjustment. In practice, we have not observed serious miscalibration on bilingual students, but the diagnostic should be checked.</w:t>
      </w:r>
    </w:p>
    <w:p>
      <w:pPr>
        <w:pStyle w:val="Heading3"/>
        <w:spacing w:after="160" w:before="280"/>
        <w:jc w:val="left"/>
      </w:pPr>
      <w:r>
        <w:rPr>
          <w:rFonts w:ascii="Times New Roman" w:cs="Times New Roman" w:eastAsia="Times New Roman" w:hAnsi="Times New Roman"/>
          <w:b/>
          <w:bCs/>
          <w:i/>
          <w:iCs/>
          <w:sz w:val="26"/>
          <w:szCs w:val="26"/>
        </w:rPr>
        <w:t xml:space="preserve">4.3.7  Comparison with Training a Bilingual Model from Scratch</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It is illuminating to compare the proposed transfer-learning procedure against the obvious alternative: training a bilingual model from scratch on the bilingual parallel corpus. The from-scratch baseline has the advantage of simplicity and the disadvantage of forfeiting all knowledge from the multilingual teacher. In low-resource settings, where the bilingual parallel corpus is small, the from-scratch baseline typically achieves much lower BLEU than transfer learning would produce, because it must learn vocabulary, syntax, and translation behavior all from the small bilingual data.</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In well-resourced settings, where the bilingual parallel corpus is large (say, 10 million pairs or more), from-scratch training may approach the quality of transfer learning. This is because the parallel data is sufficient for the model to learn the necessary structure on its own. Even in this case, transfer learning typically converges faster than from-scratch training — even if it does not reach a higher final BLEU. The compute savings are valuable in their own right, especially when many bilingual students are to be produced from the same teacher.</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 useful intermediate comparison is bilingual training with mBART initialization (without going through the teacher MNMT). This is the standard mBART fine-tuning recipe and is a strong baseline for any bilingual translation task. The proposed transfer-learning procedure should be expected to outperform this baseline whenever the teacher MNMT is itself better than mBART for the relevant language pair, which (per the contributions of Chapters 2 and 3) it should be. The empirical comparison is made in the experimental chapter.</w:t>
      </w:r>
    </w:p>
    <w:p>
      <w:pPr>
        <w:pStyle w:val="Heading2"/>
        <w:spacing w:after="200" w:before="360"/>
        <w:jc w:val="left"/>
      </w:pPr>
      <w:r>
        <w:rPr>
          <w:rFonts w:ascii="Times New Roman" w:cs="Times New Roman" w:eastAsia="Times New Roman" w:hAnsi="Times New Roman"/>
          <w:b/>
          <w:bCs/>
          <w:sz w:val="28"/>
          <w:szCs w:val="28"/>
        </w:rPr>
        <w:t xml:space="preserve">4.4  Optimization via Knowledge Distillation, Quantization, and Pruning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transfer-learning procedure of Section 4.3 produces a bilingual student of approximately 180 million parameters. This is a substantial reduction from the teacher's 610 million parameters but is still too large for many on-device deployments. Mobile applications typically require models under 100 megabytes; embedded systems may require even less. This section describes the optimization techniques that further compress the bilingual student: knowledge distillation, quantization, and pruning. Each is presented in turn, with attention to how they interact with the recursive interlingua architecture.</w:t>
      </w:r>
    </w:p>
    <w:p>
      <w:pPr>
        <w:pStyle w:val="Heading3"/>
        <w:spacing w:after="160" w:before="280"/>
        <w:jc w:val="left"/>
      </w:pPr>
      <w:r>
        <w:rPr>
          <w:rFonts w:ascii="Times New Roman" w:cs="Times New Roman" w:eastAsia="Times New Roman" w:hAnsi="Times New Roman"/>
          <w:b/>
          <w:bCs/>
          <w:i/>
          <w:iCs/>
          <w:sz w:val="26"/>
          <w:szCs w:val="26"/>
        </w:rPr>
        <w:t xml:space="preserve">4.4.1  Sequence-Level Knowledge Distillation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Sequence-level KD (Kim and Rush, 2016) is the principal KD technique used in this chapter. The teacher MNMT model is used to generate translations for a large corpus of source sentences in each direction of the bilingual pair, producing a synthetic parallel corpus. The student is then trained on this synthetic corpus with the standard supervised translation loss.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synthetic corpus is constructed as follows. We start with a large monolingual corpus in each of the two languages (the corpora used for Stage-1 pretraining in Chapter 3 are reused here). For each source sentence in ℓ_i, the teacher is asked to translate to ℓ_j, producing a pair (source ℓ_i, teacher-translation ℓ_j). Similarly, for each source sentence in ℓ_j, the teacher produces a pair (source ℓ_j, teacher-translation ℓ_i). The resulting synthetic corpus is much larger than the original parallel corpus (because the monolingual corpora are much larger than the parallel corpus), and is the principal training data for KD-fine-tuned student.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Sequence-level KD has the considerable advantage that the student does not need to match the teacher's output distribution; it only needs to produce the same output sequence. This means the vocabulary mismatch is irrelevant: the teacher's output is generated in the teacher's vocabulary, then re-tokenized into the student's vocabulary before being used as a training target. The two vocabularies can be entirely different, and KD still works.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Selective KD (Wang et al., 2021) is an enhancement that further improves quality. For each teacher-generated translation, the teacher's confidence is estimated by computing the per-token average of the teacher's predicted-token probabilities. Translations with low average confidence — typically those involving rare words, domain shift, or noisy input — are downweighted or excluded from the KD training data. The selective version is implemented by computing teacher confidence on the fly during synthetic-corpus generation and filtering out samples below a threshold (typically 0.5).</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KD-fine-tuning step replaces the bidirectional fine-tuning of Section 4.3.4. That is, the student is first initialized via transfer learning, but instead of being fine-tuned on the original parallel data, it is fine-tuned on the synthetic teacher-translated corpus. The two could in principle be combined, with both real parallel data and synthetic teacher data in the training mix; in practice, the synthetic data dominates by volume and including real data has little additional effect.</w:t>
      </w:r>
    </w:p>
    <w:p>
      <w:pPr>
        <w:pStyle w:val="Heading3"/>
        <w:spacing w:after="160" w:before="280"/>
        <w:jc w:val="left"/>
      </w:pPr>
      <w:r>
        <w:rPr>
          <w:rFonts w:ascii="Times New Roman" w:cs="Times New Roman" w:eastAsia="Times New Roman" w:hAnsi="Times New Roman"/>
          <w:b/>
          <w:bCs/>
          <w:i/>
          <w:iCs/>
          <w:sz w:val="26"/>
          <w:szCs w:val="26"/>
        </w:rPr>
        <w:t xml:space="preserve">4.4.1.1  Failure Modes of Sequence-Level KD</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Sequence-level KD, despite its general effectiveness, has several known failure modes that deserve discussion.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Teacher errors propagate. If the teacher makes systematic errors on certain types of input — say, translation of named entities, or handling of unusual punctuation — the student will inherit these errors and may amplify them. The student has no way to know that the teacher's translations are imperfect; it treats them as ground truth. The mitigation is to keep some real parallel data in the training mix, even if it is a small fraction; the real data acts as a correction signal that prevents the student from drifting toward teacher idiosyncrasies.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Bias amplification. If the teacher has biases — say, gender biases in pronoun translation, or domain biases toward certain registers — the student inherits these and may amplify them, because the teacher's biased translations become the primary training signal. This is a serious concern for production deployment. The mitigation is bias-aware data selection: identify and downweight teacher translations that exhibit known bias patterns, and supplement the synthetic corpus with carefully chosen bias-mitigation examples.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Out-of-distribution degradation. The teacher was trained on a particular distribution of source sentences (those in its parallel and monolingual training data). When the teacher is asked to translate sentences that fall outside this distribution at synthetic-corpus generation time, its translations may be poor — but the student learns from these poor translations just as if they were good ones. The mitigation is to confine synthetic-corpus generation to in-distribution sentences: when generating from monolingual data in the source language, filter for sentences that resemble the teacher's training distribution. Selective KD with confidence thresholding (Wang et al., 2021) implements this filtering naturally.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Length and style biases. The teacher's translations tend to follow particular length and style patterns, and the student learns to replicate them. If the teacher tends to produce slightly verbose translations, the student will too; if the teacher prefers certain syntactic constructions, the student will inherit this preference. For most applications, these biases are not problematic, since the teacher's style is generally acceptable. For applications that need a particular style (e.g., formal vs. informal), the synthetic corpus may need to be augmented with style-specific data, or the student may need post-hoc adaptation.</w:t>
      </w:r>
    </w:p>
    <w:p>
      <w:pPr>
        <w:pStyle w:val="Heading3"/>
        <w:spacing w:after="160" w:before="280"/>
        <w:jc w:val="left"/>
      </w:pPr>
      <w:r>
        <w:rPr>
          <w:rFonts w:ascii="Times New Roman" w:cs="Times New Roman" w:eastAsia="Times New Roman" w:hAnsi="Times New Roman"/>
          <w:b/>
          <w:bCs/>
          <w:i/>
          <w:iCs/>
          <w:sz w:val="26"/>
          <w:szCs w:val="26"/>
        </w:rPr>
        <w:t xml:space="preserve">4.4.2  Word-Level KD with Vocabulary Re-Projection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Word-level KD, where the student is trained to match the teacher's token-level distribution, is more challenging when the vocabularies differ. We describe here a procedure for word-level KD that uses the vocabulary alignment of Section 4.3.2 to re-project the teacher distribution onto the student vocabulary.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Let q_T ∈ ℝ^{|V_T|} be the teacher's distribution over its vocabulary at some target position. To produce a student-vocabulary distribution q_T^S ∈ ℝ^{|V_S|}, we use the alignment categories from Table 4.1. For each student token w_s, we identify the corresponding teacher tokens via the alignment: exact match identifies a single teacher token; sub-token decomposition identifies multiple. The probability mass for w_s is computed by summing the probability mass over the corresponding teacher tokens, with appropriate normalization to handle the multi-token cases. The result is a distribution over the student vocabulary that captures the teacher's preferences as faithfully as possible.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Word-level KD is then applied as in Equation (4.1), with q_T replaced by q_T^S. This adds a token-by-token training signal on top of the sequence-level KD of Section 4.4.1, and can produce small additional quality gains. The principal cost is the computation involved in projecting teacher distributions onto the student vocabulary at every step. In practice, word-level KD is used selectively — applied to the top-K most likely tokens rather than the full distribution — to keep this computation tractable.</w:t>
      </w:r>
    </w:p>
    <w:p>
      <w:pPr>
        <w:pStyle w:val="Heading3"/>
        <w:spacing w:after="160" w:before="280"/>
        <w:jc w:val="left"/>
      </w:pPr>
      <w:r>
        <w:rPr>
          <w:rFonts w:ascii="Times New Roman" w:cs="Times New Roman" w:eastAsia="Times New Roman" w:hAnsi="Times New Roman"/>
          <w:b/>
          <w:bCs/>
          <w:i/>
          <w:iCs/>
          <w:sz w:val="26"/>
          <w:szCs w:val="26"/>
        </w:rPr>
        <w:t xml:space="preserve">4.4.3  Attention Distillation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Attention distillation, introduced for BERT compression by Sun et al. (2019) and adapted to NMT by Jiao et al. (2020), trains the student's attention maps to match the teacher's. For each attention head in the student and a corresponding teacher head, the loss is the mean squared error between the student and teacher attention probability matrices:</w:t>
      </w:r>
    </w:p>
    <w:p>
      <w:pPr>
        <w:tabs>
          <w:tab w:val="right" w:pos="9000"/>
        </w:tabs>
        <w:spacing w:after="160" w:before="160"/>
        <w:jc w:val="center"/>
      </w:pPr>
      <w:r>
        <w:rPr>
          <w:rFonts w:ascii="Times New Roman" w:cs="Times New Roman" w:eastAsia="Times New Roman" w:hAnsi="Times New Roman"/>
          <w:i/>
          <w:iCs/>
          <w:sz w:val="24"/>
          <w:szCs w:val="24"/>
        </w:rPr>
        <w:t xml:space="preserve">L_attn  =  Σ_{layers, heads} MSE(A_student, A_teacher)</w:t>
      </w:r>
      <w:r>
        <w:rPr>
          <w:rFonts w:ascii="Times New Roman" w:cs="Times New Roman" w:eastAsia="Times New Roman" w:hAnsi="Times New Roman"/>
          <w:sz w:val="24"/>
          <w:szCs w:val="24"/>
        </w:rPr>
        <w:t xml:space="preserve">	(4.2)</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Attention distillation is added to the sequence-level KD loss with a small weight, typically 0.1. Because the student has fewer layers than the teacher (6 vs 12), a layer-mapping must be specified: which student layers are aligned with which teacher layers. We use the same even-stride alignment as in the layer-initialization step: student layer k corresponds to teacher layer 2k − 1. For the interlingua module, the student's recursion steps are mapped to the teacher's first N_max^S recursion steps.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Attention distillation provides a regularization signal that helps the student learn structurally similar attention patterns to the teacher, even when the predictions themselves are not perfectly aligned. The empirical benefit is modest — typically 0.2–0.5 BLEU — but it comes at little additional computational cost, since the attention matrices are computed anyway during the forward pass.</w:t>
      </w:r>
    </w:p>
    <w:p>
      <w:pPr>
        <w:pStyle w:val="Heading3"/>
        <w:spacing w:after="160" w:before="280"/>
        <w:jc w:val="left"/>
      </w:pPr>
      <w:r>
        <w:rPr>
          <w:rFonts w:ascii="Times New Roman" w:cs="Times New Roman" w:eastAsia="Times New Roman" w:hAnsi="Times New Roman"/>
          <w:b/>
          <w:bCs/>
          <w:i/>
          <w:iCs/>
          <w:sz w:val="26"/>
          <w:szCs w:val="26"/>
        </w:rPr>
        <w:t xml:space="preserve">4.4.4  Quantization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After KD has produced a high-quality bilingual student, further size reduction can be achieved through quantization. We use post-training quantization (PTQ) to int8 as the default, with quantization-aware training (QAT) as a refinement for cases where PTQ quality is insufficient.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PTQ to int8 proceeds as follows. The student's fp32 weights are scanned to determine, for each layer, the maximum and minimum values. The fp32 range [min, max] is then mapped linearly to the int8 range [−128, 127] (or [0, 255] for unsigned int8). Each fp32 weight is replaced by the nearest int8 value, with a per-layer scale factor stored separately to reconstruct the fp32 value at inference time. Activations are also quantized, with their ranges determined by a calibration step on a small validation set.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Empirically, int8 PTQ produces a 4× reduction in model size and a 2–4× speedup in inference, with a typical BLEU loss of less than 0.5 points. This is a remarkably favorable trade-off, and int8 PTQ is the default deployment configuration for the bilingual student.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For settings where even smaller models are required, int4 quantization can be applied. Int4 reduces the model size by another 2× over int8 (to 8× smaller than fp32) and provides further speedup, at a quality cost of typically 0.5–1.5 BLEU. Int4 quantization is more sensitive to outlier values than int8, and benefits more from QAT. For the recursive interlingua module specifically, the halting unit's parameters are kept in higher precision (int8 or fp16) even when the rest of the model is int4, because the halting decision is sensitive to numerical precision and quantizing it aggressively can produce degenerate halting behavior.</w:t>
      </w:r>
    </w:p>
    <w:p>
      <w:pPr>
        <w:pStyle w:val="Heading3"/>
        <w:spacing w:after="160" w:before="280"/>
        <w:jc w:val="left"/>
      </w:pPr>
      <w:r>
        <w:rPr>
          <w:rFonts w:ascii="Times New Roman" w:cs="Times New Roman" w:eastAsia="Times New Roman" w:hAnsi="Times New Roman"/>
          <w:b/>
          <w:bCs/>
          <w:i/>
          <w:iCs/>
          <w:sz w:val="26"/>
          <w:szCs w:val="26"/>
        </w:rPr>
        <w:t xml:space="preserve">4.4.4.1  Calibration for Quantization</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Post-training quantization requires a calibration step in which the dynamic range of each tensor (weight or activation) is estimated. For weights, the range is determined by inspection of the trained weights themselves; this is essentially free. For activations, the range must be estimated by running the model on a calibration dataset.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calibration dataset is typically a small subset of the training or development data, on the order of 100 to 1,000 sentences. Each sentence is passed through the model in inference mode, and the activations at each layer are recorded. The range of each activation tensor is computed (either as the min/max or as a percentile, e.g., 99.9th percentile, which is more robust to outliers). The recorded ranges become the scale factors used during int8 inference.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For the bilingual student, calibration is performed on a balanced subset of the bidirectional fine-tuning data, with equal representation from both directions. This ensures that the int8 ranges are appropriate for both translation directions. Calibration completes in a few minutes on a single GPU, far less time than fine-tuning or KD.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A subtle point in calibration is what to do about activations that have very different ranges in different scenarios. For example, attention scores typically take values in a small range after the softmax pre-activation, while embedding outputs can have a much wider range. Per-layer scale factors, rather than a single model-wide scale, are essential for handling this variation.</w:t>
      </w:r>
    </w:p>
    <w:p>
      <w:pPr>
        <w:pStyle w:val="Heading3"/>
        <w:spacing w:after="160" w:before="280"/>
        <w:jc w:val="left"/>
      </w:pPr>
      <w:r>
        <w:rPr>
          <w:rFonts w:ascii="Times New Roman" w:cs="Times New Roman" w:eastAsia="Times New Roman" w:hAnsi="Times New Roman"/>
          <w:b/>
          <w:bCs/>
          <w:i/>
          <w:iCs/>
          <w:sz w:val="26"/>
          <w:szCs w:val="26"/>
        </w:rPr>
        <w:t xml:space="preserve">4.4.4.2  Sensitivity Across Layers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Empirical analysis has shown that not all layers of an NMT model are equally tolerant of quantization. Embedding and output-projection layers, which have large parameter counts and wide weight distributions, can typically be aggressively quantized with minimal quality loss. Attention layers are more sensitive: the query-key dot products can amplify quantization errors, particularly in the softmax pre-activation. Feedforward layers tend to be intermediate in sensitivity.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Two practical implications follow. First, mixed-precision quantization is often the best operating point: int8 (or even int4) for embeddings and output projection, int8 for feedforward, and fp16 or full-precision int8 (with careful calibration) for attention. This produces an overall size reduction close to the all-int8 baseline but with less quality loss.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Second, the recursive interlingua module's parameters, being shared across recursion steps, are reused many times per inference. Any quantization error in these parameters is therefore propagated and possibly amplified through the recursion. It is prudent to keep the interlingua module's attention layers at higher precision than the rest of the model. The empirical cost of this conservatism is small — the interlingua module's parameter count is small relative to the encoder and decoder — but the quality benefit can be substantial.</w:t>
      </w:r>
    </w:p>
    <w:p>
      <w:pPr>
        <w:pStyle w:val="Heading3"/>
        <w:spacing w:after="160" w:before="280"/>
        <w:jc w:val="left"/>
      </w:pPr>
      <w:r>
        <w:rPr>
          <w:rFonts w:ascii="Times New Roman" w:cs="Times New Roman" w:eastAsia="Times New Roman" w:hAnsi="Times New Roman"/>
          <w:b/>
          <w:bCs/>
          <w:i/>
          <w:iCs/>
          <w:sz w:val="26"/>
          <w:szCs w:val="26"/>
        </w:rPr>
        <w:t xml:space="preserve">4.4.5  Pruning</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Pruning further reduces the model size by removing weights. The most effective pruning for NMT is structured: removing entire attention heads or feedforward dimensions, which produces a smaller dense model that can be efficiently computed on standard hardware. Unstructured pruning, which zeroes out individual weights, produces sparse models that require specialized inference engines.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Head pruning (Voita et al., 2019) identifies attention heads whose contribution to the model output is small and removes them. The contribution of a head can be measured by its activation magnitude on a calibration set, or by the change in model performance when the head is masked out. Typically, 30–50% of attention heads can be removed with limited quality loss, particularly in the decoder where attention patterns are often redundant.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Dimension pruning removes columns from the feedforward weight matrices. For each FFN dimension, a relevance score is computed (typically the L2 norm of the corresponding column), and the lowest-scoring dimensions are removed. The model is then fine-tuned briefly to recover from the perturbation. Typically, 30–50% of FFN dimensions can be removed with 1–2 BLEU loss.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Layer pruning, while crude, can produce large size reductions. Removing the last 2 layers from a 6-layer student produces a 4-layer student that is 1.5× smaller. Empirically, the layers closest to the input and output are more important than middle layers, so middle-layer pruning is typically less harmful than end-layer pruning.</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recursive interlingua module poses a specific question for pruning: should the maximum recursion depth N_max be reduced? Reducing N_max from 4 to 2 or even 1 produces a substantially faster model at inference, since fewer recursion steps are performed on average. The quality cost depends on the language pair: pairs whose teacher model typically used few recursion steps suffer little, while pairs that benefited from deep recursion suffer more. Empirical reduction of N_max should therefore be guided by per-pair analysis.</w:t>
      </w:r>
    </w:p>
    <w:p>
      <w:pPr>
        <w:pStyle w:val="Heading3"/>
        <w:spacing w:after="160" w:before="280"/>
        <w:jc w:val="left"/>
      </w:pPr>
      <w:r>
        <w:rPr>
          <w:rFonts w:ascii="Times New Roman" w:cs="Times New Roman" w:eastAsia="Times New Roman" w:hAnsi="Times New Roman"/>
          <w:b/>
          <w:bCs/>
          <w:i/>
          <w:iCs/>
          <w:sz w:val="26"/>
          <w:szCs w:val="26"/>
        </w:rPr>
        <w:t xml:space="preserve">4.4.6  Combining the Compression Techniques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compression techniques can be combined to produce models of varying size. Table 4.2 summarizes the compression each technique offers and its typical quality cost.</w:t>
      </w:r>
    </w:p>
    <w:p>
      <w:pPr>
        <w:spacing w:after="240" w:before="100"/>
        <w:jc w:val="center"/>
      </w:pPr>
      <w:r>
        <w:rPr>
          <w:rFonts w:ascii="Times New Roman" w:cs="Times New Roman" w:eastAsia="Times New Roman" w:hAnsi="Times New Roman"/>
          <w:i/>
          <w:iCs/>
          <w:sz w:val="20"/>
          <w:szCs w:val="20"/>
        </w:rPr>
        <w:t xml:space="preserve">Table 4.2: Compression techniques and their typical impact. Compression ratios and quality costs are approximate, derived from prior NMT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560"/>
      </w:tblGrid>
      <w:tr>
        <w:tc>
          <w:tcPr>
            <w:tcW w:type="dxa" w:w="20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Technique</w:t>
            </w:r>
          </w:p>
        </w:tc>
        <w:tc>
          <w:tcPr>
            <w:tcW w:type="dxa" w:w="25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Mechanism</w:t>
            </w:r>
          </w:p>
        </w:tc>
        <w:tc>
          <w:tcPr>
            <w:tcW w:type="dxa" w:w="23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Typical compression</w:t>
            </w:r>
          </w:p>
        </w:tc>
        <w:tc>
          <w:tcPr>
            <w:tcW w:type="dxa" w:w="25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Quality impact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Sequence-level KD</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Train on teacher-generated translations</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 (size unchanged)</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Recovers most teacher quality</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Attention KD</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Match teacher attention maps</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 (size unchanged)</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Small quality gain</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int8 quantization</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Map fp32 weights to 8-bit integers</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4× smaller, 2–4× faster</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Typically &lt;0.5 BLEU loss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int4 / 4-bit quantization</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Map fp32 weights to 4-bit integers</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8× smaller, 4× faster</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0.5–1.5 BLEU loss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Unstructured pruning</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Zero out small-magnitude weights</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2–4× sparser</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1–2 BLEU loss at 50% sparsity</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Structured pruning</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Remove entire heads/dimensions</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 smaller</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1–3 BLEU loss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Layer dropping</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Remove decoder/encoder layers</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1.5–2× smaller</w:t>
            </w:r>
          </w:p>
        </w:tc>
        <w:tc>
          <w:tcPr>
            <w:tcW w:type="dxa" w:w="2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1–3 BLEU loss</w:t>
            </w:r>
          </w:p>
        </w:tc>
      </w:tr>
    </w:tbl>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natural pipeline is: (i) transfer learning produces a bilingual student of 180M parameters; (ii) sequence-level KD trains it to teacher quality (or close); (iii) int8 quantization reduces size to ≈180 MB; (iv) optional pruning further reduces to ≈90 MB; (v) optional 4-bit quantization further reduces to ≈45 MB. Each stage trades quality for size. The right operating point depends on the deployment target: PCs can afford the 720 MB un-compressed model, mid-range mobile phones need the 90 MB pruned-and-quantized model, low-end embedded devices need the 45 MB 4-bit version.</w:t>
      </w:r>
    </w:p>
    <w:p>
      <w:pPr>
        <w:pStyle w:val="Heading3"/>
        <w:spacing w:after="160" w:before="280"/>
        <w:jc w:val="left"/>
      </w:pPr>
      <w:r>
        <w:rPr>
          <w:rFonts w:ascii="Times New Roman" w:cs="Times New Roman" w:eastAsia="Times New Roman" w:hAnsi="Times New Roman"/>
          <w:b/>
          <w:bCs/>
          <w:i/>
          <w:iCs/>
          <w:sz w:val="26"/>
          <w:szCs w:val="26"/>
        </w:rPr>
        <w:t xml:space="preserve">4.4.6.1  Order of Compression Stages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order in which compression techniques are applied matters. The pipeline described above — KD, then quantization, then optionally pruning, then more aggressive quantization — reflects a deliberate choice. Several orderings are possible and worth comparing.</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Compression first, KD second. One could imagine compressing the transfer-initialized student first (via pruning and quantization), then performing KD on the compressed model. The advantage is that KD then trains the compressed model directly to match the teacher, which can recover from the compression loss. The disadvantage is that KD is itself expensive, and performing it on a partially-broken compressed model is wasteful. Worse, the compression itself benefits from having seen good training, so compressing before KD can produce a model that compresses badly.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KD first, then compression. This is the proposed order. KD produces a fully-trained student of teacher quality, and then compression is applied to this trained model. The advantage is that KD operates on the full student capacity, producing the best possible base model. The disadvantage is that the compression loss is not directly recovered, and may be substantial for aggressive compression. Quantization-aware training and post-compression fine-tuning can mitigate this.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Iterative interleaving. A third option is to alternate KD and compression: KD a little, prune a little, KD a little more, quantize, etc. This is more complex to implement but in principle can produce the best quality-size trade-off because each stage of compression is followed by remediation through training. In practice, iterative interleaving is used when the target operating point requires extreme compression and the straightforward sequence does not produce acceptable quality.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choice of order should be guided by the deployment target's quality requirements. For modest compression (int8 quantization only), the straightforward KD-then-quantize sequence is sufficient. For aggressive compression (int4 + heavy pruning), iterative interleaving with multiple stages of QAT may be necessary.</w:t>
      </w:r>
    </w:p>
    <w:p>
      <w:pPr>
        <w:pStyle w:val="Heading2"/>
        <w:spacing w:after="200" w:before="360"/>
        <w:jc w:val="left"/>
      </w:pPr>
      <w:r>
        <w:rPr>
          <w:rFonts w:ascii="Times New Roman" w:cs="Times New Roman" w:eastAsia="Times New Roman" w:hAnsi="Times New Roman"/>
          <w:b/>
          <w:bCs/>
          <w:sz w:val="28"/>
          <w:szCs w:val="28"/>
        </w:rPr>
        <w:t xml:space="preserve">4.5  Putting It All Together</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preceding two sections have presented a toolbox of techniques for producing a lightweight bilingual NMT from the heavy multilingual teacher. This section ties them together into a recommended pipeline and discusses which techniques to apply in which deployment contexts.</w:t>
      </w:r>
    </w:p>
    <w:p>
      <w:pPr>
        <w:pStyle w:val="Heading3"/>
        <w:spacing w:after="160" w:before="280"/>
        <w:jc w:val="left"/>
      </w:pPr>
      <w:r>
        <w:rPr>
          <w:rFonts w:ascii="Times New Roman" w:cs="Times New Roman" w:eastAsia="Times New Roman" w:hAnsi="Times New Roman"/>
          <w:b/>
          <w:bCs/>
          <w:i/>
          <w:iCs/>
          <w:sz w:val="26"/>
          <w:szCs w:val="26"/>
        </w:rPr>
        <w:t xml:space="preserve">4.5.1  The Recommended Pipeline</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complete pipeline from teacher MNMT to deployed bilingual model consists of seven steps: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1. Train the teacher MNMT model as described in Chapters 2 and 3. This is a one-time cost amortized across all bilingual students produced from this teacher.</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2. For the target bilingual pair (ℓ_i, ℓ_j), construct a student vocabulary of appropriate size using SentencePiece on balanced monolingual data from both languages (Section 4.3.1).</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3. Align the student vocabulary with the teacher vocabulary and initialize the student's embeddings using the procedure of Section 4.3.2 and Table 4.1.</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4. Initialize the student's non-embedding parameters from the teacher using even-stride layer copying for encoder and decoder, direct copying for the interlingua module, and aligned vocabulary projection for the output layer (Section 4.3.3).</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5. Generate a large synthetic parallel corpus by translating the bilingual pair's monolingual corpora with the teacher (Section 4.4.1).</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6. Fine-tune the student on the synthetic corpus using sequence-level KD, optionally with attention distillation, for approximately 50,000 update steps (Sections 4.4.1, 4.4.3).</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7. Apply post-training compression: int8 quantization at minimum, with additional pruning and/or 4-bit quantization for tighter deployment targets (Sections 4.4.4, 4.4.5). Validate quality on a held-out test set after each compression step.</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Steps 2 through 7 are repeated for each bilingual pair of interest. The teacher MNMT model produced in step 1 is reused as the source for all student models.</w:t>
      </w:r>
    </w:p>
    <w:p>
      <w:pPr>
        <w:pStyle w:val="Heading3"/>
        <w:spacing w:after="160" w:before="280"/>
        <w:jc w:val="left"/>
      </w:pPr>
      <w:r>
        <w:rPr>
          <w:rFonts w:ascii="Times New Roman" w:cs="Times New Roman" w:eastAsia="Times New Roman" w:hAnsi="Times New Roman"/>
          <w:b/>
          <w:bCs/>
          <w:i/>
          <w:iCs/>
          <w:sz w:val="26"/>
          <w:szCs w:val="26"/>
        </w:rPr>
        <w:t xml:space="preserve">4.5.2  Operating Points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pipeline can produce models at several operating points, each appropriate for a different deployment target. The default 'desktop' operating point uses transfer learning and sequence-level KD with no further compression, producing a 720 MB fp32 model that runs efficiently on a PC. The 'high-end mobile' operating point adds int8 quantization, producing a 180 MB model that runs on flagship smartphones. The 'mid-range mobile' operating point adds structured pruning, producing a 90 MB model. The 'low-end mobile' operating point applies 4-bit quantization, producing a 45 MB model.</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Table 4.3 summarizes the operating points with their approximate model sizes, target devices, and expected quality.</w:t>
      </w:r>
    </w:p>
    <w:p>
      <w:pPr>
        <w:spacing w:after="240" w:before="100"/>
        <w:jc w:val="center"/>
      </w:pPr>
      <w:r>
        <w:rPr>
          <w:rFonts w:ascii="Times New Roman" w:cs="Times New Roman" w:eastAsia="Times New Roman" w:hAnsi="Times New Roman"/>
          <w:i/>
          <w:iCs/>
          <w:sz w:val="20"/>
          <w:szCs w:val="20"/>
        </w:rPr>
        <w:t xml:space="preserve">Table 4.3: Operating points for the bilingual student model. BLEU values are illustrative and depend on the specific language pair and test set; the table is intended to convey relative quality trade-offs rather than absolute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c>
          <w:tcPr>
            <w:tcW w:type="dxa" w:w="24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Configuration</w:t>
            </w:r>
          </w:p>
        </w:tc>
        <w:tc>
          <w:tcPr>
            <w:tcW w:type="dxa" w:w="17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Vocab size</w:t>
            </w:r>
          </w:p>
        </w:tc>
        <w:tc>
          <w:tcPr>
            <w:tcW w:type="dxa" w:w="17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Params</w:t>
            </w:r>
          </w:p>
        </w:tc>
        <w:tc>
          <w:tcPr>
            <w:tcW w:type="dxa" w:w="170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Disk size (fp32)</w:t>
            </w:r>
          </w:p>
        </w:tc>
        <w:tc>
          <w:tcPr>
            <w:tcW w:type="dxa" w:w="1860"/>
            <w:tcBorders>
              <w:top w:val="single" w:color="333333" w:sz="8"/>
              <w:left w:val="single" w:color="999999" w:sz="4"/>
              <w:bottom w:val="single" w:color="333333" w:sz="8"/>
              <w:right w:val="single" w:color="999999" w:sz="4"/>
            </w:tcBorders>
            <w:shd w:fill="E8E8E8"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Target device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MNMT teacher (Ch. 2)</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250k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610M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≈2.4 GB</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Server / cloud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Bilingual base (no opt.)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32k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180M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≈720 MB</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PC</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Bilingual + KD (Section 4.4.1)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32k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180M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≈720 MB</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PC</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Bilingual + KD + int8 quant.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32k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180M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≈180 MB</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Laptop / high-end mobile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Bilingual + KD + int8 + prune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32k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≈90M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≈90 MB</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Mid-range mobile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Bilingual + KD + 4-bit quant.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32k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≈90M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≈45 MB</w:t>
            </w:r>
          </w:p>
        </w:tc>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Low-end mobile / embedded</w:t>
            </w:r>
          </w:p>
        </w:tc>
      </w:tr>
    </w:tbl>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selection of an operating point should be guided by the deployment requirements rather than by maximizing any single metric. For a translation application on a low-end mobile device with strict memory and battery constraints, a 45 MB model with somewhat reduced quality may be preferable to a larger model that runs slowly or drains the battery. For a desktop application where memory is plentiful, the un-compressed model is preferred. The pipeline allows the same teacher model to produce all of these operating points with appropriate configuration of steps 6 and 7.</w:t>
      </w:r>
    </w:p>
    <w:p>
      <w:pPr>
        <w:pStyle w:val="Heading3"/>
        <w:spacing w:after="160" w:before="280"/>
        <w:jc w:val="left"/>
      </w:pPr>
      <w:r>
        <w:rPr>
          <w:rFonts w:ascii="Times New Roman" w:cs="Times New Roman" w:eastAsia="Times New Roman" w:hAnsi="Times New Roman"/>
          <w:b/>
          <w:bCs/>
          <w:i/>
          <w:iCs/>
          <w:sz w:val="26"/>
          <w:szCs w:val="26"/>
        </w:rPr>
        <w:t xml:space="preserve">4.5.2.1  Inference Latency and Throughput</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For deployment decisions, model size is only one of the metrics that matters. Inference latency — the time required to translate a single sentence — and inference throughput — the number of sentences translatable per second — are equally important. Both depend on model size but also on hardware, batch size, sentence length, and the interaction of these factors with the adaptive-depth mechanism of the recursive interlingua module.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Inference latency for the bilingual student on a flagship smartphone (Snapdragon 8 Gen 2 class CPU, no NPU) is typically 200–400 milliseconds for a short sentence (10–20 tokens) in the int8 configuration, and 500–800 milliseconds for a longer sentence (40–60 tokens). The latency is dominated by the autoregressive decoding loop, which produces one token at a time; the encoder and interlingua module run only once per sentence and contribute a smaller fraction of the total time.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Throughput, by contrast, is improved by batching multiple sentences together. On the same flagship smartphone, a batch of 8 short sentences can be translated in approximately 1.5 seconds, for a throughput of about 5 sentences per second. On a low-end smartphone with a quad-core ARM CPU, throughput drops to perhaps 1–2 sentences per second; the 4-bit-quantized 45 MB model is recommended in this case, both for memory reasons and because the smaller model has lower memory-bandwidth requirements (which is often the bottleneck on low-end devices).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recursive interlingua module's adaptive depth has interesting implications for inference. On easy inputs (short sentences, common vocabulary), the average recursion depth N̄ may be 1 or 2, producing inference times close to a model without an interlingua module at all. On hard inputs, the recursion may take the maximum N_max = 4 steps, costing about 4× the per-step interlingua time. The expected inference time is therefore the linear combination, weighted by the input distribution at deployment. For typical mixed input, the average interlingua cost is approximately 2 steps' worth, which is a modest addition to the encoder time.</w:t>
      </w:r>
    </w:p>
    <w:p>
      <w:pPr>
        <w:pStyle w:val="Heading3"/>
        <w:spacing w:after="160" w:before="280"/>
        <w:jc w:val="left"/>
      </w:pPr>
      <w:r>
        <w:rPr>
          <w:rFonts w:ascii="Times New Roman" w:cs="Times New Roman" w:eastAsia="Times New Roman" w:hAnsi="Times New Roman"/>
          <w:b/>
          <w:bCs/>
          <w:i/>
          <w:iCs/>
          <w:sz w:val="26"/>
          <w:szCs w:val="26"/>
        </w:rPr>
        <w:t xml:space="preserve">4.5.2.2  Platform Considerations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Different deployment platforms have different characteristics, and the choice of operating point should account for them.</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On desktop platforms (x86 or ARM with abundant memory), full-precision or int8 models run efficiently using standard inference engines such as ONNX Runtime or PyTorch with TorchScript compilation. The 720 MB uncompressed or 180 MB int8 model is usually appropriate. GPU acceleration, when available, can provide a 10× speedup over CPU inference; however, many desktop deployments do not have GPU access (because the GPU is reserved for graphics or other workloads), so CPU performance is often the binding constraint.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On mobile platforms (ARM CPUs, typically with a small amount of memory and significant battery constraints), int8 or int4 models are essential. Inference engines such as TensorFlow Lite, ONNX Runtime Mobile, or specialized engines (e.g., MNN, NCNN) are commonly used. Modern flagship phones have neural processing units (NPUs) that can accelerate quantized inference by 5–10× over CPU, making mobile NMT genuinely fast in real applications. Battery considerations argue for the smallest model that meets quality requirements: a 45 MB model that runs in 100 ms with negligible battery drain is preferable to a 180 MB model that runs in 50 ms but drains the battery faster.</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On embedded platforms (small ARM cores, MCUs with single-digit megabytes of RAM, microcontrollers used in IoT devices and translation earbuds), only the most aggressively compressed models can be used. The 45 MB 4-bit model is at the upper end of what is feasible; even smaller models, perhaps with a sub-10,000 token vocabulary and a 3-layer encoder/decoder, may be needed. Such extreme compression is at the boundary of viability and produces models with noticeably reduced quality. For applications that demand both extreme compression and good quality, a hybrid architecture — perhaps with a small local model that falls back to a remote server for difficult inputs — is sometimes employed.</w:t>
      </w:r>
    </w:p>
    <w:p>
      <w:pPr>
        <w:pStyle w:val="Heading3"/>
        <w:spacing w:after="160" w:before="280"/>
        <w:jc w:val="left"/>
      </w:pPr>
      <w:r>
        <w:rPr>
          <w:rFonts w:ascii="Times New Roman" w:cs="Times New Roman" w:eastAsia="Times New Roman" w:hAnsi="Times New Roman"/>
          <w:b/>
          <w:bCs/>
          <w:i/>
          <w:iCs/>
          <w:sz w:val="26"/>
          <w:szCs w:val="26"/>
        </w:rPr>
        <w:t xml:space="preserve">4.5.3  When the Pipeline Should Not Be Used</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It is worth noting cases where the proposed pipeline is not the right approach.</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First, when the bilingual pair has very low resources — fewer than 10,000 parallel sentences and limited monolingual data — the synthetic corpus produced by the teacher may be of insufficient quality to support effective KD. In this case, retaining the multilingual teacher and using it directly (perhaps with on-device pruning and quantization of the teacher itself, rather than producing a bilingual student) may produce better results.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Second, when the bilingual pair is exotic enough that the teacher's quality is poor — for instance, a language pair where one or both languages are typologically distant from all of the teacher's training languages — the teacher is not a useful source for KD. The student inherits the teacher's deficiencies. In this case, alternative approaches such as bilingual pretraining from scratch may be preferable.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Third, when the deployment target has compute capabilities that would simply allow running the teacher directly (a powerful workstation, a dedicated translation server), no compression is needed and the teacher can be used as-is. The pipeline is designed for cases where the teacher is too large for the target; if the target can accommodate the teacher, there is no need to produce a student.</w:t>
      </w:r>
    </w:p>
    <w:p>
      <w:pPr>
        <w:pStyle w:val="Heading2"/>
        <w:spacing w:after="200" w:before="360"/>
        <w:jc w:val="left"/>
      </w:pPr>
      <w:r>
        <w:rPr>
          <w:rFonts w:ascii="Times New Roman" w:cs="Times New Roman" w:eastAsia="Times New Roman" w:hAnsi="Times New Roman"/>
          <w:b/>
          <w:bCs/>
          <w:sz w:val="28"/>
          <w:szCs w:val="28"/>
        </w:rPr>
        <w:t xml:space="preserve">4.6  Chapter Summary</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This chapter has presented a complete pipeline for producing a lightweight bilingual neural machine translation model from the multilingual teacher developed in Chapters 2 and 3. The pipeline consists of transfer learning, followed by sequence-level knowledge distillation and post-training compression. Two principal technical contributions distinguish this pipeline from generic transfer-learning-plus-distillation pipelines.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First, the vocabulary-alignment procedure of Section 4.3.2 addresses the principal obstacle to transfer between a multilingual model with a 250,000-token shared vocabulary and a bilingual model with a 32,000-token specialized vocabulary. The five-category classification (exact match, sub-token decomposition, super-token, pure mismatch, special tokens) enables almost all student-vocabulary tokens to receive meaningful initialization from the teacher's embeddings, with only a small remainder relying on random initialization. The result is a student that begins fine-tuning with substantial linguistic knowledge inherited from the teacher, rather than from scratch.</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Second, the integration of these compression techniques with the recursive interlingua architecture has been described in detail, identifying both the natural transfer of interlingua-module parameters (which are shared across recursion steps and therefore transfer cleanly) and the special handling required for the halting unit (which is sensitive to numerical precision and is kept at higher precision even when the rest of the model is aggressively quantized). The student inherits the input-conditioned adaptive depth of the teacher, with a reduced N_max appropriate for the smaller model.</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 pipeline produces models at several operating points, from 720 MB un-compressed for desktop deployment to 45 MB heavily compressed for low-end mobile deployment. The quality decreases gradually with size, allowing the appropriate trade-off to be made for each deployment target. The teacher model, produced once at substantial computational cost in Chapters 2 and 3, is then reused to produce many bilingual students for different language pairs with much smaller per-pair compute requirements.</w:t>
      </w:r>
    </w:p>
    <w:p>
      <w:pPr>
        <w:pStyle w:val="Heading3"/>
        <w:spacing w:after="160" w:before="280"/>
        <w:jc w:val="left"/>
      </w:pPr>
      <w:r>
        <w:rPr>
          <w:rFonts w:ascii="Times New Roman" w:cs="Times New Roman" w:eastAsia="Times New Roman" w:hAnsi="Times New Roman"/>
          <w:b/>
          <w:bCs/>
          <w:i/>
          <w:iCs/>
          <w:sz w:val="26"/>
          <w:szCs w:val="26"/>
        </w:rPr>
        <w:t xml:space="preserve">4.6.1  Synthesis with Chapters 2 and 3</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The four chapters of technical content in this thesis (Chapters 2 through 4 of the technical material, with Chapter 1 providing the literature review and Chapter 5 the experimental evaluation) tell a coherent story. Chapter 2 introduced the architectural contribution: the recursive interlingua module with input-conditioned variable depth. Chapter 3 introduced the pretraining contribution: a two-stage pretraining procedure that adapts the encoder and decoder to the specific role they play in the interlingua architecture. The present chapter has introduced the deployment contribution: a pipeline for producing lightweight bilingual models suitable for on-device deployment.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These three contributions are complementary in the following sense. The recursive interlingua architecture (Chapter 2) provides the structural innovation that allows the model to allocate computation adaptively. The two-stage pretraining (Chapter 3) provides the training procedure that makes that structural innovation work well, particularly in the low-resource setting that is the focus of the thesis. The transfer-and-compression pipeline (Chapter 4) takes the resulting model from a research artifact to a deployable system, addressing the practical constraints that any real-world translation application must face.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Together, these three contributions advance the research program of multilingual NMT in a way that none of them could individually. The architectural contribution without the matching pretraining would underperform; the pretraining without the architectural innovation would fall back on standard fixed-depth interlingua approaches; the deployment pipeline without the underlying high-quality teacher would have nothing valuable to compress.</w:t>
      </w:r>
    </w:p>
    <w:p>
      <w:pPr>
        <w:pStyle w:val="Heading3"/>
        <w:spacing w:after="160" w:before="280"/>
        <w:jc w:val="left"/>
      </w:pPr>
      <w:r>
        <w:rPr>
          <w:rFonts w:ascii="Times New Roman" w:cs="Times New Roman" w:eastAsia="Times New Roman" w:hAnsi="Times New Roman"/>
          <w:b/>
          <w:bCs/>
          <w:i/>
          <w:iCs/>
          <w:sz w:val="26"/>
          <w:szCs w:val="26"/>
        </w:rPr>
        <w:t xml:space="preserve">4.6.2  Limitations of the Chapter's Approach</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Several limitations of the chapter's approach should be acknowledged.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First, the chapter has focused on bilingual students, but some applications need multilingual lightweight models — perhaps a single model that handles three or four language pairs efficiently. The pipeline could be extended to such cases, but the vocabulary-alignment procedure would need to handle a multilingual student vocabulary rather than a bilingual one. The principal techniques (sequence-level KD, quantization, pruning) generalize naturally; the vocabulary alignment is the main technical extension that would be required.</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Second, the chapter has assumed a particular form of teacher model — the recursive interlingua MNMT of Chapters 2 and 3. The techniques would apply to other multilingual teachers (mBART, M2M-100, NLLB), though with different empirical trade-offs. The vocabulary alignment depends only on the teacher's vocabulary structure, not on its architecture; the sequence-level KD depends only on the teacher's ability to translate, which any reasonable MNMT teacher provides; the compression techniques are model-agnostic. The pipeline is therefore reusable for other teachers.</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Third, the chapter has not addressed the question of continuous adaptation: what happens when the teacher MNMT is improved (say, by training on more data or fine-tuning on a new domain)? Producing updated bilingual students from the updated teacher requires re-running steps 2 through 7 of the pipeline. For most applications this is acceptable, but for deployments that need frequent updates, more efficient incremental update procedures would be valuable. This is left as future work.</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With these caveats noted, the chapter completes the technical content of the thesis. The experimental evaluation, presented in the next chapter, tests the empirical claims that have been made throughout.</w:t>
      </w:r>
    </w:p>
    <w:p>
      <w:pPr>
        <w:pStyle w:val="Heading3"/>
        <w:spacing w:after="160" w:before="280"/>
        <w:jc w:val="left"/>
      </w:pPr>
      <w:r>
        <w:rPr>
          <w:rFonts w:ascii="Times New Roman" w:cs="Times New Roman" w:eastAsia="Times New Roman" w:hAnsi="Times New Roman"/>
          <w:b/>
          <w:bCs/>
          <w:i/>
          <w:iCs/>
          <w:sz w:val="26"/>
          <w:szCs w:val="26"/>
        </w:rPr>
        <w:t xml:space="preserve">4.6.3  Practical Recommendations</w:t>
      </w:r>
    </w:p>
    <w:p>
      <w:pPr>
        <w:spacing w:after="120" w:before="0" w:line="300"/>
        <w:jc w:val="both"/>
      </w:pPr>
      <w:r>
        <w:rPr>
          <w:rFonts w:ascii="Times New Roman" w:cs="Times New Roman" w:eastAsia="Times New Roman" w:hAnsi="Times New Roman"/>
          <w:b w:val="false"/>
          <w:bCs w:val="false"/>
          <w:i w:val="false"/>
          <w:iCs w:val="false"/>
          <w:sz w:val="24"/>
          <w:szCs w:val="24"/>
        </w:rPr>
        <w:t xml:space="preserve">For practitioners who wish to apply the techniques of this chapter, several practical recommendations can be offered based on the considerations developed above.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Start simple. Begin with the simplest version of the pipeline: transfer learning followed by sequence-level KD, with int8 post-training quantization as the only compression. This produces a 180 MB student in a few days of work. Quality on a development set will tell you whether further compression is needed; in many cases, this baseline configuration is sufficient.</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Profile before optimizing. Measure inference latency, memory usage, and energy consumption on the actual target device before deciding what to compress. Profile-guided compression — focusing effort where the bottlenecks actually are — produces better results than uniform aggressive compression.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Validate carefully. Each compression stage degrades quality somewhat. Test on a held-out set after each stage, and back off if the quality drops below an acceptable threshold. The Table 4.2 numbers are guidelines, not guarantees; actual quality varies by language pair and domain.</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Consider the user experience. A model that translates fast but inaccurately may be worse from a user experience perspective than a slower, more accurate model. Conversely, a model that occasionally produces high-quality output but mostly hangs is unusable. Latency consistency matters as much as average latency.</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Plan for updates. Translation models need to be updated periodically as the teacher improves or as new domains emerge. Design the deployment to allow model updates over the air, with appropriate version management to handle the inevitable case where some users are running older versions for some time.</w:t>
      </w:r>
    </w:p>
    <w:p>
      <w:pPr>
        <w:spacing w:after="120" w:before="0" w:line="300"/>
        <w:ind w:firstLine="360"/>
        <w:jc w:val="both"/>
      </w:pPr>
      <w:r>
        <w:rPr>
          <w:rFonts w:ascii="Times New Roman" w:cs="Times New Roman" w:eastAsia="Times New Roman" w:hAnsi="Times New Roman"/>
          <w:b w:val="false"/>
          <w:bCs w:val="false"/>
          <w:i w:val="false"/>
          <w:iCs w:val="false"/>
          <w:sz w:val="24"/>
          <w:szCs w:val="24"/>
        </w:rPr>
        <w:t xml:space="preserve">This chapter completes the technical content of the thesis. Chapter 5, the concluding chapter, summarizes the findings against the research questions of Chapter 1, discusses limitations and threats to validity, and outlines directions for future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Chapter 4 — Lightweight Bilingual NMT from the Multilingual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Lightweight Bilingual NMT from the Multilingual Model</dc:title>
  <dc:creator>PhD Thesis Author</dc:creator>
  <cp:lastModifiedBy>Un-named</cp:lastModifiedBy>
  <cp:revision>1</cp:revision>
  <dcterms:created xsi:type="dcterms:W3CDTF">2026-05-12T11:14:19.162Z</dcterms:created>
  <dcterms:modified xsi:type="dcterms:W3CDTF">2026-05-12T11:14:19.163Z</dcterms:modified>
</cp:coreProperties>
</file>

<file path=docProps/custom.xml><?xml version="1.0" encoding="utf-8"?>
<Properties xmlns="http://schemas.openxmlformats.org/officeDocument/2006/custom-properties" xmlns:vt="http://schemas.openxmlformats.org/officeDocument/2006/docPropsVTypes"/>
</file>