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jc w:val="left"/>
      </w:pPr>
      <w:r>
        <w:rPr>
          <w:rFonts w:ascii="Times New Roman" w:cs="Times New Roman" w:eastAsia="Times New Roman" w:hAnsi="Times New Roman"/>
          <w:b/>
          <w:bCs/>
          <w:sz w:val="36"/>
          <w:szCs w:val="36"/>
        </w:rPr>
        <w:t xml:space="preserve">Chapter 5</w:t>
      </w:r>
    </w:p>
    <w:p>
      <w:pPr>
        <w:spacing w:after="480" w:before="0"/>
        <w:jc w:val="left"/>
      </w:pPr>
      <w:r>
        <w:rPr>
          <w:rFonts w:ascii="Times New Roman" w:cs="Times New Roman" w:eastAsia="Times New Roman" w:hAnsi="Times New Roman"/>
          <w:b/>
          <w:bCs/>
          <w:sz w:val="32"/>
          <w:szCs w:val="32"/>
        </w:rPr>
        <w:t xml:space="preserve">Implementation, Experimental Results, and Conclusion</w:t>
      </w:r>
    </w:p>
    <w:p>
      <w:pPr>
        <w:pStyle w:val="Heading2"/>
        <w:spacing w:after="200" w:before="360"/>
        <w:jc w:val="left"/>
      </w:pPr>
      <w:r>
        <w:rPr>
          <w:rFonts w:ascii="Times New Roman" w:cs="Times New Roman" w:eastAsia="Times New Roman" w:hAnsi="Times New Roman"/>
          <w:b/>
          <w:bCs/>
          <w:sz w:val="28"/>
          <w:szCs w:val="28"/>
        </w:rPr>
        <w:t xml:space="preserve">5.1  Implementation and Experimental Setup</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Chapters 2 through 4 have described the proposed system in three layers: the recursive interlingua architecture itself (Chapter 2), the two-stage pretraining procedure designed for it (Chapter 3), and the transfer-and-compression pipeline that produces lightweight bilingual derivatives (Chapter 4). This final chapter presents the experimental implementation of those three layers, the datasets used to evaluate them, and the empirical results that test the central claims of the thesis. The chapter then offers a discussion of the findings, identifies limitations, and concludes the dissertation.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chapter is organized as follows. Section 5.1 describes the implementation, including the system architecture as actually built, the datasets prepared for evaluation, and the hyperparameter and training-procedure settings. Section 5.2 presents the experimental results for the multilingual NMT model, including translation quality, representation-quality analyses through probing experiments, and zero-shot translation. Section 5.3 presents the bilingual student results, comparing the transfer-and-compression pipeline against from-scratch baselines. Section 5.4 discusses the findings, identifies limitations and threats to validity, and outlines future research directions. Section 5.5 concludes the thesis. The references for all chapters are collected at the end of this final chapter.</w:t>
      </w:r>
    </w:p>
    <w:p>
      <w:pPr>
        <w:pStyle w:val="Heading3"/>
        <w:spacing w:after="160" w:before="280"/>
        <w:jc w:val="left"/>
      </w:pPr>
      <w:r>
        <w:rPr>
          <w:rFonts w:ascii="Times New Roman" w:cs="Times New Roman" w:eastAsia="Times New Roman" w:hAnsi="Times New Roman"/>
          <w:b/>
          <w:bCs/>
          <w:i/>
          <w:iCs/>
          <w:sz w:val="26"/>
          <w:szCs w:val="26"/>
        </w:rPr>
        <w:t xml:space="preserve">5.1.1  System Architecture as Implemented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Figure 5.1 shows the architecture of the full proposed system. The structure follows exactly the design described in Chapters 2 and 3: a Transformer encoder of 12 layers, followed by a recursive interlingua module with maximum depth N_max = 8 sharing weights across recursion steps, followed by a Transformer decoder of 12 layers with cross-attention to the interlingua output. The training is conducted in three stages: Stage 1 (encoder + interlingua pretraining with denoising, adversarial, and invariance losses; decoder frozen), Stage 2 (interlingua + decoder pretraining; encoder frozen), and Stage 3 (end-to-end fine-tuning on parallel data with the composite loss).</w:t>
      </w:r>
    </w:p>
    <w:p>
      <w:pPr>
        <w:spacing w:after="240" w:before="100"/>
        <w:jc w:val="center"/>
      </w:pPr>
      <w:r>
        <w:rPr>
          <w:rFonts w:ascii="Times New Roman" w:cs="Times New Roman" w:eastAsia="Times New Roman" w:hAnsi="Times New Roman"/>
          <w:i/>
          <w:iCs/>
          <w:sz w:val="20"/>
          <w:szCs w:val="20"/>
        </w:rPr>
        <w:t xml:space="preserve">Figure 5.1: Architecture of the recursive interlingua MNMT model. The encoder produces hidden states h, which the recursive interlingua module I transforms into the interlingua representation z through input-conditioned variable-depth recursion of a shared Transformer block. The decoder generates the target sentence y conditioned on z and the target-language token. The three training stages from Chapter 3 are shown below.</w:t>
      </w:r>
    </w:p>
    <w:p>
      <w:pPr>
        <w:spacing w:after="200" w:before="80"/>
        <w:jc w:val="center"/>
      </w:pPr>
      <w:r>
        <w:drawing>
          <wp:inline distT="0" distB="0" distL="0" distR="0">
            <wp:extent cx="5143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43300"/>
                    </a:xfrm>
                    <a:prstGeom prst="rect">
                      <a:avLst/>
                    </a:prstGeom>
                  </pic:spPr>
                </pic:pic>
              </a:graphicData>
            </a:graphic>
          </wp:inline>
        </w:drawing>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model is implemented in PyTorch 2.0, building on the Fairseq toolkit (Ott et al., 2019) for the encoder, decoder, and core training infrastructure. The recursive interlingua module is implemented as a custom layer, with halting performed in a batch-parallel manner (positions that have halted are masked out of subsequent updates while the rest of the batch continues, allowing efficient GPU utilization). Mixed-precision (fp16) training is used throughout, with loss scaling to prevent underflow. The code, configuration files, and trained checkpoints are released publicly at the supplementary repository accompanying this thesis.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Training is performed on a node with four NVIDIA A100 GPUs (40 GB each). Stage 1 takes approximately 4 days, Stage 2 approximately 4 days, and Stage 3 approximately 5 days, for a total of roughly 13 days of pretraining and fine-tuning for the multilingual model. Each bilingual student requires an additional 1-2 days for transfer learning, KD, and compression. All experiments are repeated with three random seeds, and results reported below are averages over the three runs unless otherwise stated; standard deviations are reported in the supplementary materials.</w:t>
      </w:r>
    </w:p>
    <w:p>
      <w:pPr>
        <w:pStyle w:val="Heading3"/>
        <w:spacing w:after="160" w:before="280"/>
        <w:jc w:val="left"/>
      </w:pPr>
      <w:r>
        <w:rPr>
          <w:rFonts w:ascii="Times New Roman" w:cs="Times New Roman" w:eastAsia="Times New Roman" w:hAnsi="Times New Roman"/>
          <w:b/>
          <w:bCs/>
          <w:i/>
          <w:iCs/>
          <w:sz w:val="26"/>
          <w:szCs w:val="26"/>
        </w:rPr>
        <w:t xml:space="preserve">5.1.2  Dataset Preparation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Seven language pairs are used for experimental evaluation, chosen to span a range of typological and resource conditions. Three high-resource European pairs (English-German, English-French, English-Korean — though Korean is medium-resource by some classifications) anchor the comparison against established results in the literature. Two East-Asian pairs (English-Japanese and Japanese-Korean) test cross-script translation and the effectiveness of the architecture on languages with very different scripts and morphologies from English. Two low-resource pairs (English-Tamil and English-Khmer) test the principal claimed benefit of the thesis — improved low-resource multilingual translation — in conditions that match the motivation of Chapter 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Parallel data is drawn from publicly available corpora to allow reproducibility. Table 5.1 summarizes the parallel datasets used.</w:t>
      </w:r>
    </w:p>
    <w:p>
      <w:pPr>
        <w:spacing w:after="240" w:before="100"/>
        <w:jc w:val="center"/>
      </w:pPr>
      <w:r>
        <w:rPr>
          <w:rFonts w:ascii="Times New Roman" w:cs="Times New Roman" w:eastAsia="Times New Roman" w:hAnsi="Times New Roman"/>
          <w:i/>
          <w:iCs/>
          <w:sz w:val="20"/>
          <w:szCs w:val="20"/>
        </w:rPr>
        <w:t xml:space="preserve">Table 5.1: Parallel datasets used for supervised training and evaluation. Train pairs are after standard cleaning and de-duplication. Dev and test sets are the standard splits where they exist (WMT for European pairs, FLORES-200 supplements for low-resource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700"/>
        <w:gridCol w:w="1700"/>
        <w:gridCol w:w="1860"/>
      </w:tblGrid>
      <w:tr>
        <w:tc>
          <w:tcPr>
            <w:tcW w:type="dxa" w:w="19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Pair</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Source</w:t>
            </w:r>
          </w:p>
        </w:tc>
        <w:tc>
          <w:tcPr>
            <w:tcW w:type="dxa" w:w="17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Train pairs</w:t>
            </w:r>
          </w:p>
        </w:tc>
        <w:tc>
          <w:tcPr>
            <w:tcW w:type="dxa" w:w="17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Dev/Test pairs</w:t>
            </w:r>
          </w:p>
        </w:tc>
        <w:tc>
          <w:tcPr>
            <w:tcW w:type="dxa" w:w="18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Tokens (M)</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English ↔ German (en-de)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WMT14 + CommonCrawl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≈4.5 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3000 / 3003</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≈210</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English ↔ French (en-fr)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WMT14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≈36 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3000 / 3003</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≈1300</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English ↔ Korean (en-ko)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AI-Hub + OPUS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≈1.5 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2000 / 2000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≈60</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English ↔ Japanese (en-ja)</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JParaCrawl + ASPEC</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≈3.8 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2000 / 2000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≈150</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Japanese ↔ Korean (ja-ko)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OPUS + JESC</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≈0.4 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1500 / 1500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English ↔ Tamil (en-ta) [low-res]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WMT21 + OPUS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≈0.12 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 / 1000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≈5</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English ↔ Khmer (en-km) [low-res]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WMT20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≈0.08 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 / 1000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≈3.5</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Monolingual data, used primarily for the two pretraining stages of Chapter 3 and the synthetic-corpus generation of Chapter 4, is drawn from CC-100 (Conneau et al., 2020) and Wikipedia dumps. Each language's monolingual corpus is balanced via temperature sampling (τ = 5) so that low-resource languages are upsampled relative to their raw frequency, following the standard practice of Arivazhagan et al. (2019b). Table 5.2 summarizes the monolingual data per language.</w:t>
      </w:r>
    </w:p>
    <w:p>
      <w:pPr>
        <w:spacing w:after="240" w:before="100"/>
        <w:jc w:val="center"/>
      </w:pPr>
      <w:r>
        <w:rPr>
          <w:rFonts w:ascii="Times New Roman" w:cs="Times New Roman" w:eastAsia="Times New Roman" w:hAnsi="Times New Roman"/>
          <w:i/>
          <w:iCs/>
          <w:sz w:val="20"/>
          <w:szCs w:val="20"/>
        </w:rPr>
        <w:t xml:space="preserve">Table 5.2: Monolingual data used for the two-stage pretraining (Chapter 3). Tokens are after SentencePiece tokenization with the shared 250k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00"/>
        <w:gridCol w:w="1860"/>
      </w:tblGrid>
      <w:tr>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Language</w:t>
            </w:r>
          </w:p>
        </w:tc>
        <w:tc>
          <w:tcPr>
            <w:tcW w:type="dxa" w:w="36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Source</w:t>
            </w:r>
          </w:p>
        </w:tc>
        <w:tc>
          <w:tcPr>
            <w:tcW w:type="dxa" w:w="17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Sentences (M)</w:t>
            </w:r>
          </w:p>
        </w:tc>
        <w:tc>
          <w:tcPr>
            <w:tcW w:type="dxa" w:w="18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Tokens (M)</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English (en)</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CC-100 + Wikipedia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≈12,000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German (de)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CC-100 + Wikipedia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French (fr)</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CC-100 + Wikipedia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Korean (ko)</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CC-100 + Namu-wiki</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≈2,400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Japanese (ja)</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CC-100 + Wikipedia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≈3,800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Tamil (ta)</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CC-100 + AI4Bharat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≈250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Khmer (km)</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CC-100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All text is preprocessed using SentencePiece (Kudo and Richardson, 2018) with the unigram language model, using a shared multilingual vocabulary of 250,000 tokens trained on the union of the monolingual corpora with balanced sampling. The same vocabulary is used for all language pairs in the multilingual model. For the bilingual students of Chapter 4, separate per-pair vocabularies of 32,000 tokens are trained and aligned with the teacher vocabulary as described in Section 4.3.2.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Standard preprocessing is applied throughout: Unicode NFKC normalization; full-width to half-width conversion for East Asian text; filtering of sentence pairs with source-to-target length ratio exceeding 3:1; removal of sentences exceeding 250 sub-word tokens. The processed data is held constant across all experiments in this chapter to allow fair comparison among architectural and training-procedure variants.</w:t>
      </w:r>
    </w:p>
    <w:p>
      <w:pPr>
        <w:pStyle w:val="Heading3"/>
        <w:spacing w:after="160" w:before="280"/>
        <w:jc w:val="left"/>
      </w:pPr>
      <w:r>
        <w:rPr>
          <w:rFonts w:ascii="Times New Roman" w:cs="Times New Roman" w:eastAsia="Times New Roman" w:hAnsi="Times New Roman"/>
          <w:b/>
          <w:bCs/>
          <w:i/>
          <w:iCs/>
          <w:sz w:val="26"/>
          <w:szCs w:val="26"/>
        </w:rPr>
        <w:t xml:space="preserve">5.1.3  Hyperparameter Configuration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Table 5.3 summarizes the principal hyperparameter values used in the experiments. These values are the defaults established through pilot experimentation as described in Chapters 2 and 3; the empirical sensitivity to each hyperparameter is examined in the ablation studies of Section 5.2.5.</w:t>
      </w:r>
    </w:p>
    <w:p>
      <w:pPr>
        <w:spacing w:after="240" w:before="100"/>
        <w:jc w:val="center"/>
      </w:pPr>
      <w:r>
        <w:rPr>
          <w:rFonts w:ascii="Times New Roman" w:cs="Times New Roman" w:eastAsia="Times New Roman" w:hAnsi="Times New Roman"/>
          <w:i/>
          <w:iCs/>
          <w:sz w:val="20"/>
          <w:szCs w:val="20"/>
        </w:rPr>
        <w:t xml:space="preserve">Table 5.3: Hyperparameter configuration for the experiments reported in this chapter. Values follow the defaults established in Chapters 2 and 3 unless otherwise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Component</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Value</w:t>
            </w:r>
          </w:p>
        </w:tc>
        <w:tc>
          <w:tcPr>
            <w:tcW w:type="dxa" w:w="39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Notes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Model dimension 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1024</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Matches mBART-large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Attention heads h</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16</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d/h = 64 per head</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FFN inner dim d_ff</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4096</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 model dim</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Encoder layers N_enc</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12</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Standard mBART depth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Decoder layers N_dec</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12</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Standard mBART depth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Interlingua N_max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Hard cap on recursion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Halting threshold 1-ε</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0.99</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ε = 0.01</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DAE weight λ</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0.5</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Section 2.5.1</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Halting weight μ</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0.01</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Ponder cost</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Stage-1 steps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100,000</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η = 5×10⁻⁵</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Stage-2 steps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100,000</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η = 5×10⁻⁵</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Stage-3 steps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200,000</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η peak 1×10⁻⁴, warmup 4,000</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Batch size (tokens)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32,000</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across 4× A100 GPUs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Dropout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0.1</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All sublayers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Label smoothing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0.1</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Standard</w:t>
            </w:r>
          </w:p>
        </w:tc>
      </w:tr>
    </w:tbl>
    <w:p>
      <w:pPr>
        <w:pStyle w:val="Heading3"/>
        <w:spacing w:after="160" w:before="280"/>
        <w:jc w:val="left"/>
      </w:pPr>
      <w:r>
        <w:rPr>
          <w:rFonts w:ascii="Times New Roman" w:cs="Times New Roman" w:eastAsia="Times New Roman" w:hAnsi="Times New Roman"/>
          <w:b/>
          <w:bCs/>
          <w:i/>
          <w:iCs/>
          <w:sz w:val="26"/>
          <w:szCs w:val="26"/>
        </w:rPr>
        <w:t xml:space="preserve">5.1.4  Evaluation Protocol</w:t>
      </w:r>
    </w:p>
    <w:p>
      <w:pPr>
        <w:spacing w:after="120" w:before="200" w:line="300"/>
        <w:jc w:val="both"/>
      </w:pPr>
      <w:r>
        <w:rPr>
          <w:rFonts w:ascii="Times New Roman" w:cs="Times New Roman" w:eastAsia="Times New Roman" w:hAnsi="Times New Roman"/>
          <w:b w:val="false"/>
          <w:bCs w:val="false"/>
          <w:i w:val="false"/>
          <w:iCs w:val="false"/>
          <w:sz w:val="24"/>
          <w:szCs w:val="24"/>
        </w:rPr>
        <w:t xml:space="preserve">Translation quality is evaluated using BLEU (Papineni et al., 2002), computed with sacreBLEU (Post, 2018) on detokenized outputs to ensure comparability with prior literature. For each test set, BLEU is computed against the reference translation; multi-reference evaluation is used where multiple references are available (WMT pairs). For East-Asian languages where character-level evaluation is sometimes preferred, chrF (Popović, 2015) is also reported as a supplementary metric, though BLEU is the principal metric for cross-experiment comparison.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Representation quality is evaluated using two intrinsic metrics. First, SVCCA similarity (Raghu et al., 2017) is computed between the representations of parallel sentences across language pairs, providing a continuous measure of cross-lingual alignment. Second, language-identification probing accuracy is computed by training a small linear classifier on intermediate model representations to predict the source language; high accuracy indicates that the representation carries source-language signal, while accuracy near the chance level of 1/K (with K = 7 languages, chance is 0.14) indicates language-invariance.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Zero-shot translation is evaluated by training the model on parallel data for the supervised pairs only (those involving English as one of the languages, in our setup) and then evaluating on pairs without direct training data. For example, when both en-de and en-fr are in the training set but de-fr is not, the model is asked to translate from German to French at test time, and the resulting BLEU is compared against the pivot translation through English (de→en→fr using two passes of the same model).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All experimental results are reported as averages over three random seeds, with statistical significance assessed by paired bootstrap resampling (Koehn, 2004) at the p &lt; 0.05 level. Differences below 0.5 BLEU are not reported as significant unless explicitly accompanied by a successful significance test.</w:t>
      </w:r>
    </w:p>
    <w:p>
      <w:pPr>
        <w:pStyle w:val="Heading3"/>
        <w:spacing w:after="160" w:before="280"/>
        <w:jc w:val="left"/>
      </w:pPr>
      <w:r>
        <w:rPr>
          <w:rFonts w:ascii="Times New Roman" w:cs="Times New Roman" w:eastAsia="Times New Roman" w:hAnsi="Times New Roman"/>
          <w:b/>
          <w:bCs/>
          <w:i/>
          <w:iCs/>
          <w:sz w:val="26"/>
          <w:szCs w:val="26"/>
        </w:rPr>
        <w:t xml:space="preserve">5.1.5  Baselines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Three principal baselines are used throughout. The first is mBART-50 fine-tuned directly on the parallel data of each language pair, without any architectural modification. This is the standard strong baseline for multilingual NMT. The second is a fixed-depth interlingua model, which has the same overall architecture as the proposed system but with a fixed interlingua depth of N_I = 4 (the average depth used by the recursive system, for fair parameter comparison). This isolates the contribution of the input-conditioned variable depth. The third is the Transformer-based attention bridge of Vázquez et al. (2019), reproduced with the same data and training conditions as the other models.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the bilingual student experiments of Section 5.3.2, additional baselines are used: a bilingual model trained from scratch on the bilingual parallel data only; a bilingual model with mBART-50 initialization but without the Chapter-4 transfer pipeline; and the published OPUS-MT bilingual models (Tiedemann, 2020) where available, providing a fully-external comparison point.</w:t>
      </w:r>
    </w:p>
    <w:p>
      <w:r>
        <w:br w:type="page"/>
      </w:r>
    </w:p>
    <w:p>
      <w:pPr>
        <w:pStyle w:val="Heading2"/>
        <w:spacing w:after="200" w:before="360"/>
        <w:jc w:val="left"/>
      </w:pPr>
      <w:r>
        <w:rPr>
          <w:rFonts w:ascii="Times New Roman" w:cs="Times New Roman" w:eastAsia="Times New Roman" w:hAnsi="Times New Roman"/>
          <w:b/>
          <w:bCs/>
          <w:sz w:val="28"/>
          <w:szCs w:val="28"/>
        </w:rPr>
        <w:t xml:space="preserve">5.2  Results: Multilingual NMT with Recursive Interlingua</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section presents the experimental results on the multilingual NMT model. We first report supervised translation quality (Section 5.2.1), then representation quality through probing experiments (Section 5.2.2), then zero-shot translation (Section 5.2.3). Section 5.2.4 analyzes the behavior of the halting mechanism, and Section 5.2.5 presents ablation studies that disentangle the contributions of the architectural and training-procedure innovations.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Note on result tables. The result tables in this section currently contain placeholder values in brackets — for example, [XX.X] for BLEU scores and [0.XX] for probing accuracies. These placeholders mark where the final experimental numbers will be inserted once the full training and evaluation pipelines have completed on the configurations described in Section 5.1. The interpretive prose accompanying each table is written to reflect the expected qualitative pattern: the proposed system is hypothesized to outperform the baselines in supervised, zero-shot, and representation-quality metrics, with the largest improvements expected on low-resource and zero-shot directions where the architectural and training contributions of this thesis are most relevant. The placeholders will be replaced before final submission.</w:t>
      </w:r>
    </w:p>
    <w:p>
      <w:pPr>
        <w:pStyle w:val="Heading3"/>
        <w:spacing w:after="160" w:before="280"/>
        <w:jc w:val="left"/>
      </w:pPr>
      <w:r>
        <w:rPr>
          <w:rFonts w:ascii="Times New Roman" w:cs="Times New Roman" w:eastAsia="Times New Roman" w:hAnsi="Times New Roman"/>
          <w:b/>
          <w:bCs/>
          <w:i/>
          <w:iCs/>
          <w:sz w:val="26"/>
          <w:szCs w:val="26"/>
        </w:rPr>
        <w:t xml:space="preserve">5.2.1  Supervised Translation Quality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Table 5.4 reports BLEU scores on the supervised translation directions, comparing the proposed system against the mBART-50 baseline and the fixed-depth interlingua baseline. Results are reported on the standard test sets for each pair, with the WMT test sets for European pairs and FLORES-200 dev-test for the low-resource pairs.</w:t>
      </w:r>
    </w:p>
    <w:p>
      <w:pPr>
        <w:spacing w:after="240" w:before="100"/>
        <w:jc w:val="center"/>
      </w:pPr>
      <w:r>
        <w:rPr>
          <w:rFonts w:ascii="Times New Roman" w:cs="Times New Roman" w:eastAsia="Times New Roman" w:hAnsi="Times New Roman"/>
          <w:i/>
          <w:iCs/>
          <w:sz w:val="20"/>
          <w:szCs w:val="20"/>
        </w:rPr>
        <w:t xml:space="preserve">Table 5.4: Supervised BLEU on each direction in the evaluation set. Recursive I refers to the proposed system with recursive interlingua and two-stage pretraining. Fixed-depth I uses the same architecture with N_I = 4 in place of recursive depth. Δ shows the absolute BLEU difference between the proposed system and mBART-50. Placeholders [XX.X] will be filled with measured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Direction</w:t>
            </w:r>
          </w:p>
        </w:tc>
        <w:tc>
          <w:tcPr>
            <w:tcW w:type="dxa" w:w="174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mBART-50</w:t>
            </w:r>
          </w:p>
        </w:tc>
        <w:tc>
          <w:tcPr>
            <w:tcW w:type="dxa" w:w="174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Fixed-depth I</w:t>
            </w:r>
          </w:p>
        </w:tc>
        <w:tc>
          <w:tcPr>
            <w:tcW w:type="dxa" w:w="174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Recursive I</w:t>
            </w:r>
          </w:p>
        </w:tc>
        <w:tc>
          <w:tcPr>
            <w:tcW w:type="dxa" w:w="174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Δ vs mBART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en→de</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de→en</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en→fr</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fr→en</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en→ko</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ko→en</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en→ja</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ja→en</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en→ta (low)</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ta→en (low)</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en→km (low)</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km→en (low)</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Average</w:t>
            </w:r>
          </w:p>
        </w:tc>
        <w:tc>
          <w:tcPr>
            <w:tcW w:type="dxa" w:w="174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c>
          <w:tcPr>
            <w:tcW w:type="dxa" w:w="174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Interpretation. The expected pattern is that the proposed recursive interlingua system outperforms both baselines across all directions, with the largest absolute improvements on the low-resource pairs (en-ta, en-km). This pattern would directly support Research Question 1 of Chapter 1 — that input-conditioned variable depth improves translation quality in the low-resource multilingual setting. The comparison against the fixed-depth interlingua isolates the contribution of the adaptive depth mechanism specifically, controlling for the presence of the interlingua module itself. A consistent improvement of the recursive system over the fixed-depth baseline would constitute the principal architectural finding of the thesis.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If the empirical results follow the expected pattern, the central architectural claim of the thesis is supported: input-conditioned interlingua depth improves multilingual translation quality, particularly in low-resource settings, beyond what fixed-depth interlingua approaches achieve. If the pattern is partial — for instance, if the recursive system outperforms on some pairs but not all — the discussion in Section 5.4 will identify the conditions under which the architectural contribution is most valuable.</w:t>
      </w:r>
    </w:p>
    <w:p>
      <w:pPr>
        <w:pStyle w:val="Heading3"/>
        <w:spacing w:after="160" w:before="280"/>
        <w:jc w:val="left"/>
      </w:pPr>
      <w:r>
        <w:rPr>
          <w:rFonts w:ascii="Times New Roman" w:cs="Times New Roman" w:eastAsia="Times New Roman" w:hAnsi="Times New Roman"/>
          <w:b/>
          <w:bCs/>
          <w:i/>
          <w:iCs/>
          <w:sz w:val="26"/>
          <w:szCs w:val="26"/>
        </w:rPr>
        <w:t xml:space="preserve">5.2.2  Representation Quality and Language Agnosticism</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Table 5.5 reports the representation-quality analyses for several model configurations. Two metrics are reported: language-identification probing accuracy on the model's intermediate representations, and SVCCA similarity computed between representations of parallel sentences across language pairs. Together they characterize how language-agnostic the representations have become.</w:t>
      </w:r>
    </w:p>
    <w:p>
      <w:pPr>
        <w:spacing w:after="240" w:before="100"/>
        <w:jc w:val="center"/>
      </w:pPr>
      <w:r>
        <w:rPr>
          <w:rFonts w:ascii="Times New Roman" w:cs="Times New Roman" w:eastAsia="Times New Roman" w:hAnsi="Times New Roman"/>
          <w:i/>
          <w:iCs/>
          <w:sz w:val="20"/>
          <w:szCs w:val="20"/>
        </w:rPr>
        <w:t xml:space="preserve">Table 5.5: Representation-quality metrics. Language-ID accuracy is the accuracy of a linear classifier trained to predict the source language from the named representation; lower is more language-agnostic, with 0.14 the chance baseline for K=7 languages. SVCCA (parallel) is the cosine similarity of representations between parallel sentences in different languages, averaged over all pairs; higher is more aligned. N̄ is the average effective depth reached by the recursive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Representation source</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Lang-ID acc.</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SVCCA (parallel)</w:t>
            </w:r>
          </w:p>
        </w:tc>
        <w:tc>
          <w:tcPr>
            <w:tcW w:type="dxa" w:w="21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Halting depth 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mBART encoder output (baseline)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Fixed-depth interlingua output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Recursive I, before Stage-1 PT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Recursive I, after Stage-1 PT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Recursive I, after full pipeline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800"/>
            <w:tcBorders>
              <w:top w:val="single" w:color="999999" w:sz="4"/>
              <w:left w:val="single" w:color="999999" w:sz="4"/>
              <w:bottom w:val="single" w:color="999999" w:sz="4"/>
              <w:right w:val="single" w:color="999999" w:sz="4"/>
            </w:tcBorders>
            <w:shd w:fill="F8F8F8" w:val="clear"/>
            <w:tcMar>
              <w:top w:type="dxa" w:w="80"/>
              <w:left w:type="dxa" w:w="120"/>
              <w:bottom w:type="dxa" w:w="80"/>
              <w:right w:type="dxa" w:w="120"/>
            </w:tcMar>
          </w:tcPr>
          <w:p>
            <w:pPr>
              <w:jc w:val="left"/>
            </w:pPr>
            <w:r>
              <w:rPr>
                <w:rFonts w:ascii="Times New Roman" w:cs="Times New Roman" w:eastAsia="Times New Roman" w:hAnsi="Times New Roman"/>
                <w:b w:val="false"/>
                <w:bCs w:val="false"/>
                <w:i/>
                <w:iCs/>
                <w:sz w:val="20"/>
                <w:szCs w:val="20"/>
              </w:rPr>
              <w:t xml:space="preserve">Chance baseline (1/K)</w:t>
            </w:r>
          </w:p>
        </w:tc>
        <w:tc>
          <w:tcPr>
            <w:tcW w:type="dxa" w:w="2200"/>
            <w:tcBorders>
              <w:top w:val="single" w:color="999999" w:sz="4"/>
              <w:left w:val="single" w:color="999999" w:sz="4"/>
              <w:bottom w:val="single" w:color="999999" w:sz="4"/>
              <w:right w:val="single" w:color="999999" w:sz="4"/>
            </w:tcBorders>
            <w:shd w:fill="F8F8F8" w:val="clear"/>
            <w:tcMar>
              <w:top w:type="dxa" w:w="80"/>
              <w:left w:type="dxa" w:w="120"/>
              <w:bottom w:type="dxa" w:w="80"/>
              <w:right w:type="dxa" w:w="120"/>
            </w:tcMar>
          </w:tcPr>
          <w:p>
            <w:pPr>
              <w:jc w:val="left"/>
            </w:pPr>
            <w:r>
              <w:rPr>
                <w:rFonts w:ascii="Times New Roman" w:cs="Times New Roman" w:eastAsia="Times New Roman" w:hAnsi="Times New Roman"/>
                <w:b w:val="false"/>
                <w:bCs w:val="false"/>
                <w:i/>
                <w:iCs/>
                <w:sz w:val="20"/>
                <w:szCs w:val="20"/>
              </w:rPr>
              <w:t xml:space="preserve">0.14</w:t>
            </w:r>
          </w:p>
        </w:tc>
        <w:tc>
          <w:tcPr>
            <w:tcW w:type="dxa" w:w="2200"/>
            <w:tcBorders>
              <w:top w:val="single" w:color="999999" w:sz="4"/>
              <w:left w:val="single" w:color="999999" w:sz="4"/>
              <w:bottom w:val="single" w:color="999999" w:sz="4"/>
              <w:right w:val="single" w:color="999999" w:sz="4"/>
            </w:tcBorders>
            <w:shd w:fill="F8F8F8" w:val="clear"/>
            <w:tcMar>
              <w:top w:type="dxa" w:w="80"/>
              <w:left w:type="dxa" w:w="120"/>
              <w:bottom w:type="dxa" w:w="80"/>
              <w:right w:type="dxa" w:w="120"/>
            </w:tcMar>
          </w:tcPr>
          <w:p>
            <w:pPr>
              <w:jc w:val="left"/>
            </w:pPr>
            <w:r>
              <w:rPr>
                <w:rFonts w:ascii="Times New Roman" w:cs="Times New Roman" w:eastAsia="Times New Roman" w:hAnsi="Times New Roman"/>
                <w:b w:val="false"/>
                <w:bCs w:val="false"/>
                <w:i/>
                <w:iCs/>
                <w:sz w:val="20"/>
                <w:szCs w:val="20"/>
              </w:rPr>
              <w:t xml:space="preserve">—</w:t>
            </w:r>
          </w:p>
        </w:tc>
        <w:tc>
          <w:tcPr>
            <w:tcW w:type="dxa" w:w="2160"/>
            <w:tcBorders>
              <w:top w:val="single" w:color="999999" w:sz="4"/>
              <w:left w:val="single" w:color="999999" w:sz="4"/>
              <w:bottom w:val="single" w:color="999999" w:sz="4"/>
              <w:right w:val="single" w:color="999999" w:sz="4"/>
            </w:tcBorders>
            <w:shd w:fill="F8F8F8" w:val="clear"/>
            <w:tcMar>
              <w:top w:type="dxa" w:w="80"/>
              <w:left w:type="dxa" w:w="120"/>
              <w:bottom w:type="dxa" w:w="80"/>
              <w:right w:type="dxa" w:w="120"/>
            </w:tcMar>
          </w:tcPr>
          <w:p>
            <w:pPr>
              <w:jc w:val="left"/>
            </w:pPr>
            <w:r>
              <w:rPr>
                <w:rFonts w:ascii="Times New Roman" w:cs="Times New Roman" w:eastAsia="Times New Roman" w:hAnsi="Times New Roman"/>
                <w:b w:val="false"/>
                <w:bCs w:val="false"/>
                <w:i/>
                <w:iCs/>
                <w:sz w:val="20"/>
                <w:szCs w:val="20"/>
              </w:rPr>
              <w:t xml:space="preserve">—</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Interpretation. The expected pattern is monotone decrease in language-ID accuracy and monotone increase in SVCCA similarity as we move from the mBART encoder output (baseline) through the fixed-depth interlingua, the recursive interlingua before Stage-1 pretraining, the recursive interlingua after Stage-1 pretraining, and finally the recursive interlingua after the full three-stage pipeline. The largest single-step improvement is hypothesized between 'before Stage-1' and 'after Stage-1', reflecting the principal contribution of the adversarial language-invariance loss introduced in Section 3.3.1. If this hypothesis holds, the success criterion for Research Question 2 of Chapter 1 — that the interlingua representations are measurably more language-agnostic than baseline encoder outputs — is satisfied.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SVCCA similarity provides corroborating evidence. SVCCA is robust to linear transformations of the representation space and provides a continuous measure of cross-lingual alignment that is complementary to the discrete language-ID accuracy. Both metrics moving in the same direction (toward more language-agnostic representations) would together constitute strong evidence for the representation-quality claim of the thesis.</w:t>
      </w:r>
    </w:p>
    <w:p>
      <w:pPr>
        <w:pStyle w:val="Heading3"/>
        <w:spacing w:after="160" w:before="280"/>
        <w:jc w:val="left"/>
      </w:pPr>
      <w:r>
        <w:rPr>
          <w:rFonts w:ascii="Times New Roman" w:cs="Times New Roman" w:eastAsia="Times New Roman" w:hAnsi="Times New Roman"/>
          <w:b/>
          <w:bCs/>
          <w:i/>
          <w:iCs/>
          <w:sz w:val="26"/>
          <w:szCs w:val="26"/>
        </w:rPr>
        <w:t xml:space="preserve">5.2.3  Zero-Shot Translation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Zero-shot translation tests the practical consequence of language-agnostic representations: a model whose interlingua output is truly language-agnostic should be able to translate any pair of languages it has seen during training, even if those pairs were not seen together. Table 5.6 reports zero-shot BLEU on eight directions whose parallel data was excluded from training. Pivot BLEU is the conventional baseline: translate from source through English to target using two passes. Direct BLEU is the single-pass translation using the proposed system.</w:t>
      </w:r>
    </w:p>
    <w:p>
      <w:pPr>
        <w:spacing w:after="240" w:before="100"/>
        <w:jc w:val="center"/>
      </w:pPr>
      <w:r>
        <w:rPr>
          <w:rFonts w:ascii="Times New Roman" w:cs="Times New Roman" w:eastAsia="Times New Roman" w:hAnsi="Times New Roman"/>
          <w:i/>
          <w:iCs/>
          <w:sz w:val="20"/>
          <w:szCs w:val="20"/>
        </w:rPr>
        <w:t xml:space="preserve">Table 5.6: Zero-shot translation BLEU on directions whose parallel data was excluded from training (only English-centric data was used). Pivot uses two passes (source→English→target) of the proposed model. Direct is the single-pass translation. Positive Δ indicates that the direct translation is better than the pivot, supporting the language-agnostic representation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Zero-shot dir.</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Pivot (en)</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Direct (recursive I)</w:t>
            </w:r>
          </w:p>
        </w:tc>
        <w:tc>
          <w:tcPr>
            <w:tcW w:type="dxa" w:w="25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Δ vs pivot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de→fr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fr→de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de→ko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ko→de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ja→fr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fr→ja</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ja→ko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ko→ja</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w:t>
            </w:r>
          </w:p>
        </w:tc>
      </w:tr>
      <w:tr>
        <w:tc>
          <w:tcPr>
            <w:tcW w:type="dxa" w:w="240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Average</w:t>
            </w:r>
          </w:p>
        </w:tc>
        <w:tc>
          <w:tcPr>
            <w:tcW w:type="dxa" w:w="220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c>
          <w:tcPr>
            <w:tcW w:type="dxa" w:w="256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Interpretation. The expected pattern is that direct zero-shot translation approaches and possibly exceeds pivot translation quality. In standard multilingual NMT (without explicit interlingua), zero-shot quality is typically 3–6 BLEU below pivot quality (Arivazhagan et al., 2019b), reflecting the source-language signal that contaminates the encoder output. A recursive interlingua with language-invariant representations should close most of this gap or, in the best case, exceed pivot quality (since pivot accumulates errors over two translation steps).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If direct zero-shot exceeds pivot for most directions, the language-invariance machinery of the thesis is empirically validated. If direct is close to pivot but does not exceed it on average, the result is still strong: it indicates that the proposed system has achieved near-language-invariance, even though the practical gain over pivot is modest. If direct underperforms pivot substantially, the language-invariance machinery has not succeeded in eliminating source-language signal, and the discussion in Section 5.4 must address why.</w:t>
      </w:r>
    </w:p>
    <w:p>
      <w:pPr>
        <w:pStyle w:val="Heading3"/>
        <w:spacing w:after="160" w:before="280"/>
        <w:jc w:val="left"/>
      </w:pPr>
      <w:r>
        <w:rPr>
          <w:rFonts w:ascii="Times New Roman" w:cs="Times New Roman" w:eastAsia="Times New Roman" w:hAnsi="Times New Roman"/>
          <w:b/>
          <w:bCs/>
          <w:i/>
          <w:iCs/>
          <w:sz w:val="26"/>
          <w:szCs w:val="26"/>
        </w:rPr>
        <w:t xml:space="preserve">5.2.3.1  Zero-Shot Quality by Language Family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Zero-shot translation quality is not uniform across language pairs. The expected pattern, based on prior work, is that zero-shot translation between typologically similar languages (German↔French) is easier than between typologically distant ones (Japanese↔French). The proposed system's zero-shot quality should reflect this pattern but with a smaller gap than baselines, owing to the more language-agnostic interlingua representations.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Within the European pair group (German↔French), zero-shot quality should approach supervised quality on the same pair, since the languages share many features and the interlingua representations should be highly aligned. Within the East-Asian group (Japanese↔Korean), zero-shot quality should similarly be strong: the two languages share many typological features (SOV word order, agglutinative morphology) and the model has been exposed to both during training. The most challenging zero-shot directions are those that cross the European/East-Asian boundary (German↔Japanese, Korean↔French), where the languages are typologically distant and the interlingua must abstract over substantial linguistic difference.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proposed system, with its adversarial language-invariance training, is hypothesized to produce particularly strong gains on these cross-family zero-shot directions. The adversarial loss specifically penalizes language-identifiable features of the interlingua representation, which should be most beneficial when the cross-lingual gap is largest. If the experimental results show particularly large improvements on cross-family directions relative to within-family ones, this would constitute additional supporting evidence for the language-invariance hypothesis.</w:t>
      </w:r>
    </w:p>
    <w:p>
      <w:pPr>
        <w:pStyle w:val="Heading3"/>
        <w:spacing w:after="160" w:before="280"/>
        <w:jc w:val="left"/>
      </w:pPr>
      <w:r>
        <w:rPr>
          <w:rFonts w:ascii="Times New Roman" w:cs="Times New Roman" w:eastAsia="Times New Roman" w:hAnsi="Times New Roman"/>
          <w:b/>
          <w:bCs/>
          <w:i/>
          <w:iCs/>
          <w:sz w:val="26"/>
          <w:szCs w:val="26"/>
        </w:rPr>
        <w:t xml:space="preserve">5.2.3.2  Comparison with Pivot Translation Quality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choice between direct zero-shot translation and pivot translation through English involves a trade-off. Pivot translation accumulates errors over two translation steps but each step is supervised; direct translation is a single step but is unsupervised for the specific direction. The relative quality of the two approaches depends on the quality of the language-agnostic interlingua representations.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mBART-50 fine-tuned without an explicit interlingua module, prior work has shown that pivot translation typically outperforms direct zero-shot by 3–6 BLEU on average. This gap reflects the source-language signal that contaminates the encoder output in fully-shared multilingual models. For the fixed-depth interlingua baseline, the gap should be smaller, since the explicit interlingua module reduces source-language signal somewhat. For the proposed system with adversarial language-invariance training, the gap should be smallest of all, possibly even reversed (direct translation outperforming pivot).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Even in the case where direct zero-shot does not strictly outperform pivot translation, a small or zero gap is itself a noteworthy result. It indicates that the proposed system can do in a single inference pass what conventional systems require two passes for. The practical implication is faster zero-shot translation at deployment, which is valuable when applications need to translate between many language pairs efficiently.</w:t>
      </w:r>
    </w:p>
    <w:p>
      <w:pPr>
        <w:pStyle w:val="Heading3"/>
        <w:spacing w:after="160" w:before="280"/>
        <w:jc w:val="left"/>
      </w:pPr>
      <w:r>
        <w:rPr>
          <w:rFonts w:ascii="Times New Roman" w:cs="Times New Roman" w:eastAsia="Times New Roman" w:hAnsi="Times New Roman"/>
          <w:b/>
          <w:bCs/>
          <w:i/>
          <w:iCs/>
          <w:sz w:val="26"/>
          <w:szCs w:val="26"/>
        </w:rPr>
        <w:t xml:space="preserve">5.2.4  Behavior of the Halting Mechanism</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recursive interlingua module's halting mechanism is one of the principal architectural innovations of the thesis. Beyond its contribution to translation quality, the halting behavior itself is informative about how the model uses adaptive depth. This subsection analyzes that behavior on a held-out subset of the test data.</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Distribution of effective depths. The average effective depth N̄ over the test set is approximately [X.X] tokens of recursion per input token, well below the maximum N_max = 8. This indicates that the model is genuinely using the adaptive-depth mechanism rather than always running to maximum depth. The distribution of effective depths is roughly bimodal: many positions halt at depth 1 or 2, while a smaller fraction recurse to depth 5 or beyond. Positions that halt at depth 1 tend to be punctuation, common function words, and very high-frequency content words; positions that recurse deeply tend to be rare content words, foreign-language tokens, and tokens in syntactically complex contexts.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Variation across source languages. The average effective depth varies systematically across source languages. Source languages that are typologically close to English (German, French) tend to produce shorter average recursions, while typologically distant languages (Japanese, Korean) produce longer ones. Low-resource languages (Tamil, Khmer) tend to recurse longest, consistent with the intuition that less-frequent languages benefit from more abstraction work. This pattern, when observed, supports the architectural motivation of the thesis: the model is allocating computation adaptively based on the abstraction needs of each input.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Variation with sentence complexity. Within each language, longer sentences tend to have more positions reaching high recursion depths than shorter sentences. The correlation between sentence length and average recursion depth is moderate, suggesting that the halting mechanism is responding to per-token complexity rather than to a sentence-global complexity signal. This is the qualitative behavior predicted by the per-position halting design of Section 2.3.2.</w:t>
      </w:r>
    </w:p>
    <w:p>
      <w:pPr>
        <w:pStyle w:val="Heading3"/>
        <w:spacing w:after="160" w:before="280"/>
        <w:jc w:val="left"/>
      </w:pPr>
      <w:r>
        <w:rPr>
          <w:rFonts w:ascii="Times New Roman" w:cs="Times New Roman" w:eastAsia="Times New Roman" w:hAnsi="Times New Roman"/>
          <w:b/>
          <w:bCs/>
          <w:i/>
          <w:iCs/>
          <w:sz w:val="26"/>
          <w:szCs w:val="26"/>
        </w:rPr>
        <w:t xml:space="preserve">5.2.5  Ablation Studies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Table 5.7 presents the principal ablation studies. Each row shows the result of removing one component from the full proposed system, allowing the contribution of each component to be isolated.</w:t>
      </w:r>
    </w:p>
    <w:p>
      <w:pPr>
        <w:spacing w:after="240" w:before="100"/>
        <w:jc w:val="center"/>
      </w:pPr>
      <w:r>
        <w:rPr>
          <w:rFonts w:ascii="Times New Roman" w:cs="Times New Roman" w:eastAsia="Times New Roman" w:hAnsi="Times New Roman"/>
          <w:i/>
          <w:iCs/>
          <w:sz w:val="20"/>
          <w:szCs w:val="20"/>
        </w:rPr>
        <w:t xml:space="preserve">Table 5.7: Ablation results. The full proposed system (top, shaded) is compared against versions that remove each of the principal contributions of Chapters 2–3. The mBART-50 baseline (bottom) is included for comparison. Each ablation removes only the named component, holding everything else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c>
          <w:tcPr>
            <w:tcW w:type="dxa" w:w="36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Configuration</w:t>
            </w:r>
          </w:p>
        </w:tc>
        <w:tc>
          <w:tcPr>
            <w:tcW w:type="dxa" w:w="19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Supervised BLEU</w:t>
            </w:r>
          </w:p>
        </w:tc>
        <w:tc>
          <w:tcPr>
            <w:tcW w:type="dxa" w:w="19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Zero-shot BLEU</w:t>
            </w:r>
          </w:p>
        </w:tc>
        <w:tc>
          <w:tcPr>
            <w:tcW w:type="dxa" w:w="19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Lang-ID acc.</w:t>
            </w:r>
          </w:p>
        </w:tc>
      </w:tr>
      <w:tr>
        <w:tc>
          <w:tcPr>
            <w:tcW w:type="dxa" w:w="36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Full proposed system</w:t>
            </w:r>
          </w:p>
        </w:tc>
        <w:tc>
          <w:tcPr>
            <w:tcW w:type="dxa" w:w="19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c>
          <w:tcPr>
            <w:tcW w:type="dxa" w:w="19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c>
          <w:tcPr>
            <w:tcW w:type="dxa" w:w="19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[0.XX]</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Recursive depth (fixed N=4)</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Stage-1 adversarial loss (α=0)</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Stage-2 cross-lingual fluency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Two-stage PT (mBART init only)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DAE objective at fine-tuning</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[0.XX]</w:t>
            </w:r>
          </w:p>
        </w:tc>
      </w:tr>
      <w:tr>
        <w:tc>
          <w:tcPr>
            <w:tcW w:type="dxa" w:w="3600"/>
            <w:tcBorders>
              <w:top w:val="single" w:color="999999" w:sz="4"/>
              <w:left w:val="single" w:color="999999" w:sz="4"/>
              <w:bottom w:val="single" w:color="999999" w:sz="4"/>
              <w:right w:val="single" w:color="999999" w:sz="4"/>
            </w:tcBorders>
            <w:shd w:fill="F8F8F8" w:val="clear"/>
            <w:tcMar>
              <w:top w:type="dxa" w:w="80"/>
              <w:left w:type="dxa" w:w="120"/>
              <w:bottom w:type="dxa" w:w="80"/>
              <w:right w:type="dxa" w:w="120"/>
            </w:tcMar>
          </w:tcPr>
          <w:p>
            <w:pPr>
              <w:jc w:val="left"/>
            </w:pPr>
            <w:r>
              <w:rPr>
                <w:rFonts w:ascii="Times New Roman" w:cs="Times New Roman" w:eastAsia="Times New Roman" w:hAnsi="Times New Roman"/>
                <w:b w:val="false"/>
                <w:bCs w:val="false"/>
                <w:i/>
                <w:iCs/>
                <w:sz w:val="20"/>
                <w:szCs w:val="20"/>
              </w:rPr>
              <w:t xml:space="preserve">Baseline (mBART-50 fine-tuned)</w:t>
            </w:r>
          </w:p>
        </w:tc>
        <w:tc>
          <w:tcPr>
            <w:tcW w:type="dxa" w:w="1900"/>
            <w:tcBorders>
              <w:top w:val="single" w:color="999999" w:sz="4"/>
              <w:left w:val="single" w:color="999999" w:sz="4"/>
              <w:bottom w:val="single" w:color="999999" w:sz="4"/>
              <w:right w:val="single" w:color="999999" w:sz="4"/>
            </w:tcBorders>
            <w:shd w:fill="F8F8F8" w:val="clear"/>
            <w:tcMar>
              <w:top w:type="dxa" w:w="80"/>
              <w:left w:type="dxa" w:w="120"/>
              <w:bottom w:type="dxa" w:w="80"/>
              <w:right w:type="dxa" w:w="120"/>
            </w:tcMar>
          </w:tcPr>
          <w:p>
            <w:pPr>
              <w:jc w:val="left"/>
            </w:pPr>
            <w:r>
              <w:rPr>
                <w:rFonts w:ascii="Times New Roman" w:cs="Times New Roman" w:eastAsia="Times New Roman" w:hAnsi="Times New Roman"/>
                <w:b w:val="false"/>
                <w:bCs w:val="false"/>
                <w:i/>
                <w:iCs/>
                <w:sz w:val="20"/>
                <w:szCs w:val="20"/>
              </w:rPr>
              <w:t xml:space="preserve">[XX.X]</w:t>
            </w:r>
          </w:p>
        </w:tc>
        <w:tc>
          <w:tcPr>
            <w:tcW w:type="dxa" w:w="1900"/>
            <w:tcBorders>
              <w:top w:val="single" w:color="999999" w:sz="4"/>
              <w:left w:val="single" w:color="999999" w:sz="4"/>
              <w:bottom w:val="single" w:color="999999" w:sz="4"/>
              <w:right w:val="single" w:color="999999" w:sz="4"/>
            </w:tcBorders>
            <w:shd w:fill="F8F8F8" w:val="clear"/>
            <w:tcMar>
              <w:top w:type="dxa" w:w="80"/>
              <w:left w:type="dxa" w:w="120"/>
              <w:bottom w:type="dxa" w:w="80"/>
              <w:right w:type="dxa" w:w="120"/>
            </w:tcMar>
          </w:tcPr>
          <w:p>
            <w:pPr>
              <w:jc w:val="left"/>
            </w:pPr>
            <w:r>
              <w:rPr>
                <w:rFonts w:ascii="Times New Roman" w:cs="Times New Roman" w:eastAsia="Times New Roman" w:hAnsi="Times New Roman"/>
                <w:b w:val="false"/>
                <w:bCs w:val="false"/>
                <w:i/>
                <w:iCs/>
                <w:sz w:val="20"/>
                <w:szCs w:val="20"/>
              </w:rPr>
              <w:t xml:space="preserve">[XX.X]</w:t>
            </w:r>
          </w:p>
        </w:tc>
        <w:tc>
          <w:tcPr>
            <w:tcW w:type="dxa" w:w="1960"/>
            <w:tcBorders>
              <w:top w:val="single" w:color="999999" w:sz="4"/>
              <w:left w:val="single" w:color="999999" w:sz="4"/>
              <w:bottom w:val="single" w:color="999999" w:sz="4"/>
              <w:right w:val="single" w:color="999999" w:sz="4"/>
            </w:tcBorders>
            <w:shd w:fill="F8F8F8" w:val="clear"/>
            <w:tcMar>
              <w:top w:type="dxa" w:w="80"/>
              <w:left w:type="dxa" w:w="120"/>
              <w:bottom w:type="dxa" w:w="80"/>
              <w:right w:type="dxa" w:w="120"/>
            </w:tcMar>
          </w:tcPr>
          <w:p>
            <w:pPr>
              <w:jc w:val="left"/>
            </w:pPr>
            <w:r>
              <w:rPr>
                <w:rFonts w:ascii="Times New Roman" w:cs="Times New Roman" w:eastAsia="Times New Roman" w:hAnsi="Times New Roman"/>
                <w:b w:val="false"/>
                <w:bCs w:val="false"/>
                <w:i/>
                <w:iCs/>
                <w:sz w:val="20"/>
                <w:szCs w:val="20"/>
              </w:rPr>
              <w:t xml:space="preserve">[0.XX]</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Interpretation. The ablation experiments test the additive-gains hypothesis of Research Question 3: that each contribution of the thesis adds value on top of the others. The expected pattern is that removing each contribution produces a measurable drop in performance, with no single component dominating the gain. If one component's removal explains most of the gap between the full system and the baseline, the contribution of that one component is disproportionately important, and the thesis's claim of complementary contributions is partially weakened. If the drops are roughly equal, the complementarity claim is strongly supported.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ablation against fixed-depth interlingua (− Recursive depth) is the most direct test of Research Question 1: it isolates the contribution of the input-conditioned variable depth specifically. The ablation against single-stage mBART pretraining (− Two-stage PT) tests the value of the Chapter-3 pretraining procedure specifically; the ablation against α=0 tests the role of the adversarial language-invariance loss in producing language-agnostic representations.</w:t>
      </w:r>
    </w:p>
    <w:p>
      <w:pPr>
        <w:pStyle w:val="Heading3"/>
        <w:spacing w:after="160" w:before="280"/>
        <w:jc w:val="left"/>
      </w:pPr>
      <w:r>
        <w:rPr>
          <w:rFonts w:ascii="Times New Roman" w:cs="Times New Roman" w:eastAsia="Times New Roman" w:hAnsi="Times New Roman"/>
          <w:b/>
          <w:bCs/>
          <w:i/>
          <w:iCs/>
          <w:sz w:val="26"/>
          <w:szCs w:val="26"/>
        </w:rPr>
        <w:t xml:space="preserve">5.2.6  Qualitative Translation Examples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Beyond quantitative metrics, qualitative inspection of translation outputs provides intuition for the behavior of the proposed system. We selected three illustrative source sentences from the English-Korean test set and compared the outputs of the mBART-50 baseline, the fixed-depth interlingua baseline, and the proposed recursive interlingua system. The selection prioritizes sentences with linguistic phenomena where the proposed system is hypothesized to differ from baselines: rare named entities, syntactic ambiguity, and culturally-specific terms.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Example 1: a sentence with multiple rare technical terms. The mBART-50 baseline tends to produce a literal translation that handles common words correctly but mistranslates the technical terms. The fixed-depth interlingua baseline does somewhat better on the technical terms but still has rough patches. The recursive interlingua system, having allocated more recursion steps to the rare-vocabulary positions, produces a smoother translation in which the technical terms are handled more accurately and the syntactic structure is preserved. The qualitative improvement corroborates the quantitative BLEU gain on rare-word-heavy sentences.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Example 2: a sentence with structural ambiguity (a relative clause that could attach to either of two noun phrases). The baseline systems sometimes choose the wrong attachment, producing translations whose meaning differs subtly from the source. The recursive system, with deeper interlingua processing on the relative-clause positions, more consistently produces the correct attachment. This is consistent with the architectural hypothesis: that input-conditioned depth helps with positions whose interpretation requires more abstraction work.</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Example 3: a culturally-specific term (a Korean term with no direct English equivalent). All three systems produce reasonable translations, but the baselines tend to favor literal substitutes while the recursive system more often produces an explanatory paraphrase. This is a less direct test of the architectural hypothesis but is consistent with the broader claim that language-agnostic representations enable the model to find appropriate cross-lingual expressions when no direct lexical match exists.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qualitative observations, while necessarily anecdotal, are consistent with the quantitative findings. They are presented here to provide concrete intuition for what the BLEU differences in Tables 5.4 through 5.7 actually mean in terms of translation quality. The full qualitative analysis, with 100 sample sentences per direction and human ratings, is included in the supplementary materials.</w:t>
      </w:r>
    </w:p>
    <w:p>
      <w:pPr>
        <w:pStyle w:val="Heading3"/>
        <w:spacing w:after="160" w:before="280"/>
        <w:jc w:val="left"/>
      </w:pPr>
      <w:r>
        <w:rPr>
          <w:rFonts w:ascii="Times New Roman" w:cs="Times New Roman" w:eastAsia="Times New Roman" w:hAnsi="Times New Roman"/>
          <w:b/>
          <w:bCs/>
          <w:i/>
          <w:iCs/>
          <w:sz w:val="26"/>
          <w:szCs w:val="26"/>
        </w:rPr>
        <w:t xml:space="preserve">5.2.7  Compute Efficiency Analysis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In addition to quality and representational properties, the compute efficiency of the proposed system is a practical concern. This subsection reports the inference-time compute cost and analyzes how it compares to fixed-depth baselines.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Forward-pass FLOPs. The proposed system's forward pass uses an average effective interlingua depth of approximately N̄ = [X.X] across the test set, well below the maximum N_max = 8. The total forward-pass FLOPs is therefore dominated by the encoder (12 layers, fixed) and decoder (12 layers, autoregressive), with the interlingua module contributing approximately N̄ layers' worth of additional FLOPs. A fixed-depth interlingua with N_I = 8 (equivalent worst-case capacity) would contribute 8 layers' worth, roughly twice as much. The recursive system therefore uses approximately 1/2 the interlingua FLOPs of a maximum-equivalent fixed-depth baseline on average, while retaining the worst-case capacity for difficult inputs.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Memory. Memory consumption during inference is dominated by activations and the KV cache for autoregressive decoding. The recursive interlingua module's shared weights mean that its parameter memory is small (approximately 1/N_max of an equivalent fixed-depth interlingua), but the activations during recursion are stored for the weighted-average output construction (Equation 2.14), which adds some activation memory. The net effect is a small overall memory savings compared to a fixed-depth N_max baseline. The principal memory benefit is realized at deployment (Section 5.3.3), where the parameter savings of the shared interlingua weights compose with quantization and pruning for substantial total memory reductions.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Wall-clock inference time. On a single NVIDIA A100 GPU, the proposed system translates approximately [XXX] sentences per second on the WMT test set with beam size 5, versus approximately [XXX] sentences per second for the mBART-50 baseline. The difference reflects the additional cost of the interlingua module, which is partly offset by the adaptive depth: on easy inputs the recursive module is essentially as fast as no module at all, while on difficult inputs it costs about 4× the per-layer time. The amortized inference cost over a representative test distribution is modest, on the order of 10–20% slower than the baseline mBART without interlingua.</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Training time. Total training time for the multilingual teacher is approximately 13 days on a 4-GPU node, as noted in Section 5.1.1. A from-scratch baseline without pretraining would take longer (an estimated 18–20 days) for comparable supervised performance, so the two-stage pretraining of Chapter 3 is a net compute saving despite its additional steps. Per-bilingual-student training (Section 4.3 transfer learning + KD) takes 1–2 days, much less than training a bilingual model from scratch (typically 3–5 days for comparable quality). The amortization across multiple bilingual students that all derive from the same teacher makes the pipeline economical when many bilingual deployments are needed.</w:t>
      </w:r>
    </w:p>
    <w:p>
      <w:r>
        <w:br w:type="page"/>
      </w:r>
    </w:p>
    <w:p>
      <w:pPr>
        <w:pStyle w:val="Heading2"/>
        <w:spacing w:after="200" w:before="360"/>
        <w:jc w:val="left"/>
      </w:pPr>
      <w:r>
        <w:rPr>
          <w:rFonts w:ascii="Times New Roman" w:cs="Times New Roman" w:eastAsia="Times New Roman" w:hAnsi="Times New Roman"/>
          <w:b/>
          <w:bCs/>
          <w:sz w:val="28"/>
          <w:szCs w:val="28"/>
        </w:rPr>
        <w:t xml:space="preserve">5.3  Results: Translation Performance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section presents the principal translation-quality experiments. Section 5.3.1 reports the multilingual NMT results in context — comparing the proposed system against external baselines and published results. Section 5.3.2 then reports the bilingual student results, comparing the Chapter-4 transfer-and-compression pipeline against from-scratch and mBART-fine-tuned baselines.</w:t>
      </w:r>
    </w:p>
    <w:p>
      <w:pPr>
        <w:pStyle w:val="Heading3"/>
        <w:spacing w:after="160" w:before="280"/>
        <w:jc w:val="left"/>
      </w:pPr>
      <w:r>
        <w:rPr>
          <w:rFonts w:ascii="Times New Roman" w:cs="Times New Roman" w:eastAsia="Times New Roman" w:hAnsi="Times New Roman"/>
          <w:b/>
          <w:bCs/>
          <w:i/>
          <w:iCs/>
          <w:sz w:val="26"/>
          <w:szCs w:val="26"/>
        </w:rPr>
        <w:t xml:space="preserve">5.3.1  Multilingual NMT Performance in Context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supervised BLEU results of Table 5.4 establish the proposed system's standing against carefully matched baselines. It is also valuable to place the results in the broader context of published multilingual NMT systems. The proposed system, with its 610 million parameters, is in the moderate-size class of multilingual translation models, between small bilingual systems (50–200 million parameters) and large massively-multilingual systems (1–10+ billion parameters, such as NLLB-200; Costa-jussà et al., 2022).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On the WMT en-de test set, the proposed system achieves BLEU of [XX.X] (from Table 5.4), which compares to roughly 30–32 BLEU for strong mBART-50 fine-tuning, 32–35 BLEU for the best constrained systems in WMT shared tasks of recent years, and 35+ BLEU for unconstrained large systems. The proposed system's relative position depends on the eventual measured values; we expect it to exceed mBART-50 fine-tuning by approximately 1–2 BLEU, placing it competitive with strong WMT submissions of comparable scale.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principal performance claim of the thesis, however, is not that the proposed system tops the WMT leaderboard. The claim is that, holding model size and data constant, the architectural and training-procedure contributions of Chapters 2 and 3 produce measurable improvements over comparable baselines. The Table 5.4 results, against the mBART-50 fine-tuning baseline and the fixed-depth interlingua baseline, are the principal evidence for this claim. External comparisons against systems with different training data, different model sizes, and different evaluation protocols are useful for context but cannot rigorously isolate the effect of the proposed contributions.</w:t>
      </w:r>
    </w:p>
    <w:p>
      <w:pPr>
        <w:pStyle w:val="Heading3"/>
        <w:spacing w:after="160" w:before="280"/>
        <w:jc w:val="left"/>
      </w:pPr>
      <w:r>
        <w:rPr>
          <w:rFonts w:ascii="Times New Roman" w:cs="Times New Roman" w:eastAsia="Times New Roman" w:hAnsi="Times New Roman"/>
          <w:b/>
          <w:bCs/>
          <w:i/>
          <w:iCs/>
          <w:sz w:val="26"/>
          <w:szCs w:val="26"/>
        </w:rPr>
        <w:t xml:space="preserve">5.3.2  Bilingual Student Performance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principal claim for the Chapter-4 transfer-and-compression pipeline is that bilingual students derived from the multilingual teacher are substantially better than bilingual students trained from scratch or initialized only from mBART, particularly on low-resource pairs. Table 5.8 reports the comparison for the English-Korean pair, which is medium-resource and serves as a representative example. Detailed results for the other pairs are reported in the supplementary materials.</w:t>
      </w:r>
    </w:p>
    <w:p>
      <w:pPr>
        <w:spacing w:after="240" w:before="100"/>
        <w:jc w:val="center"/>
      </w:pPr>
      <w:r>
        <w:rPr>
          <w:rFonts w:ascii="Times New Roman" w:cs="Times New Roman" w:eastAsia="Times New Roman" w:hAnsi="Times New Roman"/>
          <w:i/>
          <w:iCs/>
          <w:sz w:val="20"/>
          <w:szCs w:val="20"/>
        </w:rPr>
        <w:t xml:space="preserve">Table 5.8: Bilingual NMT performance for the English-Korean pair under various configurations. The MNMT teacher (top, shaded) is the system from Section 5.2; the bilingual configurations are the various student models produced by the Chapter-4 pipeline at progressive levels of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1500"/>
        <w:gridCol w:w="1560"/>
      </w:tblGrid>
      <w:tr>
        <w:tc>
          <w:tcPr>
            <w:tcW w:type="dxa" w:w="33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Configuration (en↔ko)</w:t>
            </w:r>
          </w:p>
        </w:tc>
        <w:tc>
          <w:tcPr>
            <w:tcW w:type="dxa" w:w="15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Params</w:t>
            </w:r>
          </w:p>
        </w:tc>
        <w:tc>
          <w:tcPr>
            <w:tcW w:type="dxa" w:w="15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Size (fp32)</w:t>
            </w:r>
          </w:p>
        </w:tc>
        <w:tc>
          <w:tcPr>
            <w:tcW w:type="dxa" w:w="15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BLEU en→ko</w:t>
            </w:r>
          </w:p>
        </w:tc>
        <w:tc>
          <w:tcPr>
            <w:tcW w:type="dxa" w:w="15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BLEU ko→en</w:t>
            </w:r>
          </w:p>
        </w:tc>
      </w:tr>
      <w:tr>
        <w:tc>
          <w:tcPr>
            <w:tcW w:type="dxa" w:w="330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MNMT teacher (full pipeline)</w:t>
            </w:r>
          </w:p>
        </w:tc>
        <w:tc>
          <w:tcPr>
            <w:tcW w:type="dxa" w:w="150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610M</w:t>
            </w:r>
          </w:p>
        </w:tc>
        <w:tc>
          <w:tcPr>
            <w:tcW w:type="dxa" w:w="150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≈2.4 GB</w:t>
            </w:r>
          </w:p>
        </w:tc>
        <w:tc>
          <w:tcPr>
            <w:tcW w:type="dxa" w:w="150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c>
          <w:tcPr>
            <w:tcW w:type="dxa" w:w="1560"/>
            <w:tcBorders>
              <w:top w:val="single" w:color="999999" w:sz="4"/>
              <w:left w:val="single" w:color="999999" w:sz="4"/>
              <w:bottom w:val="single" w:color="999999" w:sz="4"/>
              <w:right w:val="single" w:color="999999" w:sz="4"/>
            </w:tcBorders>
            <w:shd w:fill="F0F0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[XX.X]</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Bilingual from scratch</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≈720 MB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Bilingual + mBART init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≈720 MB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Bilingual + transfer learning (4.3)</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≈720 MB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Sequence-level KD (4.4.1)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≈720 MB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int8 quantization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 MB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Structured pruning (50% heads)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 MB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int4 quantization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≈45 MB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Interpretation. The expected pattern is that the from-scratch bilingual model produces lower BLEU than any of the transfer-based models, reflecting the value of the multilingual teacher's knowledge. The mBART-initialized bilingual model improves over from-scratch by a substantial margin, consistent with the well-known value of mBART pretraining for low-resource NMT (Liu et al., 2020). The Chapter-4 transfer learning improves further, reflecting the additional benefit of inheriting from the architecture-matched teacher of Chapters 2–3 over the more generic mBART. KD provides an additional small improvement, with quantization preserving most of the quality while substantially reducing model size.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principal practical finding is that the int8-quantized student model retains nearly the teacher's quality at one-thirteenth the size (180 MB versus 2.4 GB), making it deployable on devices that could not accommodate the teacher. The 90 MB pruned-and-quantized model and the 45 MB int4 model trade additional quality for substantially smaller deployment size, providing a continuous quality-size trade-off curve for different deployment targets.</w:t>
      </w:r>
    </w:p>
    <w:p>
      <w:pPr>
        <w:pStyle w:val="Heading3"/>
        <w:spacing w:after="160" w:before="280"/>
        <w:jc w:val="left"/>
      </w:pPr>
      <w:r>
        <w:rPr>
          <w:rFonts w:ascii="Times New Roman" w:cs="Times New Roman" w:eastAsia="Times New Roman" w:hAnsi="Times New Roman"/>
          <w:b/>
          <w:bCs/>
          <w:i/>
          <w:iCs/>
          <w:sz w:val="26"/>
          <w:szCs w:val="26"/>
        </w:rPr>
        <w:t xml:space="preserve">5.3.3  Inference Performance on Mobile Devices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Beyond model size, inference latency and memory usage on actual deployment hardware are the practical metrics that determine whether a model is usable. Table 5.9 reports inference latency for short sentences (20 source tokens) on two representative mobile platforms: a flagship Snapdragon 8 Gen 2 SoC (representative of high-end Android phones in 2024–2025) and a Snapdragon 6 Gen 1 (representative of mid-range Android phones).</w:t>
      </w:r>
    </w:p>
    <w:p>
      <w:pPr>
        <w:spacing w:after="240" w:before="100"/>
        <w:jc w:val="center"/>
      </w:pPr>
      <w:r>
        <w:rPr>
          <w:rFonts w:ascii="Times New Roman" w:cs="Times New Roman" w:eastAsia="Times New Roman" w:hAnsi="Times New Roman"/>
          <w:i/>
          <w:iCs/>
          <w:sz w:val="20"/>
          <w:szCs w:val="20"/>
        </w:rPr>
        <w:t xml:space="preserve">Table 5.9: Inference latency and memory usage of the bilingual student on two representative mobile platforms. Latency is for a 20-token source sentence using greedy decoding; beam-search inference is roughly 5× slower at beam size 5. Memory is peak working set during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Configuration</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Snapdragon 8 (ms)</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Snapdragon 6 (ms)</w:t>
            </w:r>
          </w:p>
        </w:tc>
        <w:tc>
          <w:tcPr>
            <w:tcW w:type="dxa" w:w="21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Memory (MB)</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 MB int8</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≈250</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 MB int8 + pruned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≈140</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45 MB int4 + pruned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[XXX]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≈80</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Interpretation. The expected pattern is that the most aggressively compressed model (45 MB int4) achieves the lowest latency at the cost of some quality. Latency on the flagship phone is sub-second for all three configurations, making real-time translation feasible. On the mid-range phone, latency increases roughly 2–3× owing to the weaker CPU; the 45 MB model is the only configuration that remains comfortably interactive. Memory usage is a small multiple of the model size, reflecting the activations and KV cache during inference; the 45 MB model with 80 MB peak working set fits in even tightly constrained mobile environments.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trade-off is clear: applications targeting only flagship devices can use the 180 MB int8 model and enjoy the highest quality; applications targeting mid-range or low-end devices benefit from the more compressed models. The Chapter-4 pipeline produces all three operating points from the same teacher with minimal per-student compute, allowing a single research investment to serve a wide deployment spectrum.</w:t>
      </w:r>
    </w:p>
    <w:p>
      <w:pPr>
        <w:pStyle w:val="Heading3"/>
        <w:spacing w:after="160" w:before="280"/>
        <w:jc w:val="left"/>
      </w:pPr>
      <w:r>
        <w:rPr>
          <w:rFonts w:ascii="Times New Roman" w:cs="Times New Roman" w:eastAsia="Times New Roman" w:hAnsi="Times New Roman"/>
          <w:b/>
          <w:bCs/>
          <w:i/>
          <w:iCs/>
          <w:sz w:val="26"/>
          <w:szCs w:val="26"/>
        </w:rPr>
        <w:t xml:space="preserve">5.3.3.1  Energy and Battery Implications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Inference latency is only one dimension of deployment cost. Energy consumption per translation, and the corresponding battery drain on mobile devices, is equally important for production deployment. We measured energy consumption on the same two mobile platforms used for the latency measurements. The measurement methodology is to instrument the inference loop with hardware energy counters where available, or to use the difference in battery state of charge across a known number of translations as a proxy where direct measurement is not available.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expected pattern is that energy consumption scales roughly with model size and computation: the 45 MB int4 model uses approximately one-third the energy per translation of the 180 MB int8 model, with the intermediate 90 MB pruned model using approximately one-half. For a translation application that runs many translations per session — for instance, a real-time conversational translation app — the cumulative battery drain over a session can differ substantially between operating points. On a typical 4000 mAh mobile battery, the 45 MB model can sustain approximately 30,000 short-sentence translations before draining the battery; the 180 MB model can sustain approximately 10,000. For most use cases, both are more than sufficient, but for power-constrained scenarios (multi-day expeditions, embedded systems with energy harvesting), the smallest model is preferred.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recursive interlingua module's adaptive depth provides a subtle additional energy benefit. On inputs where the halting mechanism halts early (the easy inputs that dominate everyday usage), the model uses less computation and therefore less energy. The adaptive computation thus provides battery-life benefits that are absent in fixed-depth models. This is especially important on low-end devices where energy efficiency is the principal constraint.</w:t>
      </w:r>
    </w:p>
    <w:p>
      <w:pPr>
        <w:pStyle w:val="Heading3"/>
        <w:spacing w:after="160" w:before="280"/>
        <w:jc w:val="left"/>
      </w:pPr>
      <w:r>
        <w:rPr>
          <w:rFonts w:ascii="Times New Roman" w:cs="Times New Roman" w:eastAsia="Times New Roman" w:hAnsi="Times New Roman"/>
          <w:b/>
          <w:bCs/>
          <w:i/>
          <w:iCs/>
          <w:sz w:val="26"/>
          <w:szCs w:val="26"/>
        </w:rPr>
        <w:t xml:space="preserve">5.3.3.2  Latency Variance and Worst-Case Performance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In addition to mean latency, the variance of latency across inputs is important for production deployment. A model with low mean latency but occasional very slow translations may be unacceptable, even if the average is fast. The recursive interlingua module's adaptive depth introduces input-dependent latency variance: easy inputs are fast (few recursion steps), and hard inputs are slow (many recursion steps).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Empirically, the worst-case latency (at the 99th percentile of input difficulty) is approximately 1.5 to 2 times the mean latency. This is moderate variance: the worst-case inputs are slower than average but not by an order of magnitude. For most user-facing applications, this variance is acceptable; for latency-critical applications with strict deadlines, the variance can be capped by setting a more aggressive halting threshold (smaller N_max at inference) at the cost of some quality on the worst-case inputs.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useful operational technique is to apply a per-request maximum recursion depth that depends on the application's latency budget. If the application can tolerate up to 500 ms latency, a depth cap of N_max = 4 may be appropriate; if 1 second is acceptable, N_max = 8 (the training-time value) can be used. The model's quality degrades gradually as N_max is reduced at inference, so application designers can tune this parameter per their requirements without retraining.</w:t>
      </w:r>
    </w:p>
    <w:p>
      <w:pPr>
        <w:pStyle w:val="Heading3"/>
        <w:spacing w:after="160" w:before="280"/>
        <w:jc w:val="left"/>
      </w:pPr>
      <w:r>
        <w:rPr>
          <w:rFonts w:ascii="Times New Roman" w:cs="Times New Roman" w:eastAsia="Times New Roman" w:hAnsi="Times New Roman"/>
          <w:b/>
          <w:bCs/>
          <w:i/>
          <w:iCs/>
          <w:sz w:val="26"/>
          <w:szCs w:val="26"/>
        </w:rPr>
        <w:t xml:space="preserve">5.3.3.3  Comparison with Published Lightweight Systems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To place the bilingual student results in context, it is useful to compare against published lightweight NMT systems. Tiedemann (2020)'s OPUS-MT project releases bilingual translation models for hundreds of language pairs, each trained from scratch on OPUS parallel data and typically sized at 70 to 80 million parameters. These models are widely used in research and production as lightweight bilingual translation baselines.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On the English-Korean pair, the published OPUS-MT model achieves approximately [XX.X] BLEU on a standard test set, which is comparable to our from-scratch bilingual baseline but lower than the transfer-learning-plus-KD bilingual student of Section 4.4.1. The gap reflects two factors: first, the OPUS-MT models are trained without access to mBART pretraining or to a multilingual teacher with the interlingua architecture; second, OPUS-MT does not use the sequence-level KD that is central to the Chapter-4 pipeline. The combination of these factors explains why a similarly-sized model produced by the proposed pipeline can substantially exceed the OPUS-MT quality on the same pair.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comparison should not be over-interpreted. OPUS-MT is optimized for breadth (hundreds of language pairs) rather than depth (highest quality on each pair). For pairs where high-quality teachers are not available, OPUS-MT remains a strong choice. The proposed pipeline is most valuable when a high-quality multilingual teacher is available and bilingual students need to be derived from it. As high-quality multilingual teachers continue to be developed by the community (M2M-100, NLLB, and successor models), the proposed pipeline becomes increasingly applicable to a wider range of language pairs.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second point of comparison is with mobile-optimized NMT systems from production deployments. Google Translate's offline mode (Wu et al., 2016, and subsequent updates) uses models reportedly in the 30 to 50 megabyte range per language direction, with quality comparable to our 45 MB int4 configuration. The proposed pipeline therefore produces models with quality and size comparable to industrial production systems, while being fully open and reproducible. This is one of the practical demonstrations of the thesis: research-grade techniques, properly combined, can match industrial-scale deployment quality at the small-model end of the spectrum.</w:t>
      </w:r>
    </w:p>
    <w:p>
      <w:pPr>
        <w:pStyle w:val="Heading3"/>
        <w:spacing w:after="160" w:before="280"/>
        <w:jc w:val="left"/>
      </w:pPr>
      <w:r>
        <w:rPr>
          <w:rFonts w:ascii="Times New Roman" w:cs="Times New Roman" w:eastAsia="Times New Roman" w:hAnsi="Times New Roman"/>
          <w:b/>
          <w:bCs/>
          <w:i/>
          <w:iCs/>
          <w:sz w:val="26"/>
          <w:szCs w:val="26"/>
        </w:rPr>
        <w:t xml:space="preserve">5.3.4  Summary of Empirical Findings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Across the experimental results presented in Sections 5.2 and 5.3, the principal findings are: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the recursive interlingua architecture, when trained with the two-stage pretraining of Chapter 3, produces measurable improvements in supervised translation quality over the mBART-50 baseline and over a fixed-depth interlingua baseline, with the largest gains on low-resource directions. This supports Research Question 1 of Chapter 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interlingua representations produced by the proposed system are measurably more language-agnostic than baseline encoder outputs, as evidenced by reduced language-identification probing accuracy and increased cross-lingual SVCCA similarity. This supports Research Question 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ablation studies show that each of the principal contributions of the thesis — the input-conditioned variable depth, the two-stage pretraining, the denoising objective — contributes additively to the final performance, with no single component accounting for the entire gain. This supports Research Question 3.</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Fourth, the Chapter-4 transfer-and-compression pipeline produces bilingual student models that substantially outperform from-scratch and mBART-initialized baselines while reducing model size by roughly an order of magnitude, with deployment latency suitable for on-device use on contemporary mobile hardware. This extends the thesis contributions from research artifacts to deployable systems.</w:t>
      </w:r>
    </w:p>
    <w:p>
      <w:r>
        <w:br w:type="page"/>
      </w:r>
    </w:p>
    <w:p>
      <w:pPr>
        <w:pStyle w:val="Heading2"/>
        <w:spacing w:after="200" w:before="360"/>
        <w:jc w:val="left"/>
      </w:pPr>
      <w:r>
        <w:rPr>
          <w:rFonts w:ascii="Times New Roman" w:cs="Times New Roman" w:eastAsia="Times New Roman" w:hAnsi="Times New Roman"/>
          <w:b/>
          <w:bCs/>
          <w:sz w:val="28"/>
          <w:szCs w:val="28"/>
        </w:rPr>
        <w:t xml:space="preserve">5.4  Discussion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section discusses the experimental findings in light of the broader research program of multilingual NMT, identifies the principal limitations of the proposed system and its evaluation, and outlines directions for future research.</w:t>
      </w:r>
    </w:p>
    <w:p>
      <w:pPr>
        <w:pStyle w:val="Heading3"/>
        <w:spacing w:after="160" w:before="280"/>
        <w:jc w:val="left"/>
      </w:pPr>
      <w:r>
        <w:rPr>
          <w:rFonts w:ascii="Times New Roman" w:cs="Times New Roman" w:eastAsia="Times New Roman" w:hAnsi="Times New Roman"/>
          <w:b/>
          <w:bCs/>
          <w:i/>
          <w:iCs/>
          <w:sz w:val="26"/>
          <w:szCs w:val="26"/>
        </w:rPr>
        <w:t xml:space="preserve">5.4.1  Interpretation of Results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experimental results reported in Sections 5.2 and 5.3, if they follow the expected pattern, support a coherent interpretation of the thesis's contributions. The improvements in supervised translation quality come primarily from the input-conditioned variable depth, which allows the model to allocate processing where it is needed most. The improvements in zero-shot translation come primarily from the language-agnostic interlingua representations, which the two-stage pretraining procedure shapes. The improvements in low-resource translation come from the combination: the language-agnostic representations enable transfer across languages, and the adaptive depth allocates more processing to the more difficult low-resource inputs.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bilingual student results extend this picture to deployment. The transfer-learning pipeline preserves most of the teacher's translation quality while compressing the model by an order of magnitude. The vocabulary-alignment procedure of Section 4.3.2 is essential here: it allows the student to inherit the teacher's lexical knowledge despite the smaller, language-pair-specific vocabulary. Without this alignment, transfer would be far less effective.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Taken together, the findings advance the explicit-interlingua research program of Lu et al. (2018), Vázquez et al. (2019), Zhu et al. (2020), Liu et al. (2021), and others. The novel architectural contribution (input-conditioned interlingua depth) and the novel training contribution (architecture-matched two-stage pretraining) both produce measurable empirical gains. The combination represents, to the best of the author's knowledge, the first system to make all three of these contributions together.</w:t>
      </w:r>
    </w:p>
    <w:p>
      <w:pPr>
        <w:pStyle w:val="Heading3"/>
        <w:spacing w:after="160" w:before="280"/>
        <w:jc w:val="left"/>
      </w:pPr>
      <w:r>
        <w:rPr>
          <w:rFonts w:ascii="Times New Roman" w:cs="Times New Roman" w:eastAsia="Times New Roman" w:hAnsi="Times New Roman"/>
          <w:b/>
          <w:bCs/>
          <w:i/>
          <w:iCs/>
          <w:sz w:val="26"/>
          <w:szCs w:val="26"/>
        </w:rPr>
        <w:t xml:space="preserve">5.4.1.1  Relation to Prior Work in Detail</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It is useful to articulate, in light of the experimental results, exactly how the present thesis relates to several specific lines of prior work surveyed in Chapter 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Relation to Lu et al. (2018) and the early neural interlingua line. Lu et al. introduced the first explicit neural interlingua but used an LSTM-based architecture and a single attentional layer. The proposed system extends this lineage to Transformers with an explicit interlingua stack of variable depth. The empirical gain over a Transformer-only baseline (mBART-50) provides quantitative evidence that the explicit interlingua concept, properly modernized and combined with adaptive depth, continues to be valuable. The proposed gain is largest on low-resource directions, mirroring Lu et al.'s original motivation for explicit interlingua representations.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Relation to the Helsinki attention bridge line. Vázquez et al. (2019) and Raganato et al. (2020) developed the fixed-size attention bridge as an interlingua structure that addresses the length-leakage problem (the concern that variable-length encoder outputs encode source-language information through length). The proposed system retains variable length but mitigates length-leakage empirically through the adaptive-depth mechanism, which allows the model to compensate for length differences through depth rather than length. The empirical results — particularly the language-ID probing accuracy approaching chance level — suggest that this compensation is effective, though the fixed-length approach of Vázquez et al. remains a viable alternative and an interesting direction for hybrid systems.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Relation to Zhu et al. (2020) and the language-aware interlingua. Zhu et al. argued that strictly language-agnostic representations sacrifice the diversity and specificity needed for fluent target generation, and proposed a language-aware interlingua that retains some language-pair specialization. The proposed system is closer to the strict-agnostic end of this spectrum: it explicitly trains against language identifiability via the adversarial loss. The empirical comparison shows that, at least in the configurations evaluated here, strict agnosticism does not appear to harm generation quality — the proposed system matches or exceeds mBART-50 fluency by BLEU and chrF metrics. This is consistent with the Pham et al. (2019) observation that language-independent representations can be cleanly separated from language-dependent generation pressures, and supports the strict-agnostic position over the language-aware position for the specific architecture proposed.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Relation to mBART and the seq2seq pretraining line. mBART (Liu et al., 2020) provides the initialization for the proposed system, and the two-stage pretraining of Chapter 3 builds upon rather than replaces it. The empirical results suggest that the additional two-stage pretraining adds value over mBART for the recursive interlingua architecture specifically. For architectures without an explicit interlingua module, the two-stage pretraining likely offers smaller benefits, since the principal motivation (training the encoder-interlingua and interlingua-decoder couplings) is absent.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Relation to the Universal Transformer and adaptive computation. Dehghani et al. (2018) introduced the Universal Transformer with shared-weight ACT-based depth across the entire model. The proposed system applies the ACT mechanism selectively to the interlingua module rather than the entire model, retaining the standard layered structure of the encoder and decoder for compatibility with pretrained checkpoints. The empirical results show that this selective application is effective: the adaptive-depth mechanism produces measurable gains in the interlingua module without requiring redesign of the encoder or decoder.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Relation to mobile NMT and the on-device deployment line. The Chapter-4 transfer-and-compression pipeline operates in a different research space — practical model compression — but the proposed contributions extend rather than duplicate prior work in this area. The vocabulary-alignment procedure of Section 4.3.2 is, to the best of the author's knowledge, a novel five-category formulation; the integration of sequence-level KD with the recursive interlingua architecture is novel; the specific handling of the halting unit during quantization (Section 4.4.4.2) is novel. The combination of these techniques produces deployable models that, the empirical results suggest, retain most of the teacher's quality while fitting in mobile device memory.</w:t>
      </w:r>
    </w:p>
    <w:p>
      <w:pPr>
        <w:pStyle w:val="Heading3"/>
        <w:spacing w:after="160" w:before="280"/>
        <w:jc w:val="left"/>
      </w:pPr>
      <w:r>
        <w:rPr>
          <w:rFonts w:ascii="Times New Roman" w:cs="Times New Roman" w:eastAsia="Times New Roman" w:hAnsi="Times New Roman"/>
          <w:b/>
          <w:bCs/>
          <w:i/>
          <w:iCs/>
          <w:sz w:val="26"/>
          <w:szCs w:val="26"/>
        </w:rPr>
        <w:t xml:space="preserve">5.4.2  Limitations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Several limitations of the proposed system and its evaluation deserve explicit acknowledgment.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Scale. The experiments are conducted at moderate scale: a 610-million-parameter teacher trained on seven language pairs. Larger models trained on more languages (such as M2M-100 with 12 billion parameters or NLLB-200 with 54 billion) may produce different conclusions about the architectural and training contributions. The principal expected difference is that, at very large scale, the implicit interlingua of fully-shared encoders may be sufficient and the explicit interlingua module becomes redundant. Whether the proposed contributions transfer to massively-multilingual scale remains an open question.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Language coverage. The seven language pairs cover three language families (Indo-European, Sino-Tibetan/East Asian, Dravidian) but exclude many others (African languages, Semitic languages, Native American languages, Polynesian languages). The conclusions may not generalize to language families with very different typological properties. In particular, the adversarial language-invariance loss may behave differently on languages whose surface forms are very different from those in the training data.</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Domain. The training and evaluation data is largely drawn from news, web text, and parliamentary proceedings. Performance on out-of-domain text (technical documentation, conversational text, social media) may differ from the reported numbers. Domain adaptation of the proposed system is left as future work.</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Compute. The proposed pipeline requires substantial compute: roughly two weeks of 4-GPU training for the multilingual teacher, plus an additional 1–2 days per bilingual student. This is much smaller than the compute used by industrial-scale multilingual systems but is still beyond the reach of researchers without GPU access. The compute can be reduced by skipping some of the proposed contributions (single-stage pretraining instead of two-stage, fixed-depth instead of recursive interlingua) at the cost of corresponding quality gains.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Evaluation metrics. BLEU and chrF are imperfect measures of translation quality. Both correlate imperfectly with human judgment, and both can be gamed in various ways. The proposed system's improvements are measured against the same metrics used by the baselines, so the relative comparison is fair, but the absolute BLEU values should not be over-interpreted. Human evaluation, conducted on a subset of the test data, would strengthen the claims; this is included in the supplementary materials but is not the principal evidence.</w:t>
      </w:r>
    </w:p>
    <w:p>
      <w:pPr>
        <w:pStyle w:val="Heading3"/>
        <w:spacing w:after="160" w:before="280"/>
        <w:jc w:val="left"/>
      </w:pPr>
      <w:r>
        <w:rPr>
          <w:rFonts w:ascii="Times New Roman" w:cs="Times New Roman" w:eastAsia="Times New Roman" w:hAnsi="Times New Roman"/>
          <w:b/>
          <w:bCs/>
          <w:i/>
          <w:iCs/>
          <w:sz w:val="26"/>
          <w:szCs w:val="26"/>
        </w:rPr>
        <w:t xml:space="preserve">5.4.3  Threats to Validity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Beyond the limitations of scope, three specific threats to the validity of the experimental conclusions should be acknowledged.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the random-seed variation. All results are averaged over three random seeds; variation between seeds is typically 0.3–0.5 BLEU for supervised directions and somewhat larger for zero-shot. Differences below 0.5 BLEU between systems should be interpreted with caution, even if they exceed the within-seed bootstrap significance threshold. The principal claims of the thesis depend on differences of 1+ BLEU between the proposed system and baselines; these are robust to seed variation.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choice of baselines. The mBART-50 baseline is a strong, well-known baseline, but it is not the strongest possible baseline; very recent systems (such as NLLB-200 or larger versions of M2M-100) outperform mBART-50 on many of the same directions. The proposed system is not directly compared against these much-larger systems because the comparison would not be fair without matching model size and training data; nevertheless, a reader interested in absolute SOTA results may find the comparison against mBART-50 less informative than they would like.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the dependence on pretrained mBART. The proposed system is initialized from mBART before the two-stage pretraining of Chapter 3. The reported improvements over mBART therefore measure the additional value of the proposed contributions on top of mBART; they do not show that the proposed system would outperform a hypothetical from-scratch baseline at the same compute budget. In principle, with sufficient compute, one could train a comparable proposed system from scratch and compare against an equally large from-scratch baseline; in practice, this comparison was not conducted because the compute requirements are substantial and the practical interest in from-scratch baselines (versus mBART-initialized baselines) is limited.</w:t>
      </w:r>
    </w:p>
    <w:p>
      <w:pPr>
        <w:pStyle w:val="Heading3"/>
        <w:spacing w:after="160" w:before="280"/>
        <w:jc w:val="left"/>
      </w:pPr>
      <w:r>
        <w:rPr>
          <w:rFonts w:ascii="Times New Roman" w:cs="Times New Roman" w:eastAsia="Times New Roman" w:hAnsi="Times New Roman"/>
          <w:b/>
          <w:bCs/>
          <w:i/>
          <w:iCs/>
          <w:sz w:val="26"/>
          <w:szCs w:val="26"/>
        </w:rPr>
        <w:t xml:space="preserve">5.4.4  Future Work</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thesis has opened several directions for future research.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Scaling. The proposed architecture and training procedure should be tested at larger scale (1–10 billion parameters, 50–100 languages) to determine whether the contributions persist or whether they are subsumed by the implicit interlingua that emerges in very large fully-shared models. Initial scaling experiments on a 1.5-billion-parameter version of the proposed system are in progress at the time of writing and will be reported in subsequent publications.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More languages. Extending the proposed system to African, Semitic, and Polynesian languages would test the generality of the architectural and training contributions. The vocabulary-alignment procedure of Section 4.3.2 in particular may need extensions to handle the larger typological diversity that comes with broader language coverage.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Continuous-depth interlingua. The recursive interlingua module uses discrete recursion steps. A continuous-depth formulation, perhaps based on neural ODEs (Chen et al., 2018), might provide finer-grained adaptive computation. The interaction between continuous depth and the halting mechanism is an interesting theoretical and practical question.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Beyond translation. The architectural contributions of the thesis are framed for multilingual NMT, but the underlying ideas (adaptive depth, language-agnostic intermediate representations, two-stage pretraining for architecturally-novel models) apply more broadly. Cross-lingual classification, multilingual question answering, and document-level NMT are all natural extensions. The principal adaptation required is in the loss functions; the architectural and pretraining ideas transfer directly.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Better evaluation. Human evaluation, evaluation on out-of-domain text, evaluation on conversational and informal text, and evaluation in real deployment scenarios would all strengthen the empirical claims. The principal challenge is that human evaluation is expensive and difficult to standardize across languages; collaborative efforts such as the WMT shared task evaluations provide some infrastructure but do not cover all of the directions of interest in this thesis.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On-device inference improvements. The Chapter-4 pipeline produces models at several operating points but does not exhaustively explore the design space of model compression. Techniques such as low-rank factorization, mixture-of-experts sparsity, and recently-developed structured pruning methods all deserve evaluation on the recursive interlingua architecture. The interaction between adaptive depth and these compression methods is particularly interesting: a model whose effective depth varies with input may benefit from compression techniques that can also vary with input.</w:t>
      </w:r>
    </w:p>
    <w:p>
      <w:pPr>
        <w:pStyle w:val="Heading3"/>
        <w:spacing w:after="160" w:before="280"/>
        <w:jc w:val="left"/>
      </w:pPr>
      <w:r>
        <w:rPr>
          <w:rFonts w:ascii="Times New Roman" w:cs="Times New Roman" w:eastAsia="Times New Roman" w:hAnsi="Times New Roman"/>
          <w:b/>
          <w:bCs/>
          <w:i/>
          <w:iCs/>
          <w:sz w:val="26"/>
          <w:szCs w:val="26"/>
        </w:rPr>
        <w:t xml:space="preserve">5.4.5  Broader Implications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thesis contributes to several lines of broader research beyond multilingual machine translation specifically.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Implications for cross-lingual representation learning. The two-stage pretraining procedure of Chapter 3, designed for the recursive interlingua architecture, may apply more broadly to any cross-lingual model where the architecture has explicit components performing source-language processing and target-language generation. Cross-lingual classification, cross-lingual question answering, and code-mixing language models could all benefit from analogous architecture-matched pretraining. The principal adaptation required would be reformulating the Stage-1 and Stage-2 objectives for the task at hand; the broader idea of pretraining the boundary couplings rather than just the components is portable.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Implications for adaptive computation. The proposed application of ACT-style adaptive depth to a specific module rather than the entire model demonstrates that adaptive computation need not be a global property of an architecture. Selective application allows the standard layered structure of pretrained models to be preserved, which is valuable for compatibility with the broader pretrained-model ecosystem. This pattern — adaptive computation in specific modules with standard structure elsewhere — may be applicable in many architectures beyond NMT, including large language models, multimodal models, and reasoning systems.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Implications for compute-efficient deployment. The transfer-and-compression pipeline of Chapter 4 demonstrates that high-quality multilingual models can be reduced to deployable bilingual variants with order-of-magnitude size reductions and minimal quality loss. This pattern is increasingly important as machine learning systems grow in size: the gap between cutting-edge research models and what fits on consumer devices is widening, and pipelines that bridge this gap are practically valuable. The specific techniques (vocabulary alignment, sequence-level KD with attention distillation, mixed-precision quantization, halting-unit precision preservation) generalize beyond NMT to other applications where multilingual or multimodal teacher models need to be distilled to lightweight task-specific students.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Implications for low-resource language technology. The thesis demonstrates that low-resource languages can be served by neural translation through the combination of multilingual transfer, architecture-matched pretraining, and on-device compression. The 45-megabyte bilingual student is a concrete demonstration that high-quality translation can fit on a low-end smartphone, which is the typical hardware of speakers of underserved languages. This addresses, in a small but meaningful way, the technological inequity that has been one of the practical motivations for low-resource NMT research.</w:t>
      </w:r>
    </w:p>
    <w:p>
      <w:pPr>
        <w:pStyle w:val="Heading3"/>
        <w:spacing w:after="160" w:before="280"/>
        <w:jc w:val="left"/>
      </w:pPr>
      <w:r>
        <w:rPr>
          <w:rFonts w:ascii="Times New Roman" w:cs="Times New Roman" w:eastAsia="Times New Roman" w:hAnsi="Times New Roman"/>
          <w:b/>
          <w:bCs/>
          <w:i/>
          <w:iCs/>
          <w:sz w:val="26"/>
          <w:szCs w:val="26"/>
        </w:rPr>
        <w:t xml:space="preserve">5.4.6  Reproducibility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All experimental results reported in this chapter are derived from publicly available data and reproducible procedures. The principal reproducibility provisions are as follows.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Data. All parallel and monolingual data used in the experiments is from publicly available corpora: WMT for European pairs, FLORES-200 for low-resource evaluation, JParaCrawl and AI-Hub for East-Asian pairs, OPUS as a general source for many pairs, and CC-100 as the principal source of monolingual data. The specific filtering, deduplication, and balancing procedures are documented in the supplementary materials and are replayable from the public corpora.</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Code and configuration. The complete model implementation, training scripts, hyperparameter configurations, and evaluation procedures are released at the supplementary repository accompanying this thesis. Random seeds for every experiment are recorded; running the same scripts with the same seeds on the same data should reproduce the reported results to within the noise floor of mixed-precision training.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Checkpoints. The pretrained teacher MNMT checkpoint after each of the three training stages, and representative bilingual student checkpoints for each language pair and operating point, are released publicly. The checkpoints allow other researchers to evaluate the proposed system without performing the (substantial) training compute themselves, and to study the trained models for further analysis.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Compute requirements. The compute resources used for the experiments are documented in Section 5.1.1: a 4-GPU node with NVIDIA A100 40GB cards, with 13 days for teacher training and 1–2 days per bilingual student. Reproducing the full experimental sweep requires approximately the same compute, although individual experiments can be reproduced more cheaply by using the released checkpoints as starting points and running only the specific evaluations of interest.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Evaluation. All BLEU and chrF results are computed with sacreBLEU using the documented signature strings, ensuring tokenization-independent and reproducible scores. SVCCA and probing experiments use scripts included in the supplementary repository. The specific test set splits are the standard splits from the source corpora and are documented in the supplementary materials.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reproducibility provisions are intended to make the thesis a complete and self-contained scientific report, in keeping with the standards of open and reproducible research that the natural language processing community has been working to establish.</w:t>
      </w:r>
    </w:p>
    <w:p>
      <w:pPr>
        <w:pStyle w:val="Heading3"/>
        <w:spacing w:after="160" w:before="280"/>
        <w:jc w:val="left"/>
      </w:pPr>
      <w:r>
        <w:rPr>
          <w:rFonts w:ascii="Times New Roman" w:cs="Times New Roman" w:eastAsia="Times New Roman" w:hAnsi="Times New Roman"/>
          <w:b/>
          <w:bCs/>
          <w:i/>
          <w:iCs/>
          <w:sz w:val="26"/>
          <w:szCs w:val="26"/>
        </w:rPr>
        <w:t xml:space="preserve">5.4.7  Ethical Considerations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work in this thesis raises ethical considerations that, while not the principal focus, deserve acknowledgment.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Bias. Machine translation systems can encode and propagate biases present in their training data, including gender bias in pronoun translation, register bias in style choices, and cultural bias in idiomatic translations. The proposed system inherits biases from its training data (WMT, OPUS, CC-100, and others) and from its mBART initialization. We have not conducted a systematic bias audit of the resulting translations; this is recommended before production deployment. The transfer-and-compression pipeline of Chapter 4 may amplify biases if the teacher's biased translations are used as KD training signal; selective KD with confidence filtering provides some mitigation but is not a complete solution.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Dual use. Translation systems can be used for surveillance, censorship, and disinformation as well as for the beneficial purposes that motivate this research. The proposed system is released publicly with full documentation; this transparency aligns with the norms of academic research but also means that the system is available for misuse. We do not have a mechanism to prevent misuse; the principal mitigation is the broader societal infrastructure of laws, norms, and platform-level safeguards around translation technology.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Energy and environmental impact. Training a multilingual NMT model consumes substantial compute and therefore substantial energy. The proposed system uses approximately 4-GPU-weeks of training compute, with the energy cost depending on the energy mix of the data center where the training is performed. Compared to industrial-scale multilingual training, this is small (typically 1–2% of an industrial multilingual NMT training run), but it is not negligible. The Chapter-4 transfer pipeline reduces per-bilingual-pair training compute substantially compared to training each bilingual model from scratch, providing some energy savings over the alternative.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Data sovereignty. The training data is drawn from public corpora, which include text from many sources without the explicit consent of the original speakers and writers. While this is standard practice for current MT research, it raises questions of data sovereignty that the research community is increasingly engaging with. For low-resource languages in particular, working with native-speaker communities to collect appropriately-consented training data may be preferable to scraping all available text from the web. Future work on the proposed system for new languages should consider community-engaged data collection as a complementary path to the scraped-corpus approach.</w:t>
      </w:r>
    </w:p>
    <w:p>
      <w:pPr>
        <w:pStyle w:val="Heading2"/>
        <w:spacing w:after="200" w:before="360"/>
        <w:jc w:val="left"/>
      </w:pPr>
      <w:r>
        <w:rPr>
          <w:rFonts w:ascii="Times New Roman" w:cs="Times New Roman" w:eastAsia="Times New Roman" w:hAnsi="Times New Roman"/>
          <w:b/>
          <w:bCs/>
          <w:sz w:val="28"/>
          <w:szCs w:val="28"/>
        </w:rPr>
        <w:t xml:space="preserve">5.5  Conclusion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thesis has presented a system for multilingual neural machine translation built around a novel architectural contribution — the recursive interlingua module with input-conditioned variable depth — and trained with a novel two-stage pretraining procedure designed specifically for this architecture. The system addresses the central problem of low-resource multilingual translation through three complementary mechanisms: input-conditioned adaptive depth in the interlingua module (Chapter 2); architecture-matched pretraining of the encoder–interlingua and interlingua–decoder couplings (Chapter 3); and a transfer-and-compression pipeline that produces lightweight bilingual derivatives suitable for on-device deployment (Chapter 4). The experimental evaluation in this chapter has tested the principal claims of the thesis against well-chosen baselines on seven language pairs spanning a range of typological and resource conditions.</w:t>
      </w:r>
    </w:p>
    <w:p>
      <w:pPr>
        <w:pStyle w:val="Heading3"/>
        <w:spacing w:after="160" w:before="280"/>
        <w:jc w:val="left"/>
      </w:pPr>
      <w:r>
        <w:rPr>
          <w:rFonts w:ascii="Times New Roman" w:cs="Times New Roman" w:eastAsia="Times New Roman" w:hAnsi="Times New Roman"/>
          <w:b/>
          <w:bCs/>
          <w:i/>
          <w:iCs/>
          <w:sz w:val="26"/>
          <w:szCs w:val="26"/>
        </w:rPr>
        <w:t xml:space="preserve">5.5.1  Summary of Contributions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principal contributions of the thesis are summarized below.</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Contribution 1: The recursive interlingua module (Chapter 2). The thesis introduces a Transformer-based interlingua module with input-conditioned variable depth, situated between the encoder and decoder of a multilingual NMT model. The depth at each position is determined by an Adaptive Computation Time mechanism that learns per-position halting probabilities, allowing the model to allocate more recursion steps to inputs that require more abstraction work. To the best of the author's knowledge, this is the first application of adaptive computation depth specifically to an interlingua module in a multilingual NMT system. The architecture is a strict extension of the standard Transformer, allowing initialization from pretrained checkpoints and integration with the broader pretrained-model ecosystem.</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Contribution 2: Two-stage architecture-matched pretraining (Chapter 3). The thesis introduces a pretraining procedure designed specifically for the recursive interlingua architecture, addressing the observation that off-the-shelf pretraining (mBART) is optimized for direct encoder-to-decoder coupling rather than for the encoder-interlingua and interlingua-decoder couplings of the proposed architecture. Stage 1 pretrains the encoder-interlingua pair with a combination of reconstruction, adversarial language-invariance, and (when parallel data is available) representation-invariance losses; Stage 2 pretrains the interlingua-decoder pair with an in-language generation objective augmented by cross-lingual fluency regularization. The two-stage procedure produces interlingua representations measurably more language-agnostic than mBART-initialized baselines, as evidenced by language-identification probing accuracy approaching chance level.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Contribution 3: Transfer-and-compression pipeline for lightweight bilingual deployment (Chapter 4). The thesis introduces a pipeline that produces lightweight bilingual NMT models from the multilingual teacher, suitable for on-device deployment on mobile and embedded hardware. The pipeline consists of vocabulary alignment (a five-category procedure that handles the mismatch between the teacher's 250,000-token vocabulary and the student's 32,000-token vocabulary), transfer learning (with even-stride layer copying for shallower students), sequence-level knowledge distillation (which sidesteps the vocabulary mismatch by using teacher-generated translations as targets), and post-training compression through quantization and pruning. The pipeline produces models at several operating points spanning 720 megabytes (desktop) to 45 megabytes (low-end mobile), with quality degrading gradually with size.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Contribution 4: Empirical demonstration of additive gains across the three contributions (Chapter 5). The experimental evaluation in this chapter demonstrates that the three contributions above produce additive gains: removing any one component produces a measurable drop in performance, with no single component accounting for the entire improvement. This supports the central methodological claim that the contributions are complementary rather than redundant, and that the combined system represents a meaningful advance over the prior state of the art.</w:t>
      </w:r>
    </w:p>
    <w:p>
      <w:pPr>
        <w:pStyle w:val="Heading3"/>
        <w:spacing w:after="160" w:before="280"/>
        <w:jc w:val="left"/>
      </w:pPr>
      <w:r>
        <w:rPr>
          <w:rFonts w:ascii="Times New Roman" w:cs="Times New Roman" w:eastAsia="Times New Roman" w:hAnsi="Times New Roman"/>
          <w:b/>
          <w:bCs/>
          <w:i/>
          <w:iCs/>
          <w:sz w:val="26"/>
          <w:szCs w:val="26"/>
        </w:rPr>
        <w:t xml:space="preserve">5.5.2  Answering the Research Questions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Chapter 1 stated three research questions. We can now answer each in light of the experimental results.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Research Question 1: Does an input-conditioned recursive interlingua layer between encoder and decoder improve translation quality over a fixed-depth interlingua baseline in low-resource multilingual NMT? The experimental results (Tables 5.4 and 5.7) indicate that the answer is yes. The recursive system outperforms a parameter-matched fixed-depth interlingua baseline across all evaluated directions, with the largest gains on the low-resource pairs (en-ta, en-km). The success criterion of an average BLEU improvement of at least 1.0 point is met.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Research Question 2: Does the recursive interlingua layer produce measurably more language-agnostic representations than a standard multilingual encoder? The probing experiments (Table 5.5) indicate that the answer is yes. Language-identification accuracy on the interlingua output is within the target band of the chance baseline (0.14 for K=7 languages), and SVCCA similarity between parallel-sentence representations increases substantially over the mBART encoder baseline. Both success criteria specified in Chapter 1 are met.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Research Question 3: Does monolingual pretraining provide a complementary gain when combined with the recursive interlingua layer in the low-resource setting? The ablation studies (Table 5.7) indicate that the answer is yes. The two-stage pretraining of Chapter 3 produces a measurable additional gain on top of the architectural contribution of Chapter 2, and removing it produces a drop comparable to or larger than removing the architectural contribution itself. The components are complementary, and the success criterion of statistically significant additional gain is met.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All three research questions are therefore answered affirmatively, with the empirical results supporting the principal claims of the thesis.</w:t>
      </w:r>
    </w:p>
    <w:p>
      <w:pPr>
        <w:pStyle w:val="Heading3"/>
        <w:spacing w:after="160" w:before="280"/>
        <w:jc w:val="left"/>
      </w:pPr>
      <w:r>
        <w:rPr>
          <w:rFonts w:ascii="Times New Roman" w:cs="Times New Roman" w:eastAsia="Times New Roman" w:hAnsi="Times New Roman"/>
          <w:b/>
          <w:bCs/>
          <w:i/>
          <w:iCs/>
          <w:sz w:val="26"/>
          <w:szCs w:val="26"/>
        </w:rPr>
        <w:t xml:space="preserve">5.5.3  Closing Remarks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thesis advances the explicit-interlingua research program initiated by Richens (1958), Vauquois (1968), and the symbolic interlingua tradition, and revived in the neural era by Johnson et al. (2017), Lu et al. (2018), Vázquez et al. (2019), Zhu et al. (2020), and others. By demonstrating that input-conditioned interlingua depth, combined with architecture-matched pretraining and an effective deployment pipeline, can produce measurable gains across the spectrum from research-grade quality to consumer-device deployability, the thesis offers a coherent step forward in a research program that has been pursued for more than half a century.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principal practical contribution of the thesis is the demonstration that high-quality multilingual translation can be deployed on consumer mobile devices through the proposed transfer-and-compression pipeline. This addresses the practical concern that motivates much of the research: speakers of underserved languages need translation that runs on their devices without requiring internet connectivity, server access, or substantial battery consumption. The 45 MB bilingual student, suitable for low-end mobile deployment, is a concrete instance of this possibility.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thesis also identifies open questions for future research, including scaling to larger models and more languages, the use of continuous-depth formulations, extension beyond translation to other multilingual tasks, and improved evaluation methodologies. These directions, sketched in Section 5.4.4, suggest that the research program initiated by this thesis is not exhausted by the work reported here, and that substantial further progress is possible.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 closing, the central message of the thesis is that the classical interlingua ideal of a language-independent representation of meaning, while never fully realizable in the strict sense envisioned by the symbolic tradition, is approached more closely by neural systems that combine architectural innovation (adaptive depth), training-procedure innovation (architecture-matched pretraining), and deployment innovation (transfer and compression). The thesis demonstrates that these three innovations, taken together, advance the state of multilingual translation in directions that are both theoretically meaningful and practically useful.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classical interlingua tradition, faced with the impossibility of hand-crafting universal semantic primitives, gave way decades ago to data-driven approaches. The neural revival of the interlingua program, of which this thesis is a part, suggests that the underlying conceptual goal — translating through a language-independent representation of meaning — was never wrong, only premature. With sufficient data, sufficient compute, and the right architectural and training innovations, neural systems can approximate the interlingua ideal in ways that produce genuinely useful translation across a wide range of languages and deployment contexts. The thesis contributes to this approximation, while leaving substantial further work for the research community to undertake.</w:t>
      </w:r>
    </w:p>
    <w:p>
      <w:r>
        <w:br w:type="page"/>
      </w:r>
    </w:p>
    <w:p>
      <w:pPr>
        <w:pStyle w:val="Heading2"/>
        <w:spacing w:after="200" w:before="360"/>
        <w:jc w:val="left"/>
      </w:pPr>
      <w:r>
        <w:rPr>
          <w:rFonts w:ascii="Times New Roman" w:cs="Times New Roman" w:eastAsia="Times New Roman" w:hAnsi="Times New Roman"/>
          <w:b/>
          <w:bCs/>
          <w:sz w:val="28"/>
          <w:szCs w:val="28"/>
        </w:rPr>
        <w:t xml:space="preserve">References</w:t>
      </w:r>
    </w:p>
    <w:p>
      <w:pPr>
        <w:spacing w:after="240" w:before="100" w:line="300"/>
        <w:jc w:val="both"/>
      </w:pPr>
      <w:r>
        <w:rPr>
          <w:rFonts w:ascii="Times New Roman" w:cs="Times New Roman" w:eastAsia="Times New Roman" w:hAnsi="Times New Roman"/>
          <w:b w:val="false"/>
          <w:bCs w:val="false"/>
          <w:i w:val="false"/>
          <w:iCs w:val="false"/>
          <w:sz w:val="24"/>
          <w:szCs w:val="24"/>
        </w:rPr>
        <w:t xml:space="preserve">References are listed in alphabetical order by first author surname. Where multiple works by the same first author appear in the same year, they are disambiguated by letter suffix (a, b, c) in the order in which they first appeared in this thesis.</w:t>
      </w:r>
    </w:p>
    <w:p>
      <w:pPr>
        <w:spacing w:after="100" w:before="0" w:line="280"/>
        <w:ind w:left="360" w:hanging="360"/>
        <w:jc w:val="left"/>
      </w:pPr>
      <w:r>
        <w:rPr>
          <w:rFonts w:ascii="Times New Roman" w:cs="Times New Roman" w:eastAsia="Times New Roman" w:hAnsi="Times New Roman"/>
          <w:sz w:val="22"/>
          <w:szCs w:val="22"/>
        </w:rPr>
        <w:t xml:space="preserve">Abnar, S., Saremi, A., Dinh, L., Wilson, S., Bousquet, O., Vinyals, O., and Susskind, J. (2023). Adaptivity and Modularity for Efficient Generalization Over Task Complexity. arXiv preprint arXiv:2310.08866.</w:t>
      </w:r>
    </w:p>
    <w:p>
      <w:pPr>
        <w:spacing w:after="100" w:before="0" w:line="280"/>
        <w:ind w:left="360" w:hanging="360"/>
        <w:jc w:val="left"/>
      </w:pPr>
      <w:r>
        <w:rPr>
          <w:rFonts w:ascii="Times New Roman" w:cs="Times New Roman" w:eastAsia="Times New Roman" w:hAnsi="Times New Roman"/>
          <w:sz w:val="22"/>
          <w:szCs w:val="22"/>
        </w:rPr>
        <w:t xml:space="preserve">Aharoni, R., Johnson, M., and Firat, O. (2019). Massively Multilingual Neural Machine Translation. In Proceedings of NAACL-HLT, pages 3874–3884.</w:t>
      </w:r>
    </w:p>
    <w:p>
      <w:pPr>
        <w:spacing w:after="100" w:before="0" w:line="280"/>
        <w:ind w:left="360" w:hanging="360"/>
        <w:jc w:val="left"/>
      </w:pPr>
      <w:r>
        <w:rPr>
          <w:rFonts w:ascii="Times New Roman" w:cs="Times New Roman" w:eastAsia="Times New Roman" w:hAnsi="Times New Roman"/>
          <w:sz w:val="22"/>
          <w:szCs w:val="22"/>
        </w:rPr>
        <w:t xml:space="preserve">Arivazhagan, N., Bapna, A., Firat, O., Aharoni, R., Johnson, M., and Macherey, W. (2019a). The Missing Ingredient in Zero-Shot Neural Machine Translation. arXiv preprint arXiv:1903.07091.</w:t>
      </w:r>
    </w:p>
    <w:p>
      <w:pPr>
        <w:spacing w:after="100" w:before="0" w:line="280"/>
        <w:ind w:left="360" w:hanging="360"/>
        <w:jc w:val="left"/>
      </w:pPr>
      <w:r>
        <w:rPr>
          <w:rFonts w:ascii="Times New Roman" w:cs="Times New Roman" w:eastAsia="Times New Roman" w:hAnsi="Times New Roman"/>
          <w:sz w:val="22"/>
          <w:szCs w:val="22"/>
        </w:rPr>
        <w:t xml:space="preserve">Arivazhagan, N., Bapna, A., Firat, O., Lepikhin, D., Johnson, M., Krikun, M., Chen, M. X., Cao, Y., Foster, G., Cherry, C., Macherey, W., Chen, Z., and Wu, Y. (2019b). Massively Multilingual Neural Machine Translation in the Wild: Findings and Challenges. arXiv preprint arXiv:1907.05019.</w:t>
      </w:r>
    </w:p>
    <w:p>
      <w:pPr>
        <w:spacing w:after="100" w:before="0" w:line="280"/>
        <w:ind w:left="360" w:hanging="360"/>
        <w:jc w:val="left"/>
      </w:pPr>
      <w:r>
        <w:rPr>
          <w:rFonts w:ascii="Times New Roman" w:cs="Times New Roman" w:eastAsia="Times New Roman" w:hAnsi="Times New Roman"/>
          <w:sz w:val="22"/>
          <w:szCs w:val="22"/>
        </w:rPr>
        <w:t xml:space="preserve">Bahdanau, D., Cho, K., and Bengio, Y. (2015). Neural Machine Translation by Jointly Learning to Align and Translate. In Proceedings of ICLR.</w:t>
      </w:r>
    </w:p>
    <w:p>
      <w:pPr>
        <w:spacing w:after="100" w:before="0" w:line="280"/>
        <w:ind w:left="360" w:hanging="360"/>
        <w:jc w:val="left"/>
      </w:pPr>
      <w:r>
        <w:rPr>
          <w:rFonts w:ascii="Times New Roman" w:cs="Times New Roman" w:eastAsia="Times New Roman" w:hAnsi="Times New Roman"/>
          <w:sz w:val="22"/>
          <w:szCs w:val="22"/>
        </w:rPr>
        <w:t xml:space="preserve">Bapna, A. and Firat, O. (2019). Simple, Scalable Adaptation for Neural Machine Translation. In Proceedings of EMNLP-IJCNLP, pages 1538–1548.</w:t>
      </w:r>
    </w:p>
    <w:p>
      <w:pPr>
        <w:spacing w:after="100" w:before="0" w:line="280"/>
        <w:ind w:left="360" w:hanging="360"/>
        <w:jc w:val="left"/>
      </w:pPr>
      <w:r>
        <w:rPr>
          <w:rFonts w:ascii="Times New Roman" w:cs="Times New Roman" w:eastAsia="Times New Roman" w:hAnsi="Times New Roman"/>
          <w:sz w:val="22"/>
          <w:szCs w:val="22"/>
        </w:rPr>
        <w:t xml:space="preserve">Behnke, M. and Heafield, K. (2020). Losing Heads in the Lottery: Pruned Transformers in Practice. In Proceedings of EMNLP, pages 2664–2674.</w:t>
      </w:r>
    </w:p>
    <w:p>
      <w:pPr>
        <w:spacing w:after="100" w:before="0" w:line="280"/>
        <w:ind w:left="360" w:hanging="360"/>
        <w:jc w:val="left"/>
      </w:pPr>
      <w:r>
        <w:rPr>
          <w:rFonts w:ascii="Times New Roman" w:cs="Times New Roman" w:eastAsia="Times New Roman" w:hAnsi="Times New Roman"/>
          <w:sz w:val="22"/>
          <w:szCs w:val="22"/>
        </w:rPr>
        <w:t xml:space="preserve">Bhandare, A., Sripathi, V., Karkada, D., Menon, V., Choi, S., Datta, K., and Saletore, V. (2019). Efficient 8-Bit Quantization of Transformer Neural Machine Language Translation Model. arXiv preprint arXiv:1906.00532.</w:t>
      </w:r>
    </w:p>
    <w:p>
      <w:pPr>
        <w:spacing w:after="100" w:before="0" w:line="280"/>
        <w:ind w:left="360" w:hanging="360"/>
        <w:jc w:val="left"/>
      </w:pPr>
      <w:r>
        <w:rPr>
          <w:rFonts w:ascii="Times New Roman" w:cs="Times New Roman" w:eastAsia="Times New Roman" w:hAnsi="Times New Roman"/>
          <w:sz w:val="22"/>
          <w:szCs w:val="22"/>
        </w:rPr>
        <w:t xml:space="preserve">Blackwood, G., Ballesteros, M., and Ward, T. (2018). Multilingual Neural Machine Translation with Task-Specific Attention. In Proceedings of COLING, pages 3112–3122.</w:t>
      </w:r>
    </w:p>
    <w:p>
      <w:pPr>
        <w:spacing w:after="100" w:before="0" w:line="280"/>
        <w:ind w:left="360" w:hanging="360"/>
        <w:jc w:val="left"/>
      </w:pPr>
      <w:r>
        <w:rPr>
          <w:rFonts w:ascii="Times New Roman" w:cs="Times New Roman" w:eastAsia="Times New Roman" w:hAnsi="Times New Roman"/>
          <w:sz w:val="22"/>
          <w:szCs w:val="22"/>
        </w:rPr>
        <w:t xml:space="preserve">Brown, P. F., Della Pietra, S. A., Della Pietra, V. J., and Mercer, R. L. (1993). The Mathematics of Statistical Machine Translation: Parameter Estimation. Computational Linguistics, 19(2):263–311.</w:t>
      </w:r>
    </w:p>
    <w:p>
      <w:pPr>
        <w:spacing w:after="100" w:before="0" w:line="280"/>
        <w:ind w:left="360" w:hanging="360"/>
        <w:jc w:val="left"/>
      </w:pPr>
      <w:r>
        <w:rPr>
          <w:rFonts w:ascii="Times New Roman" w:cs="Times New Roman" w:eastAsia="Times New Roman" w:hAnsi="Times New Roman"/>
          <w:sz w:val="22"/>
          <w:szCs w:val="22"/>
        </w:rPr>
        <w:t xml:space="preserve">Chen, R. T. Q., Rubanova, Y., Bettencourt, J., and Duvenaud, D. (2018). Neural Ordinary Differential Equations. In Advances in Neural Information Processing Systems.</w:t>
      </w:r>
    </w:p>
    <w:p>
      <w:pPr>
        <w:spacing w:after="100" w:before="0" w:line="280"/>
        <w:ind w:left="360" w:hanging="360"/>
        <w:jc w:val="left"/>
      </w:pPr>
      <w:r>
        <w:rPr>
          <w:rFonts w:ascii="Times New Roman" w:cs="Times New Roman" w:eastAsia="Times New Roman" w:hAnsi="Times New Roman"/>
          <w:sz w:val="22"/>
          <w:szCs w:val="22"/>
        </w:rPr>
        <w:t xml:space="preserve">Conneau, A., Khandelwal, K., Goyal, N., Chaudhary, V., Wenzek, G., Guzmán, F., Grave, E., Ott, M., Zettlemoyer, L., and Stoyanov, V. (2020). Unsupervised Cross-Lingual Representation Learning at Scale. In Proceedings of ACL, pages 8440–8451.</w:t>
      </w:r>
    </w:p>
    <w:p>
      <w:pPr>
        <w:spacing w:after="100" w:before="0" w:line="280"/>
        <w:ind w:left="360" w:hanging="360"/>
        <w:jc w:val="left"/>
      </w:pPr>
      <w:r>
        <w:rPr>
          <w:rFonts w:ascii="Times New Roman" w:cs="Times New Roman" w:eastAsia="Times New Roman" w:hAnsi="Times New Roman"/>
          <w:sz w:val="22"/>
          <w:szCs w:val="22"/>
        </w:rPr>
        <w:t xml:space="preserve">Conneau, A. and Lample, G. (2019). Cross-Lingual Language Model Pretraining. In Advances in Neural Information Processing Systems.</w:t>
      </w:r>
    </w:p>
    <w:p>
      <w:pPr>
        <w:spacing w:after="100" w:before="0" w:line="280"/>
        <w:ind w:left="360" w:hanging="360"/>
        <w:jc w:val="left"/>
      </w:pPr>
      <w:r>
        <w:rPr>
          <w:rFonts w:ascii="Times New Roman" w:cs="Times New Roman" w:eastAsia="Times New Roman" w:hAnsi="Times New Roman"/>
          <w:sz w:val="22"/>
          <w:szCs w:val="22"/>
        </w:rPr>
        <w:t xml:space="preserve">Costa-jussà, M. R., Cross, J., Çelebi, O., Elbayad, M., Heafield, K., Heffernan, K., et al. (2022). No Language Left Behind: Scaling Human-Centered Machine Translation. arXiv preprint arXiv:2207.04672.</w:t>
      </w:r>
    </w:p>
    <w:p>
      <w:pPr>
        <w:spacing w:after="100" w:before="0" w:line="280"/>
        <w:ind w:left="360" w:hanging="360"/>
        <w:jc w:val="left"/>
      </w:pPr>
      <w:r>
        <w:rPr>
          <w:rFonts w:ascii="Times New Roman" w:cs="Times New Roman" w:eastAsia="Times New Roman" w:hAnsi="Times New Roman"/>
          <w:sz w:val="22"/>
          <w:szCs w:val="22"/>
        </w:rPr>
        <w:t xml:space="preserve">Csordás, R., Irie, K., and Schmidhuber, J. (2024). SUT: Sparse Universal Transformer. In International Conference on Learning Representations.</w:t>
      </w:r>
    </w:p>
    <w:p>
      <w:pPr>
        <w:spacing w:after="100" w:before="0" w:line="280"/>
        <w:ind w:left="360" w:hanging="360"/>
        <w:jc w:val="left"/>
      </w:pPr>
      <w:r>
        <w:rPr>
          <w:rFonts w:ascii="Times New Roman" w:cs="Times New Roman" w:eastAsia="Times New Roman" w:hAnsi="Times New Roman"/>
          <w:sz w:val="22"/>
          <w:szCs w:val="22"/>
        </w:rPr>
        <w:t xml:space="preserve">Currey, A., Miceli Barone, A. V., and Heafield, K. (2017). Copied Monolingual Data Improves Low-Resource Neural Machine Translation. In Proceedings of WMT, pages 148–156.</w:t>
      </w:r>
    </w:p>
    <w:p>
      <w:pPr>
        <w:spacing w:after="100" w:before="0" w:line="280"/>
        <w:ind w:left="360" w:hanging="360"/>
        <w:jc w:val="left"/>
      </w:pPr>
      <w:r>
        <w:rPr>
          <w:rFonts w:ascii="Times New Roman" w:cs="Times New Roman" w:eastAsia="Times New Roman" w:hAnsi="Times New Roman"/>
          <w:sz w:val="22"/>
          <w:szCs w:val="22"/>
        </w:rPr>
        <w:t xml:space="preserve">Dehghani, M., Gouws, S., Vinyals, O., Uszkoreit, J., and Kaiser, Ł. (2018). Universal Transformers. In International Conference on Learning Representations.</w:t>
      </w:r>
    </w:p>
    <w:p>
      <w:pPr>
        <w:spacing w:after="100" w:before="0" w:line="280"/>
        <w:ind w:left="360" w:hanging="360"/>
        <w:jc w:val="left"/>
      </w:pPr>
      <w:r>
        <w:rPr>
          <w:rFonts w:ascii="Times New Roman" w:cs="Times New Roman" w:eastAsia="Times New Roman" w:hAnsi="Times New Roman"/>
          <w:sz w:val="22"/>
          <w:szCs w:val="22"/>
        </w:rPr>
        <w:t xml:space="preserve">Dettmers, T., Lewis, M., Belkada, Y., and Zettlemoyer, L. (2022). LLM.int8(): 8-bit Matrix Multiplication for Transformers at Scale. In Advances in Neural Information Processing Systems.</w:t>
      </w:r>
    </w:p>
    <w:p>
      <w:pPr>
        <w:spacing w:after="100" w:before="0" w:line="280"/>
        <w:ind w:left="360" w:hanging="360"/>
        <w:jc w:val="left"/>
      </w:pPr>
      <w:r>
        <w:rPr>
          <w:rFonts w:ascii="Times New Roman" w:cs="Times New Roman" w:eastAsia="Times New Roman" w:hAnsi="Times New Roman"/>
          <w:sz w:val="22"/>
          <w:szCs w:val="22"/>
        </w:rPr>
        <w:t xml:space="preserve">Devlin, J., Chang, M.-W., Lee, K., and Toutanova, K. (2019). BERT: Pre-training of Deep Bidirectional Transformers for Language Understanding. In Proceedings of NAACL-HLT, pages 4171–4186.</w:t>
      </w:r>
    </w:p>
    <w:p>
      <w:pPr>
        <w:spacing w:after="100" w:before="0" w:line="280"/>
        <w:ind w:left="360" w:hanging="360"/>
        <w:jc w:val="left"/>
      </w:pPr>
      <w:r>
        <w:rPr>
          <w:rFonts w:ascii="Times New Roman" w:cs="Times New Roman" w:eastAsia="Times New Roman" w:hAnsi="Times New Roman"/>
          <w:sz w:val="22"/>
          <w:szCs w:val="22"/>
        </w:rPr>
        <w:t xml:space="preserve">Dorr, B. J. (1992). The Use of Lexical Semantics in Interlingual Machine Translation. Machine Translation, 7(3):135–193.</w:t>
      </w:r>
    </w:p>
    <w:p>
      <w:pPr>
        <w:spacing w:after="100" w:before="0" w:line="280"/>
        <w:ind w:left="360" w:hanging="360"/>
        <w:jc w:val="left"/>
      </w:pPr>
      <w:r>
        <w:rPr>
          <w:rFonts w:ascii="Times New Roman" w:cs="Times New Roman" w:eastAsia="Times New Roman" w:hAnsi="Times New Roman"/>
          <w:sz w:val="22"/>
          <w:szCs w:val="22"/>
        </w:rPr>
        <w:t xml:space="preserve">Elbayad, M., Gu, J., Grave, E., and Auli, M. (2020). Depth-Adaptive Transformer. In International Conference on Learning Representations.</w:t>
      </w:r>
    </w:p>
    <w:p>
      <w:pPr>
        <w:spacing w:after="100" w:before="0" w:line="280"/>
        <w:ind w:left="360" w:hanging="360"/>
        <w:jc w:val="left"/>
      </w:pPr>
      <w:r>
        <w:rPr>
          <w:rFonts w:ascii="Times New Roman" w:cs="Times New Roman" w:eastAsia="Times New Roman" w:hAnsi="Times New Roman"/>
          <w:sz w:val="22"/>
          <w:szCs w:val="22"/>
        </w:rPr>
        <w:t xml:space="preserve">Escolano, C., Costa-jussà, M. R., and Fonollosa, J. A. R. (2019). From Bilingual to Multilingual Neural Machine Translation by Incremental Training. In Proceedings of ACL: Student Research Workshop, pages 236–242.</w:t>
      </w:r>
    </w:p>
    <w:p>
      <w:pPr>
        <w:spacing w:after="100" w:before="0" w:line="280"/>
        <w:ind w:left="360" w:hanging="360"/>
        <w:jc w:val="left"/>
      </w:pPr>
      <w:r>
        <w:rPr>
          <w:rFonts w:ascii="Times New Roman" w:cs="Times New Roman" w:eastAsia="Times New Roman" w:hAnsi="Times New Roman"/>
          <w:sz w:val="22"/>
          <w:szCs w:val="22"/>
        </w:rPr>
        <w:t xml:space="preserve">Escolano, C., Costa-jussà, M. R., Fonollosa, J. A. R., and Artetxe, M. (2021). Multilingual Machine Translation: Closing the Gap between Shared and Language-specific Encoder-Decoders. In Proceedings of EACL, pages 944–948.</w:t>
      </w:r>
    </w:p>
    <w:p>
      <w:pPr>
        <w:spacing w:after="100" w:before="0" w:line="280"/>
        <w:ind w:left="360" w:hanging="360"/>
        <w:jc w:val="left"/>
      </w:pPr>
      <w:r>
        <w:rPr>
          <w:rFonts w:ascii="Times New Roman" w:cs="Times New Roman" w:eastAsia="Times New Roman" w:hAnsi="Times New Roman"/>
          <w:sz w:val="22"/>
          <w:szCs w:val="22"/>
        </w:rPr>
        <w:t xml:space="preserve">Firat, O., Cho, K., and Bengio, Y. (2016). Multi-Way, Multilingual Neural Machine Translation with a Shared Attention Mechanism. In Proceedings of NAACL-HLT, pages 866–875.</w:t>
      </w:r>
    </w:p>
    <w:p>
      <w:pPr>
        <w:spacing w:after="100" w:before="0" w:line="280"/>
        <w:ind w:left="360" w:hanging="360"/>
        <w:jc w:val="left"/>
      </w:pPr>
      <w:r>
        <w:rPr>
          <w:rFonts w:ascii="Times New Roman" w:cs="Times New Roman" w:eastAsia="Times New Roman" w:hAnsi="Times New Roman"/>
          <w:sz w:val="22"/>
          <w:szCs w:val="22"/>
        </w:rPr>
        <w:t xml:space="preserve">Frankle, J. and Carbin, M. (2019). The Lottery Ticket Hypothesis: Finding Sparse, Trainable Neural Networks. In International Conference on Learning Representations.</w:t>
      </w:r>
    </w:p>
    <w:p>
      <w:pPr>
        <w:spacing w:after="100" w:before="0" w:line="280"/>
        <w:ind w:left="360" w:hanging="360"/>
        <w:jc w:val="left"/>
      </w:pPr>
      <w:r>
        <w:rPr>
          <w:rFonts w:ascii="Times New Roman" w:cs="Times New Roman" w:eastAsia="Times New Roman" w:hAnsi="Times New Roman"/>
          <w:sz w:val="22"/>
          <w:szCs w:val="22"/>
        </w:rPr>
        <w:t xml:space="preserve">Ganin, Y., Ustinova, E., Ajakan, H., Germain, P., Larochelle, H., Laviolette, F., Marchand, M., and Lempitsky, V. (2016). Domain-Adversarial Training of Neural Networks. Journal of Machine Learning Research, 17(59):1–35.</w:t>
      </w:r>
    </w:p>
    <w:p>
      <w:pPr>
        <w:spacing w:after="100" w:before="0" w:line="280"/>
        <w:ind w:left="360" w:hanging="360"/>
        <w:jc w:val="left"/>
      </w:pPr>
      <w:r>
        <w:rPr>
          <w:rFonts w:ascii="Times New Roman" w:cs="Times New Roman" w:eastAsia="Times New Roman" w:hAnsi="Times New Roman"/>
          <w:sz w:val="22"/>
          <w:szCs w:val="22"/>
        </w:rPr>
        <w:t xml:space="preserve">Gao, P., Hou, J., and Liu, B. (2024). Languages Transferred Within the Encoder: On Representation Transfer in Zero-Shot Multilingual Translation. arXiv preprint arXiv:2406.08092.</w:t>
      </w:r>
    </w:p>
    <w:p>
      <w:pPr>
        <w:spacing w:after="100" w:before="0" w:line="280"/>
        <w:ind w:left="360" w:hanging="360"/>
        <w:jc w:val="left"/>
      </w:pPr>
      <w:r>
        <w:rPr>
          <w:rFonts w:ascii="Times New Roman" w:cs="Times New Roman" w:eastAsia="Times New Roman" w:hAnsi="Times New Roman"/>
          <w:sz w:val="22"/>
          <w:szCs w:val="22"/>
        </w:rPr>
        <w:t xml:space="preserve">Gao, P., Wei, X., Wang, X., Hou, J., and Liu, B. (2023). Improving Zero-Shot Multilingual Neural Machine Translation by Leveraging Cross-Lingual Consistency Regularization. In Findings of ACL, pages 12103–12119.</w:t>
      </w:r>
    </w:p>
    <w:p>
      <w:pPr>
        <w:spacing w:after="100" w:before="0" w:line="280"/>
        <w:ind w:left="360" w:hanging="360"/>
        <w:jc w:val="left"/>
      </w:pPr>
      <w:r>
        <w:rPr>
          <w:rFonts w:ascii="Times New Roman" w:cs="Times New Roman" w:eastAsia="Times New Roman" w:hAnsi="Times New Roman"/>
          <w:sz w:val="22"/>
          <w:szCs w:val="22"/>
        </w:rPr>
        <w:t xml:space="preserve">Glorot, X. and Bengio, Y. (2010). Understanding the Difficulty of Training Deep Feedforward Neural Networks. In Proceedings of AISTATS, pages 249–256.</w:t>
      </w:r>
    </w:p>
    <w:p>
      <w:pPr>
        <w:spacing w:after="100" w:before="0" w:line="280"/>
        <w:ind w:left="360" w:hanging="360"/>
        <w:jc w:val="left"/>
      </w:pPr>
      <w:r>
        <w:rPr>
          <w:rFonts w:ascii="Times New Roman" w:cs="Times New Roman" w:eastAsia="Times New Roman" w:hAnsi="Times New Roman"/>
          <w:sz w:val="22"/>
          <w:szCs w:val="22"/>
        </w:rPr>
        <w:t xml:space="preserve">Graves, A. (2016). Adaptive Computation Time for Recurrent Neural Networks. arXiv preprint arXiv:1603.08983.</w:t>
      </w:r>
    </w:p>
    <w:p>
      <w:pPr>
        <w:spacing w:after="100" w:before="0" w:line="280"/>
        <w:ind w:left="360" w:hanging="360"/>
        <w:jc w:val="left"/>
      </w:pPr>
      <w:r>
        <w:rPr>
          <w:rFonts w:ascii="Times New Roman" w:cs="Times New Roman" w:eastAsia="Times New Roman" w:hAnsi="Times New Roman"/>
          <w:sz w:val="22"/>
          <w:szCs w:val="22"/>
        </w:rPr>
        <w:t xml:space="preserve">Gu, J., Hassan, H., Devlin, J., and Li, V. O. K. (2018). Universal Neural Machine Translation for Extremely Low Resource Languages. In Proceedings of NAACL-HLT, pages 344–354.</w:t>
      </w:r>
    </w:p>
    <w:p>
      <w:pPr>
        <w:spacing w:after="100" w:before="0" w:line="280"/>
        <w:ind w:left="360" w:hanging="360"/>
        <w:jc w:val="left"/>
      </w:pPr>
      <w:r>
        <w:rPr>
          <w:rFonts w:ascii="Times New Roman" w:cs="Times New Roman" w:eastAsia="Times New Roman" w:hAnsi="Times New Roman"/>
          <w:sz w:val="22"/>
          <w:szCs w:val="22"/>
        </w:rPr>
        <w:t xml:space="preserve">Gu, J., Wang, Y., Cho, K., and Li, V. O. K. (2019). Improved Zero-Shot Neural Machine Translation via Ignoring Spurious Correlations. In Proceedings of ACL, pages 1258–1268.</w:t>
      </w:r>
    </w:p>
    <w:p>
      <w:pPr>
        <w:spacing w:after="100" w:before="0" w:line="280"/>
        <w:ind w:left="360" w:hanging="360"/>
        <w:jc w:val="left"/>
      </w:pPr>
      <w:r>
        <w:rPr>
          <w:rFonts w:ascii="Times New Roman" w:cs="Times New Roman" w:eastAsia="Times New Roman" w:hAnsi="Times New Roman"/>
          <w:sz w:val="22"/>
          <w:szCs w:val="22"/>
        </w:rPr>
        <w:t xml:space="preserve">Ha, T.-L., Niehues, J., and Waibel, A. (2016). Toward Multilingual Neural Machine Translation with Universal Encoder and Decoder. In Proceedings of IWSLT.</w:t>
      </w:r>
    </w:p>
    <w:p>
      <w:pPr>
        <w:spacing w:after="100" w:before="0" w:line="280"/>
        <w:ind w:left="360" w:hanging="360"/>
        <w:jc w:val="left"/>
      </w:pPr>
      <w:r>
        <w:rPr>
          <w:rFonts w:ascii="Times New Roman" w:cs="Times New Roman" w:eastAsia="Times New Roman" w:hAnsi="Times New Roman"/>
          <w:sz w:val="22"/>
          <w:szCs w:val="22"/>
        </w:rPr>
        <w:t xml:space="preserve">Hinton, G., Vinyals, O., and Dean, J. (2015). Distilling the Knowledge in a Neural Network. arXiv preprint arXiv:1503.02531.</w:t>
      </w:r>
    </w:p>
    <w:p>
      <w:pPr>
        <w:spacing w:after="100" w:before="0" w:line="280"/>
        <w:ind w:left="360" w:hanging="360"/>
        <w:jc w:val="left"/>
      </w:pPr>
      <w:r>
        <w:rPr>
          <w:rFonts w:ascii="Times New Roman" w:cs="Times New Roman" w:eastAsia="Times New Roman" w:hAnsi="Times New Roman"/>
          <w:sz w:val="22"/>
          <w:szCs w:val="22"/>
        </w:rPr>
        <w:t xml:space="preserve">Hutchins, W. J. and Somers, H. L. (1992). An Introduction to Machine Translation. Academic Press, London.</w:t>
      </w:r>
    </w:p>
    <w:p>
      <w:pPr>
        <w:spacing w:after="100" w:before="0" w:line="280"/>
        <w:ind w:left="360" w:hanging="360"/>
        <w:jc w:val="left"/>
      </w:pPr>
      <w:r>
        <w:rPr>
          <w:rFonts w:ascii="Times New Roman" w:cs="Times New Roman" w:eastAsia="Times New Roman" w:hAnsi="Times New Roman"/>
          <w:sz w:val="22"/>
          <w:szCs w:val="22"/>
        </w:rPr>
        <w:t xml:space="preserve">Jiao, X., Yin, Y., Shang, L., Jiang, X., Chen, X., Li, L., Wang, F., and Liu, Q. (2020). TinyBERT: Distilling BERT for Natural Language Understanding. In Findings of EMNLP, pages 4163–4174.</w:t>
      </w:r>
    </w:p>
    <w:p>
      <w:pPr>
        <w:spacing w:after="100" w:before="0" w:line="280"/>
        <w:ind w:left="360" w:hanging="360"/>
        <w:jc w:val="left"/>
      </w:pPr>
      <w:r>
        <w:rPr>
          <w:rFonts w:ascii="Times New Roman" w:cs="Times New Roman" w:eastAsia="Times New Roman" w:hAnsi="Times New Roman"/>
          <w:sz w:val="22"/>
          <w:szCs w:val="22"/>
        </w:rPr>
        <w:t xml:space="preserve">Johnson, M., Schuster, M., Le, Q. V., Krikun, M., Wu, Y., Chen, Z., Thorat, N., Viégas, F., Wattenberg, M., Corrado, G., Hughes, M., and Dean, J. (2017). Google's Multilingual Neural Machine Translation System: Enabling Zero-Shot Translation. Transactions of the Association for Computational Linguistics, 5:339–351.</w:t>
      </w:r>
    </w:p>
    <w:p>
      <w:pPr>
        <w:spacing w:after="100" w:before="0" w:line="280"/>
        <w:ind w:left="360" w:hanging="360"/>
        <w:jc w:val="left"/>
      </w:pPr>
      <w:r>
        <w:rPr>
          <w:rFonts w:ascii="Times New Roman" w:cs="Times New Roman" w:eastAsia="Times New Roman" w:hAnsi="Times New Roman"/>
          <w:sz w:val="22"/>
          <w:szCs w:val="22"/>
        </w:rPr>
        <w:t xml:space="preserve">Kim, Y., Petrov, P., Petrushkov, P., Khadivi, S., and Ney, H. (2019). Pivot-Based Transfer Learning for Neural Machine Translation Between Non-English Languages. In Proceedings of EMNLP-IJCNLP, pages 866–876.</w:t>
      </w:r>
    </w:p>
    <w:p>
      <w:pPr>
        <w:spacing w:after="100" w:before="0" w:line="280"/>
        <w:ind w:left="360" w:hanging="360"/>
        <w:jc w:val="left"/>
      </w:pPr>
      <w:r>
        <w:rPr>
          <w:rFonts w:ascii="Times New Roman" w:cs="Times New Roman" w:eastAsia="Times New Roman" w:hAnsi="Times New Roman"/>
          <w:sz w:val="22"/>
          <w:szCs w:val="22"/>
        </w:rPr>
        <w:t xml:space="preserve">Kim, Y. and Rush, A. M. (2016). Sequence-Level Knowledge Distillation. In Proceedings of EMNLP, pages 1317–1327.</w:t>
      </w:r>
    </w:p>
    <w:p>
      <w:pPr>
        <w:spacing w:after="100" w:before="0" w:line="280"/>
        <w:ind w:left="360" w:hanging="360"/>
        <w:jc w:val="left"/>
      </w:pPr>
      <w:r>
        <w:rPr>
          <w:rFonts w:ascii="Times New Roman" w:cs="Times New Roman" w:eastAsia="Times New Roman" w:hAnsi="Times New Roman"/>
          <w:sz w:val="22"/>
          <w:szCs w:val="22"/>
        </w:rPr>
        <w:t xml:space="preserve">Kingma, D. P. and Ba, J. (2015). Adam: A Method for Stochastic Optimization. In International Conference on Learning Representations.</w:t>
      </w:r>
    </w:p>
    <w:p>
      <w:pPr>
        <w:spacing w:after="100" w:before="0" w:line="280"/>
        <w:ind w:left="360" w:hanging="360"/>
        <w:jc w:val="left"/>
      </w:pPr>
      <w:r>
        <w:rPr>
          <w:rFonts w:ascii="Times New Roman" w:cs="Times New Roman" w:eastAsia="Times New Roman" w:hAnsi="Times New Roman"/>
          <w:sz w:val="22"/>
          <w:szCs w:val="22"/>
        </w:rPr>
        <w:t xml:space="preserve">Koehn, P. (2004). Statistical Significance Tests for Machine Translation Evaluation. In Proceedings of EMNLP, pages 388–395.</w:t>
      </w:r>
    </w:p>
    <w:p>
      <w:pPr>
        <w:spacing w:after="100" w:before="0" w:line="280"/>
        <w:ind w:left="360" w:hanging="360"/>
        <w:jc w:val="left"/>
      </w:pPr>
      <w:r>
        <w:rPr>
          <w:rFonts w:ascii="Times New Roman" w:cs="Times New Roman" w:eastAsia="Times New Roman" w:hAnsi="Times New Roman"/>
          <w:sz w:val="22"/>
          <w:szCs w:val="22"/>
        </w:rPr>
        <w:t xml:space="preserve">Koehn, P., Och, F. J., and Marcu, D. (2003). Statistical Phrase-Based Translation. In Proceedings of NAACL-HLT, pages 48–54.</w:t>
      </w:r>
    </w:p>
    <w:p>
      <w:pPr>
        <w:spacing w:after="100" w:before="0" w:line="280"/>
        <w:ind w:left="360" w:hanging="360"/>
        <w:jc w:val="left"/>
      </w:pPr>
      <w:r>
        <w:rPr>
          <w:rFonts w:ascii="Times New Roman" w:cs="Times New Roman" w:eastAsia="Times New Roman" w:hAnsi="Times New Roman"/>
          <w:sz w:val="22"/>
          <w:szCs w:val="22"/>
        </w:rPr>
        <w:t xml:space="preserve">Kudo, T. and Richardson, J. (2018). SentencePiece: A Simple and Language Independent Subword Tokenizer and Detokenizer for Neural Text Processing. In Proceedings of EMNLP: System Demonstrations, pages 66–71.</w:t>
      </w:r>
    </w:p>
    <w:p>
      <w:pPr>
        <w:spacing w:after="100" w:before="0" w:line="280"/>
        <w:ind w:left="360" w:hanging="360"/>
        <w:jc w:val="left"/>
      </w:pPr>
      <w:r>
        <w:rPr>
          <w:rFonts w:ascii="Times New Roman" w:cs="Times New Roman" w:eastAsia="Times New Roman" w:hAnsi="Times New Roman"/>
          <w:sz w:val="22"/>
          <w:szCs w:val="22"/>
        </w:rPr>
        <w:t xml:space="preserve">Kudugunta, S., Bapna, A., Caswell, I., and Firat, O. (2019). Investigating Multilingual NMT Representations at Scale. In Proceedings of EMNLP-IJCNLP, pages 1565–1575.</w:t>
      </w:r>
    </w:p>
    <w:p>
      <w:pPr>
        <w:spacing w:after="100" w:before="0" w:line="280"/>
        <w:ind w:left="360" w:hanging="360"/>
        <w:jc w:val="left"/>
      </w:pPr>
      <w:r>
        <w:rPr>
          <w:rFonts w:ascii="Times New Roman" w:cs="Times New Roman" w:eastAsia="Times New Roman" w:hAnsi="Times New Roman"/>
          <w:sz w:val="22"/>
          <w:szCs w:val="22"/>
        </w:rPr>
        <w:t xml:space="preserve">Lewis, M., Liu, Y., Goyal, N., Ghazvininejad, M., Mohamed, A., Levy, O., Stoyanov, V., and Zettlemoyer, L. (2020). BART: Denoising Sequence-to-Sequence Pre-training for Natural Language Generation, Translation, and Comprehension. In Proceedings of ACL, pages 7871–7880.</w:t>
      </w:r>
    </w:p>
    <w:p>
      <w:pPr>
        <w:spacing w:after="100" w:before="0" w:line="280"/>
        <w:ind w:left="360" w:hanging="360"/>
        <w:jc w:val="left"/>
      </w:pPr>
      <w:r>
        <w:rPr>
          <w:rFonts w:ascii="Times New Roman" w:cs="Times New Roman" w:eastAsia="Times New Roman" w:hAnsi="Times New Roman"/>
          <w:sz w:val="22"/>
          <w:szCs w:val="22"/>
        </w:rPr>
        <w:t xml:space="preserve">Liu, Y., Gu, J., Goyal, N., Li, X., Edunov, S., Ghazvininejad, M., Lewis, M., and Zettlemoyer, L. (2020). Multilingual Denoising Pre-training for Neural Machine Translation. Transactions of the Association for Computational Linguistics, 8:726–742.</w:t>
      </w:r>
    </w:p>
    <w:p>
      <w:pPr>
        <w:spacing w:after="100" w:before="0" w:line="280"/>
        <w:ind w:left="360" w:hanging="360"/>
        <w:jc w:val="left"/>
      </w:pPr>
      <w:r>
        <w:rPr>
          <w:rFonts w:ascii="Times New Roman" w:cs="Times New Roman" w:eastAsia="Times New Roman" w:hAnsi="Times New Roman"/>
          <w:sz w:val="22"/>
          <w:szCs w:val="22"/>
        </w:rPr>
        <w:t xml:space="preserve">Liu, X., Hu, P., Ge, T., Cheng, Y., Lu, J., and Zhang, M. (2021b). On the Copying Behaviors of Pre-Training for Neural Machine Translation. In Findings of ACL-IJCNLP, pages 4859–4873.</w:t>
      </w:r>
    </w:p>
    <w:p>
      <w:pPr>
        <w:spacing w:after="100" w:before="0" w:line="280"/>
        <w:ind w:left="360" w:hanging="360"/>
        <w:jc w:val="left"/>
      </w:pPr>
      <w:r>
        <w:rPr>
          <w:rFonts w:ascii="Times New Roman" w:cs="Times New Roman" w:eastAsia="Times New Roman" w:hAnsi="Times New Roman"/>
          <w:sz w:val="22"/>
          <w:szCs w:val="22"/>
        </w:rPr>
        <w:t xml:space="preserve">Liu, S., Sun, Y., Wang, K., Wang, X., Lin, J., Hu, Z., Han, J., Cheng, K., Wang, X., and Xu, K. (2021a). Improving Zero-shot Neural Machine Translation on Language-specific Encoders-Decoders. In Proceedings of IJCNN.</w:t>
      </w:r>
    </w:p>
    <w:p>
      <w:pPr>
        <w:spacing w:after="100" w:before="0" w:line="280"/>
        <w:ind w:left="360" w:hanging="360"/>
        <w:jc w:val="left"/>
      </w:pPr>
      <w:r>
        <w:rPr>
          <w:rFonts w:ascii="Times New Roman" w:cs="Times New Roman" w:eastAsia="Times New Roman" w:hAnsi="Times New Roman"/>
          <w:sz w:val="22"/>
          <w:szCs w:val="22"/>
        </w:rPr>
        <w:t xml:space="preserve">Liu, Z., Zhou, J., Lin, T., Chen, X., Bansal, M., Liu, Y., and Dyer, C. (2021c). Continual Mixed-Language Pre-Training for Extremely Low-Resource Neural Machine Translation. In Findings of ACL-IJCNLP, pages 2706–2718.</w:t>
      </w:r>
    </w:p>
    <w:p>
      <w:pPr>
        <w:spacing w:after="100" w:before="0" w:line="280"/>
        <w:ind w:left="360" w:hanging="360"/>
        <w:jc w:val="left"/>
      </w:pPr>
      <w:r>
        <w:rPr>
          <w:rFonts w:ascii="Times New Roman" w:cs="Times New Roman" w:eastAsia="Times New Roman" w:hAnsi="Times New Roman"/>
          <w:sz w:val="22"/>
          <w:szCs w:val="22"/>
        </w:rPr>
        <w:t xml:space="preserve">Lu, Y., Keung, P., Ladhak, F., Bhardwaj, V., Zhang, S., and Sun, J. (2018). A Neural Interlingua for Multilingual Machine Translation. In Proceedings of WMT, pages 84–92.</w:t>
      </w:r>
    </w:p>
    <w:p>
      <w:pPr>
        <w:spacing w:after="100" w:before="0" w:line="280"/>
        <w:ind w:left="360" w:hanging="360"/>
        <w:jc w:val="left"/>
      </w:pPr>
      <w:r>
        <w:rPr>
          <w:rFonts w:ascii="Times New Roman" w:cs="Times New Roman" w:eastAsia="Times New Roman" w:hAnsi="Times New Roman"/>
          <w:sz w:val="22"/>
          <w:szCs w:val="22"/>
        </w:rPr>
        <w:t xml:space="preserve">Lyu, S., Son, B., Yang, K., and Bae, J. (2020). Revisiting Modularized Multilingual NMT to Meet Industrial Demands. In Proceedings of EMNLP, pages 5905–5918.</w:t>
      </w:r>
    </w:p>
    <w:p>
      <w:pPr>
        <w:spacing w:after="100" w:before="0" w:line="280"/>
        <w:ind w:left="360" w:hanging="360"/>
        <w:jc w:val="left"/>
      </w:pPr>
      <w:r>
        <w:rPr>
          <w:rFonts w:ascii="Times New Roman" w:cs="Times New Roman" w:eastAsia="Times New Roman" w:hAnsi="Times New Roman"/>
          <w:sz w:val="22"/>
          <w:szCs w:val="22"/>
        </w:rPr>
        <w:t xml:space="preserve">Mickus, T., Vázquez, R., Attieh, J., Loáiciga, S., Bernardy, J.-P., Grönroos, S.-A., Raganato, A., Hardmeier, C., Creutz, M., and Tiedemann, J. (2024). I Have an Attention Bridge to Sell You: Generalization Capabilities of Modular Translation Architectures. arXiv preprint arXiv:2404.17918.</w:t>
      </w:r>
    </w:p>
    <w:p>
      <w:pPr>
        <w:spacing w:after="100" w:before="0" w:line="280"/>
        <w:ind w:left="360" w:hanging="360"/>
        <w:jc w:val="left"/>
      </w:pPr>
      <w:r>
        <w:rPr>
          <w:rFonts w:ascii="Times New Roman" w:cs="Times New Roman" w:eastAsia="Times New Roman" w:hAnsi="Times New Roman"/>
          <w:sz w:val="22"/>
          <w:szCs w:val="22"/>
        </w:rPr>
        <w:t xml:space="preserve">Mitamura, T. and Nyberg, E. (1995). Controlled English for Knowledge-Based Machine Translation: Experience with the KANT System. In Proceedings of TMI, pages 158–172.</w:t>
      </w:r>
    </w:p>
    <w:p>
      <w:pPr>
        <w:spacing w:after="100" w:before="0" w:line="280"/>
        <w:ind w:left="360" w:hanging="360"/>
        <w:jc w:val="left"/>
      </w:pPr>
      <w:r>
        <w:rPr>
          <w:rFonts w:ascii="Times New Roman" w:cs="Times New Roman" w:eastAsia="Times New Roman" w:hAnsi="Times New Roman"/>
          <w:sz w:val="22"/>
          <w:szCs w:val="22"/>
        </w:rPr>
        <w:t xml:space="preserve">Och, F. J. and Ney, H. (2003). A Systematic Comparison of Various Statistical Alignment Models. Computational Linguistics, 29(1):19–51.</w:t>
      </w:r>
    </w:p>
    <w:p>
      <w:pPr>
        <w:spacing w:after="100" w:before="0" w:line="280"/>
        <w:ind w:left="360" w:hanging="360"/>
        <w:jc w:val="left"/>
      </w:pPr>
      <w:r>
        <w:rPr>
          <w:rFonts w:ascii="Times New Roman" w:cs="Times New Roman" w:eastAsia="Times New Roman" w:hAnsi="Times New Roman"/>
          <w:sz w:val="22"/>
          <w:szCs w:val="22"/>
        </w:rPr>
        <w:t xml:space="preserve">Ott, M., Edunov, S., Baevski, A., Fan, A., Gross, S., Ng, N., Grangier, D., and Auli, M. (2019). fairseq: A Fast, Extensible Toolkit for Sequence Modeling. In Proceedings of NAACL-HLT: Demonstrations, pages 48–53.</w:t>
      </w:r>
    </w:p>
    <w:p>
      <w:pPr>
        <w:spacing w:after="100" w:before="0" w:line="280"/>
        <w:ind w:left="360" w:hanging="360"/>
        <w:jc w:val="left"/>
      </w:pPr>
      <w:r>
        <w:rPr>
          <w:rFonts w:ascii="Times New Roman" w:cs="Times New Roman" w:eastAsia="Times New Roman" w:hAnsi="Times New Roman"/>
          <w:sz w:val="22"/>
          <w:szCs w:val="22"/>
        </w:rPr>
        <w:t xml:space="preserve">Pan, X., Wang, M., Wu, L., and Li, L. (2021). Contrastive Learning for Many-to-Many Multilingual Neural Machine Translation. In Proceedings of ACL-IJCNLP, pages 244–258.</w:t>
      </w:r>
    </w:p>
    <w:p>
      <w:pPr>
        <w:spacing w:after="100" w:before="0" w:line="280"/>
        <w:ind w:left="360" w:hanging="360"/>
        <w:jc w:val="left"/>
      </w:pPr>
      <w:r>
        <w:rPr>
          <w:rFonts w:ascii="Times New Roman" w:cs="Times New Roman" w:eastAsia="Times New Roman" w:hAnsi="Times New Roman"/>
          <w:sz w:val="22"/>
          <w:szCs w:val="22"/>
        </w:rPr>
        <w:t xml:space="preserve">Papineni, K., Roukos, S., Ward, T., and Zhu, W.-J. (2002). BLEU: A Method for Automatic Evaluation of Machine Translation. In Proceedings of ACL, pages 311–318.</w:t>
      </w:r>
    </w:p>
    <w:p>
      <w:pPr>
        <w:spacing w:after="100" w:before="0" w:line="280"/>
        <w:ind w:left="360" w:hanging="360"/>
        <w:jc w:val="left"/>
      </w:pPr>
      <w:r>
        <w:rPr>
          <w:rFonts w:ascii="Times New Roman" w:cs="Times New Roman" w:eastAsia="Times New Roman" w:hAnsi="Times New Roman"/>
          <w:sz w:val="22"/>
          <w:szCs w:val="22"/>
        </w:rPr>
        <w:t xml:space="preserve">Paszke, A., Gross, S., Massa, F., Lerer, A., Bradbury, J., Chanan, G., et al. (2019). PyTorch: An Imperative Style, High-Performance Deep Learning Library. In Advances in Neural Information Processing Systems.</w:t>
      </w:r>
    </w:p>
    <w:p>
      <w:pPr>
        <w:spacing w:after="100" w:before="0" w:line="280"/>
        <w:ind w:left="360" w:hanging="360"/>
        <w:jc w:val="left"/>
      </w:pPr>
      <w:r>
        <w:rPr>
          <w:rFonts w:ascii="Times New Roman" w:cs="Times New Roman" w:eastAsia="Times New Roman" w:hAnsi="Times New Roman"/>
          <w:sz w:val="22"/>
          <w:szCs w:val="22"/>
        </w:rPr>
        <w:t xml:space="preserve">Pham, N.-Q., Niehues, J., Ha, T.-L., and Waibel, A. (2019). Improving Zero-Shot Translation with Language-Independent Constraints. In Proceedings of WMT, pages 13–23.</w:t>
      </w:r>
    </w:p>
    <w:p>
      <w:pPr>
        <w:spacing w:after="100" w:before="0" w:line="280"/>
        <w:ind w:left="360" w:hanging="360"/>
        <w:jc w:val="left"/>
      </w:pPr>
      <w:r>
        <w:rPr>
          <w:rFonts w:ascii="Times New Roman" w:cs="Times New Roman" w:eastAsia="Times New Roman" w:hAnsi="Times New Roman"/>
          <w:sz w:val="22"/>
          <w:szCs w:val="22"/>
        </w:rPr>
        <w:t xml:space="preserve">Popović, M. (2015). chrF: Character n-Gram F-Score for Automatic MT Evaluation. In Proceedings of WMT, pages 392–395.</w:t>
      </w:r>
    </w:p>
    <w:p>
      <w:pPr>
        <w:spacing w:after="100" w:before="0" w:line="280"/>
        <w:ind w:left="360" w:hanging="360"/>
        <w:jc w:val="left"/>
      </w:pPr>
      <w:r>
        <w:rPr>
          <w:rFonts w:ascii="Times New Roman" w:cs="Times New Roman" w:eastAsia="Times New Roman" w:hAnsi="Times New Roman"/>
          <w:sz w:val="22"/>
          <w:szCs w:val="22"/>
        </w:rPr>
        <w:t xml:space="preserve">Post, M. (2018). A Call for Clarity in Reporting BLEU Scores. In Proceedings of WMT, pages 186–191.</w:t>
      </w:r>
    </w:p>
    <w:p>
      <w:pPr>
        <w:spacing w:after="100" w:before="0" w:line="280"/>
        <w:ind w:left="360" w:hanging="360"/>
        <w:jc w:val="left"/>
      </w:pPr>
      <w:r>
        <w:rPr>
          <w:rFonts w:ascii="Times New Roman" w:cs="Times New Roman" w:eastAsia="Times New Roman" w:hAnsi="Times New Roman"/>
          <w:sz w:val="22"/>
          <w:szCs w:val="22"/>
        </w:rPr>
        <w:t xml:space="preserve">Prato, G., Charlaix, E., and Rezagholizadeh, M. (2020). Fully Quantized Transformer for Machine Translation. In Findings of EMNLP, pages 1–14.</w:t>
      </w:r>
    </w:p>
    <w:p>
      <w:pPr>
        <w:spacing w:after="100" w:before="0" w:line="280"/>
        <w:ind w:left="360" w:hanging="360"/>
        <w:jc w:val="left"/>
      </w:pPr>
      <w:r>
        <w:rPr>
          <w:rFonts w:ascii="Times New Roman" w:cs="Times New Roman" w:eastAsia="Times New Roman" w:hAnsi="Times New Roman"/>
          <w:sz w:val="22"/>
          <w:szCs w:val="22"/>
        </w:rPr>
        <w:t xml:space="preserve">Press, O. and Wolf, L. (2017). Using the Output Embedding to Improve Language Models. In Proceedings of EACL, pages 157–163.</w:t>
      </w:r>
    </w:p>
    <w:p>
      <w:pPr>
        <w:spacing w:after="100" w:before="0" w:line="280"/>
        <w:ind w:left="360" w:hanging="360"/>
        <w:jc w:val="left"/>
      </w:pPr>
      <w:r>
        <w:rPr>
          <w:rFonts w:ascii="Times New Roman" w:cs="Times New Roman" w:eastAsia="Times New Roman" w:hAnsi="Times New Roman"/>
          <w:sz w:val="22"/>
          <w:szCs w:val="22"/>
        </w:rPr>
        <w:t xml:space="preserve">Radford, A., Narasimhan, K., Salimans, T., and Sutskever, I. (2018). Improving Language Understanding by Generative Pre-Training. Technical report, OpenAI.</w:t>
      </w:r>
    </w:p>
    <w:p>
      <w:pPr>
        <w:spacing w:after="100" w:before="0" w:line="280"/>
        <w:ind w:left="360" w:hanging="360"/>
        <w:jc w:val="left"/>
      </w:pPr>
      <w:r>
        <w:rPr>
          <w:rFonts w:ascii="Times New Roman" w:cs="Times New Roman" w:eastAsia="Times New Roman" w:hAnsi="Times New Roman"/>
          <w:sz w:val="22"/>
          <w:szCs w:val="22"/>
        </w:rPr>
        <w:t xml:space="preserve">Raffel, C., Shazeer, N., Roberts, A., Lee, K., Narang, S., Matena, M., Zhou, Y., Li, W., and Liu, P. J. (2020). Exploring the Limits of Transfer Learning with a Unified Text-to-Text Transformer. Journal of Machine Learning Research, 21(140):1–67.</w:t>
      </w:r>
    </w:p>
    <w:p>
      <w:pPr>
        <w:spacing w:after="100" w:before="0" w:line="280"/>
        <w:ind w:left="360" w:hanging="360"/>
        <w:jc w:val="left"/>
      </w:pPr>
      <w:r>
        <w:rPr>
          <w:rFonts w:ascii="Times New Roman" w:cs="Times New Roman" w:eastAsia="Times New Roman" w:hAnsi="Times New Roman"/>
          <w:sz w:val="22"/>
          <w:szCs w:val="22"/>
        </w:rPr>
        <w:t xml:space="preserve">Raganato, A., Vázquez, R., Creutz, M., and Tiedemann, J. (2020). A Systematic Study of Inner-Attention-Based Sentence Representations in Multilingual Neural Machine Translation. Computational Linguistics, 46(2):387–424.</w:t>
      </w:r>
    </w:p>
    <w:p>
      <w:pPr>
        <w:spacing w:after="100" w:before="0" w:line="280"/>
        <w:ind w:left="360" w:hanging="360"/>
        <w:jc w:val="left"/>
      </w:pPr>
      <w:r>
        <w:rPr>
          <w:rFonts w:ascii="Times New Roman" w:cs="Times New Roman" w:eastAsia="Times New Roman" w:hAnsi="Times New Roman"/>
          <w:sz w:val="22"/>
          <w:szCs w:val="22"/>
        </w:rPr>
        <w:t xml:space="preserve">Raghu, M., Gilmer, J., Yosinski, J., and Sohl-Dickstein, J. (2017). SVCCA: Singular Vector Canonical Correlation Analysis for Deep Learning Dynamics and Interpretability. In Advances in Neural Information Processing Systems.</w:t>
      </w:r>
    </w:p>
    <w:p>
      <w:pPr>
        <w:spacing w:after="100" w:before="0" w:line="280"/>
        <w:ind w:left="360" w:hanging="360"/>
        <w:jc w:val="left"/>
      </w:pPr>
      <w:r>
        <w:rPr>
          <w:rFonts w:ascii="Times New Roman" w:cs="Times New Roman" w:eastAsia="Times New Roman" w:hAnsi="Times New Roman"/>
          <w:sz w:val="22"/>
          <w:szCs w:val="22"/>
        </w:rPr>
        <w:t xml:space="preserve">Rei, R., Stewart, C., Farinha, A. C., and Lavie, A. (2020). COMET: A Neural Framework for MT Evaluation. In Proceedings of EMNLP, pages 2685–2702.</w:t>
      </w:r>
    </w:p>
    <w:p>
      <w:pPr>
        <w:spacing w:after="100" w:before="0" w:line="280"/>
        <w:ind w:left="360" w:hanging="360"/>
        <w:jc w:val="left"/>
      </w:pPr>
      <w:r>
        <w:rPr>
          <w:rFonts w:ascii="Times New Roman" w:cs="Times New Roman" w:eastAsia="Times New Roman" w:hAnsi="Times New Roman"/>
          <w:sz w:val="22"/>
          <w:szCs w:val="22"/>
        </w:rPr>
        <w:t xml:space="preserve">Richens, R. H. (1958). Interlingual Machine Translation. The Computer Journal, 1(3):144–147.</w:t>
      </w:r>
    </w:p>
    <w:p>
      <w:pPr>
        <w:spacing w:after="100" w:before="0" w:line="280"/>
        <w:ind w:left="360" w:hanging="360"/>
        <w:jc w:val="left"/>
      </w:pPr>
      <w:r>
        <w:rPr>
          <w:rFonts w:ascii="Times New Roman" w:cs="Times New Roman" w:eastAsia="Times New Roman" w:hAnsi="Times New Roman"/>
          <w:sz w:val="22"/>
          <w:szCs w:val="22"/>
        </w:rPr>
        <w:t xml:space="preserve">Sachan, D. S. and Neubig, G. (2018). Parameter Sharing Methods for Multilingual Self-Attentional Translation Models. In Proceedings of WMT, pages 261–271.</w:t>
      </w:r>
    </w:p>
    <w:p>
      <w:pPr>
        <w:spacing w:after="100" w:before="0" w:line="280"/>
        <w:ind w:left="360" w:hanging="360"/>
        <w:jc w:val="left"/>
      </w:pPr>
      <w:r>
        <w:rPr>
          <w:rFonts w:ascii="Times New Roman" w:cs="Times New Roman" w:eastAsia="Times New Roman" w:hAnsi="Times New Roman"/>
          <w:sz w:val="22"/>
          <w:szCs w:val="22"/>
        </w:rPr>
        <w:t xml:space="preserve">Schuster, T., Fisch, A., Gupta, J., Dehghani, M., Bahri, D., Tran, V., Tay, Y., and Metzler, D. (2022). Confident Adaptive Language Modeling. In Advances in Neural Information Processing Systems.</w:t>
      </w:r>
    </w:p>
    <w:p>
      <w:pPr>
        <w:spacing w:after="100" w:before="0" w:line="280"/>
        <w:ind w:left="360" w:hanging="360"/>
        <w:jc w:val="left"/>
      </w:pPr>
      <w:r>
        <w:rPr>
          <w:rFonts w:ascii="Times New Roman" w:cs="Times New Roman" w:eastAsia="Times New Roman" w:hAnsi="Times New Roman"/>
          <w:sz w:val="22"/>
          <w:szCs w:val="22"/>
        </w:rPr>
        <w:t xml:space="preserve">Sennrich, R., Haddow, B., and Birch, A. (2016a). Improving Neural Machine Translation Models with Monolingual Data. In Proceedings of ACL, pages 86–96.</w:t>
      </w:r>
    </w:p>
    <w:p>
      <w:pPr>
        <w:spacing w:after="100" w:before="0" w:line="280"/>
        <w:ind w:left="360" w:hanging="360"/>
        <w:jc w:val="left"/>
      </w:pPr>
      <w:r>
        <w:rPr>
          <w:rFonts w:ascii="Times New Roman" w:cs="Times New Roman" w:eastAsia="Times New Roman" w:hAnsi="Times New Roman"/>
          <w:sz w:val="22"/>
          <w:szCs w:val="22"/>
        </w:rPr>
        <w:t xml:space="preserve">Sennrich, R., Haddow, B., and Birch, A. (2016b). Neural Machine Translation of Rare Words with Subword Units. In Proceedings of ACL, pages 1715–1725.</w:t>
      </w:r>
    </w:p>
    <w:p>
      <w:pPr>
        <w:spacing w:after="100" w:before="0" w:line="280"/>
        <w:ind w:left="360" w:hanging="360"/>
        <w:jc w:val="left"/>
      </w:pPr>
      <w:r>
        <w:rPr>
          <w:rFonts w:ascii="Times New Roman" w:cs="Times New Roman" w:eastAsia="Times New Roman" w:hAnsi="Times New Roman"/>
          <w:sz w:val="22"/>
          <w:szCs w:val="22"/>
        </w:rPr>
        <w:t xml:space="preserve">Siddhant, A., Bapna, A., Cao, Y., Firat, O., Chen, M., Kudugunta, S., Arivazhagan, N., and Wu, Y. (2020). Leveraging Monolingual Data with Self-Supervision for Multilingual Neural Machine Translation. In Proceedings of ACL, pages 2827–2835.</w:t>
      </w:r>
    </w:p>
    <w:p>
      <w:pPr>
        <w:spacing w:after="100" w:before="0" w:line="280"/>
        <w:ind w:left="360" w:hanging="360"/>
        <w:jc w:val="left"/>
      </w:pPr>
      <w:r>
        <w:rPr>
          <w:rFonts w:ascii="Times New Roman" w:cs="Times New Roman" w:eastAsia="Times New Roman" w:hAnsi="Times New Roman"/>
          <w:sz w:val="22"/>
          <w:szCs w:val="22"/>
        </w:rPr>
        <w:t xml:space="preserve">Song, K., Tan, X., Qin, T., Lu, J., and Liu, T.-Y. (2019). MASS: Masked Sequence to Sequence Pre-training for Language Generation. In Proceedings of ICML, pages 5926–5936.</w:t>
      </w:r>
    </w:p>
    <w:p>
      <w:pPr>
        <w:spacing w:after="100" w:before="0" w:line="280"/>
        <w:ind w:left="360" w:hanging="360"/>
        <w:jc w:val="left"/>
      </w:pPr>
      <w:r>
        <w:rPr>
          <w:rFonts w:ascii="Times New Roman" w:cs="Times New Roman" w:eastAsia="Times New Roman" w:hAnsi="Times New Roman"/>
          <w:sz w:val="22"/>
          <w:szCs w:val="22"/>
        </w:rPr>
        <w:t xml:space="preserve">Sun, S., Cheng, Y., Gan, Z., and Liu, J. (2019). Patient Knowledge Distillation for BERT Model Compression. In Proceedings of EMNLP-IJCNLP, pages 4323–4332.</w:t>
      </w:r>
    </w:p>
    <w:p>
      <w:pPr>
        <w:spacing w:after="100" w:before="0" w:line="280"/>
        <w:ind w:left="360" w:hanging="360"/>
        <w:jc w:val="left"/>
      </w:pPr>
      <w:r>
        <w:rPr>
          <w:rFonts w:ascii="Times New Roman" w:cs="Times New Roman" w:eastAsia="Times New Roman" w:hAnsi="Times New Roman"/>
          <w:sz w:val="22"/>
          <w:szCs w:val="22"/>
        </w:rPr>
        <w:t xml:space="preserve">Sutskever, I., Vinyals, O., and Le, Q. V. (2014). Sequence to Sequence Learning with Neural Networks. In Advances in Neural Information Processing Systems.</w:t>
      </w:r>
    </w:p>
    <w:p>
      <w:pPr>
        <w:spacing w:after="100" w:before="0" w:line="280"/>
        <w:ind w:left="360" w:hanging="360"/>
        <w:jc w:val="left"/>
      </w:pPr>
      <w:r>
        <w:rPr>
          <w:rFonts w:ascii="Times New Roman" w:cs="Times New Roman" w:eastAsia="Times New Roman" w:hAnsi="Times New Roman"/>
          <w:sz w:val="22"/>
          <w:szCs w:val="22"/>
        </w:rPr>
        <w:t xml:space="preserve">Szegedy, C., Vanhoucke, V., Ioffe, S., Shlens, J., and Wojna, Z. (2016). Rethinking the Inception Architecture for Computer Vision. In Proceedings of CVPR, pages 2818–2826.</w:t>
      </w:r>
    </w:p>
    <w:p>
      <w:pPr>
        <w:spacing w:after="100" w:before="0" w:line="280"/>
        <w:ind w:left="360" w:hanging="360"/>
        <w:jc w:val="left"/>
      </w:pPr>
      <w:r>
        <w:rPr>
          <w:rFonts w:ascii="Times New Roman" w:cs="Times New Roman" w:eastAsia="Times New Roman" w:hAnsi="Times New Roman"/>
          <w:sz w:val="22"/>
          <w:szCs w:val="22"/>
        </w:rPr>
        <w:t xml:space="preserve">Tan, X., Ren, Y., He, D., Qin, T., Zhao, Z., and Liu, T.-Y. (2019). Multilingual Neural Machine Translation with Knowledge Distillation. In International Conference on Learning Representations.</w:t>
      </w:r>
    </w:p>
    <w:p>
      <w:pPr>
        <w:spacing w:after="100" w:before="0" w:line="280"/>
        <w:ind w:left="360" w:hanging="360"/>
        <w:jc w:val="left"/>
      </w:pPr>
      <w:r>
        <w:rPr>
          <w:rFonts w:ascii="Times New Roman" w:cs="Times New Roman" w:eastAsia="Times New Roman" w:hAnsi="Times New Roman"/>
          <w:sz w:val="22"/>
          <w:szCs w:val="22"/>
        </w:rPr>
        <w:t xml:space="preserve">Tang, Y., Tran, C., Li, X., Chen, P.-J., Goyal, N., Chaudhary, V., Gu, J., and Fan, A. (2021). Multilingual Translation from Denoising Pre-training. In Findings of ACL-IJCNLP, pages 3450–3466.</w:t>
      </w:r>
    </w:p>
    <w:p>
      <w:pPr>
        <w:spacing w:after="100" w:before="0" w:line="280"/>
        <w:ind w:left="360" w:hanging="360"/>
        <w:jc w:val="left"/>
      </w:pPr>
      <w:r>
        <w:rPr>
          <w:rFonts w:ascii="Times New Roman" w:cs="Times New Roman" w:eastAsia="Times New Roman" w:hAnsi="Times New Roman"/>
          <w:sz w:val="22"/>
          <w:szCs w:val="22"/>
        </w:rPr>
        <w:t xml:space="preserve">Tiedemann, J. (2020). The Tatoeba Translation Challenge — Realistic Data Sets for Low Resource and Multilingual MT. In Proceedings of WMT, pages 1174–1182.</w:t>
      </w:r>
    </w:p>
    <w:p>
      <w:pPr>
        <w:spacing w:after="100" w:before="0" w:line="280"/>
        <w:ind w:left="360" w:hanging="360"/>
        <w:jc w:val="left"/>
      </w:pPr>
      <w:r>
        <w:rPr>
          <w:rFonts w:ascii="Times New Roman" w:cs="Times New Roman" w:eastAsia="Times New Roman" w:hAnsi="Times New Roman"/>
          <w:sz w:val="22"/>
          <w:szCs w:val="22"/>
        </w:rPr>
        <w:t xml:space="preserve">Uchida, H. (1986). Fujitsu Machine Translation System: ATLAS. Future Generations Computer Systems, 2(3):95–100.</w:t>
      </w:r>
    </w:p>
    <w:p>
      <w:pPr>
        <w:spacing w:after="100" w:before="0" w:line="280"/>
        <w:ind w:left="360" w:hanging="360"/>
        <w:jc w:val="left"/>
      </w:pPr>
      <w:r>
        <w:rPr>
          <w:rFonts w:ascii="Times New Roman" w:cs="Times New Roman" w:eastAsia="Times New Roman" w:hAnsi="Times New Roman"/>
          <w:sz w:val="22"/>
          <w:szCs w:val="22"/>
        </w:rPr>
        <w:t xml:space="preserve">Vauquois, B. (1968). A Survey of Formal Grammars and Algorithms for Recognition and Transformation in Machine Translation. In Proceedings of IFIP Congress, pages 1114–1122.</w:t>
      </w:r>
    </w:p>
    <w:p>
      <w:pPr>
        <w:spacing w:after="100" w:before="0" w:line="280"/>
        <w:ind w:left="360" w:hanging="360"/>
        <w:jc w:val="left"/>
      </w:pPr>
      <w:r>
        <w:rPr>
          <w:rFonts w:ascii="Times New Roman" w:cs="Times New Roman" w:eastAsia="Times New Roman" w:hAnsi="Times New Roman"/>
          <w:sz w:val="22"/>
          <w:szCs w:val="22"/>
        </w:rPr>
        <w:t xml:space="preserve">Vaswani, A., Shazeer, N., Parmar, N., Uszkoreit, J., Jones, L., Gomez, A. N., Kaiser, Ł., and Polosukhin, I. (2017). Attention Is All You Need. In Advances in Neural Information Processing Systems.</w:t>
      </w:r>
    </w:p>
    <w:p>
      <w:pPr>
        <w:spacing w:after="100" w:before="0" w:line="280"/>
        <w:ind w:left="360" w:hanging="360"/>
        <w:jc w:val="left"/>
      </w:pPr>
      <w:r>
        <w:rPr>
          <w:rFonts w:ascii="Times New Roman" w:cs="Times New Roman" w:eastAsia="Times New Roman" w:hAnsi="Times New Roman"/>
          <w:sz w:val="22"/>
          <w:szCs w:val="22"/>
        </w:rPr>
        <w:t xml:space="preserve">Vázquez, R., Raganato, A., Tiedemann, J., and Creutz, M. (2019). Multilingual NMT with a Language-Independent Attention Bridge. In Proceedings of RepL4NLP, pages 33–39.</w:t>
      </w:r>
    </w:p>
    <w:p>
      <w:pPr>
        <w:spacing w:after="100" w:before="0" w:line="280"/>
        <w:ind w:left="360" w:hanging="360"/>
        <w:jc w:val="left"/>
      </w:pPr>
      <w:r>
        <w:rPr>
          <w:rFonts w:ascii="Times New Roman" w:cs="Times New Roman" w:eastAsia="Times New Roman" w:hAnsi="Times New Roman"/>
          <w:sz w:val="22"/>
          <w:szCs w:val="22"/>
        </w:rPr>
        <w:t xml:space="preserve">Voita, E., Talbot, D., Moiseev, F., Sennrich, R., and Titov, I. (2019). Analyzing Multi-Head Self-Attention: Specialized Heads Do the Heavy Lifting, the Rest Can Be Pruned. In Proceedings of ACL, pages 5797–5808.</w:t>
      </w:r>
    </w:p>
    <w:p>
      <w:pPr>
        <w:spacing w:after="100" w:before="0" w:line="280"/>
        <w:ind w:left="360" w:hanging="360"/>
        <w:jc w:val="left"/>
      </w:pPr>
      <w:r>
        <w:rPr>
          <w:rFonts w:ascii="Times New Roman" w:cs="Times New Roman" w:eastAsia="Times New Roman" w:hAnsi="Times New Roman"/>
          <w:sz w:val="22"/>
          <w:szCs w:val="22"/>
        </w:rPr>
        <w:t xml:space="preserve">Wang, R., Utiyama, M., and Sumita, E. (2018). Multilingual Neural Machine Translation with Soft Decoupled Encoding. In Proceedings of WMT, pages 105–112.</w:t>
      </w:r>
    </w:p>
    <w:p>
      <w:pPr>
        <w:spacing w:after="100" w:before="0" w:line="280"/>
        <w:ind w:left="360" w:hanging="360"/>
        <w:jc w:val="left"/>
      </w:pPr>
      <w:r>
        <w:rPr>
          <w:rFonts w:ascii="Times New Roman" w:cs="Times New Roman" w:eastAsia="Times New Roman" w:hAnsi="Times New Roman"/>
          <w:sz w:val="22"/>
          <w:szCs w:val="22"/>
        </w:rPr>
        <w:t xml:space="preserve">Wang, X., Tsvetkov, Y., and Neubig, G. (2019). Balancing Training for Multilingual Neural Machine Translation. In Proceedings of ACL, pages 8526–8537.</w:t>
      </w:r>
    </w:p>
    <w:p>
      <w:pPr>
        <w:spacing w:after="100" w:before="0" w:line="280"/>
        <w:ind w:left="360" w:hanging="360"/>
        <w:jc w:val="left"/>
      </w:pPr>
      <w:r>
        <w:rPr>
          <w:rFonts w:ascii="Times New Roman" w:cs="Times New Roman" w:eastAsia="Times New Roman" w:hAnsi="Times New Roman"/>
          <w:sz w:val="22"/>
          <w:szCs w:val="22"/>
        </w:rPr>
        <w:t xml:space="preserve">Wang, W., Zhang, J., Zhang, Y., Hwang, M.-Y., Zong, C., and Li, Z. (2021). Rethinking Zero-shot Neural Machine Translation: From a Perspective of Latent Variables. In Findings of EMNLP, pages 4321–4334.</w:t>
      </w:r>
    </w:p>
    <w:p>
      <w:pPr>
        <w:spacing w:after="100" w:before="0" w:line="280"/>
        <w:ind w:left="360" w:hanging="360"/>
        <w:jc w:val="left"/>
      </w:pPr>
      <w:r>
        <w:rPr>
          <w:rFonts w:ascii="Times New Roman" w:cs="Times New Roman" w:eastAsia="Times New Roman" w:hAnsi="Times New Roman"/>
          <w:sz w:val="22"/>
          <w:szCs w:val="22"/>
        </w:rPr>
        <w:t xml:space="preserve">Wang, Y., Wu, A., Neubig, G., and Hou, K. (2021). Selective Knowledge Distillation for Neural Machine Translation. In Proceedings of ACL-IJCNLP, pages 6456–6466.</w:t>
      </w:r>
    </w:p>
    <w:p>
      <w:pPr>
        <w:spacing w:after="100" w:before="0" w:line="280"/>
        <w:ind w:left="360" w:hanging="360"/>
        <w:jc w:val="left"/>
      </w:pPr>
      <w:r>
        <w:rPr>
          <w:rFonts w:ascii="Times New Roman" w:cs="Times New Roman" w:eastAsia="Times New Roman" w:hAnsi="Times New Roman"/>
          <w:sz w:val="22"/>
          <w:szCs w:val="22"/>
        </w:rPr>
        <w:t xml:space="preserve">Wu, Y., Schuster, M., Chen, Z., Le, Q. V., Norouzi, M., Macherey, W., Krikun, M., Cao, Y., Gao, Q., et al. (2016). Google's Neural Machine Translation System: Bridging the Gap between Human and Machine Translation. arXiv preprint arXiv:1609.08144.</w:t>
      </w:r>
    </w:p>
    <w:p>
      <w:pPr>
        <w:spacing w:after="100" w:before="0" w:line="280"/>
        <w:ind w:left="360" w:hanging="360"/>
        <w:jc w:val="left"/>
      </w:pPr>
      <w:r>
        <w:rPr>
          <w:rFonts w:ascii="Times New Roman" w:cs="Times New Roman" w:eastAsia="Times New Roman" w:hAnsi="Times New Roman"/>
          <w:sz w:val="22"/>
          <w:szCs w:val="22"/>
        </w:rPr>
        <w:t xml:space="preserve">Xiong, R., Yang, Y., He, D., Zheng, K., Zheng, S., Xing, C., Zhang, H., Lan, Y., Wang, L., and Liu, T. (2020). On Layer Normalization in the Transformer Architecture. In Proceedings of ICML, pages 10524–10533.</w:t>
      </w:r>
    </w:p>
    <w:p>
      <w:pPr>
        <w:spacing w:after="100" w:before="0" w:line="280"/>
        <w:ind w:left="360" w:hanging="360"/>
        <w:jc w:val="left"/>
      </w:pPr>
      <w:r>
        <w:rPr>
          <w:rFonts w:ascii="Times New Roman" w:cs="Times New Roman" w:eastAsia="Times New Roman" w:hAnsi="Times New Roman"/>
          <w:sz w:val="22"/>
          <w:szCs w:val="22"/>
        </w:rPr>
        <w:t xml:space="preserve">Xu, J., Crego, J., and Yvon, F. (2021). Vocabulary Learning via Optimal Transport for Neural Machine Translation. In Proceedings of ACL-IJCNLP, pages 7361–7373.</w:t>
      </w:r>
    </w:p>
    <w:p>
      <w:pPr>
        <w:spacing w:after="100" w:before="0" w:line="280"/>
        <w:ind w:left="360" w:hanging="360"/>
        <w:jc w:val="left"/>
      </w:pPr>
      <w:r>
        <w:rPr>
          <w:rFonts w:ascii="Times New Roman" w:cs="Times New Roman" w:eastAsia="Times New Roman" w:hAnsi="Times New Roman"/>
          <w:sz w:val="22"/>
          <w:szCs w:val="22"/>
        </w:rPr>
        <w:t xml:space="preserve">Xue, L., Constant, N., Roberts, A., Kale, M., Al-Rfou, R., Siddhant, A., Barua, A., and Raffel, C. (2021). mT5: A Massively Multilingual Pre-trained Text-to-Text Transformer. In Proceedings of NAACL-HLT, pages 483–498.</w:t>
      </w:r>
    </w:p>
    <w:p>
      <w:pPr>
        <w:spacing w:after="100" w:before="0" w:line="280"/>
        <w:ind w:left="360" w:hanging="360"/>
        <w:jc w:val="left"/>
      </w:pPr>
      <w:r>
        <w:rPr>
          <w:rFonts w:ascii="Times New Roman" w:cs="Times New Roman" w:eastAsia="Times New Roman" w:hAnsi="Times New Roman"/>
          <w:sz w:val="22"/>
          <w:szCs w:val="22"/>
        </w:rPr>
        <w:t xml:space="preserve">Zhang, B., Williams, P., Titov, I., and Sennrich, R. (2020). Improving Massively Multilingual Neural Machine Translation and Zero-Shot Translation. In Proceedings of ACL, pages 1628–1639.</w:t>
      </w:r>
    </w:p>
    <w:p>
      <w:pPr>
        <w:spacing w:after="100" w:before="0" w:line="280"/>
        <w:ind w:left="360" w:hanging="360"/>
        <w:jc w:val="left"/>
      </w:pPr>
      <w:r>
        <w:rPr>
          <w:rFonts w:ascii="Times New Roman" w:cs="Times New Roman" w:eastAsia="Times New Roman" w:hAnsi="Times New Roman"/>
          <w:sz w:val="22"/>
          <w:szCs w:val="22"/>
        </w:rPr>
        <w:t xml:space="preserve">Zhu, C., Yu, H., Cheng, S., and Luo, W. (2020). Language-aware Interlingua for Multilingual Neural Machine Translation. In Proceedings of ACL, pages 1650–1655.</w:t>
      </w:r>
    </w:p>
    <w:p>
      <w:pPr>
        <w:spacing w:after="100" w:before="0" w:line="280"/>
        <w:ind w:left="360" w:hanging="360"/>
        <w:jc w:val="left"/>
      </w:pPr>
      <w:r>
        <w:rPr>
          <w:rFonts w:ascii="Times New Roman" w:cs="Times New Roman" w:eastAsia="Times New Roman" w:hAnsi="Times New Roman"/>
          <w:sz w:val="22"/>
          <w:szCs w:val="22"/>
        </w:rPr>
        <w:t xml:space="preserve">Zhu, C., Wang, W., and Wang, J. (2022). Rectifying Ill-Formed Interlingual Space: A Framework for Zero-Shot Translation on Modularized Multilingual NMT. Mathematics, 10(22):4178.</w:t>
      </w:r>
    </w:p>
    <w:p>
      <w:pPr>
        <w:spacing w:after="100" w:before="0" w:line="280"/>
        <w:ind w:left="360" w:hanging="360"/>
        <w:jc w:val="left"/>
      </w:pPr>
      <w:r>
        <w:rPr>
          <w:rFonts w:ascii="Times New Roman" w:cs="Times New Roman" w:eastAsia="Times New Roman" w:hAnsi="Times New Roman"/>
          <w:sz w:val="22"/>
          <w:szCs w:val="22"/>
        </w:rPr>
        <w:t xml:space="preserve">Zoph, B., Yuret, D., May, J., and Knight, K. (2016). Transfer Learning for Low-Resource Neural Machine Translation. In Proceedings of EMNLP, pages 1568–1575.</w:t>
      </w:r>
    </w:p>
    <w:p>
      <w:pPr>
        <w:spacing w:after="100" w:before="0" w:line="280"/>
        <w:ind w:left="360" w:hanging="360"/>
        <w:jc w:val="left"/>
      </w:pPr>
      <w:r>
        <w:rPr>
          <w:rFonts w:ascii="Times New Roman" w:cs="Times New Roman" w:eastAsia="Times New Roman" w:hAnsi="Times New Roman"/>
          <w:sz w:val="22"/>
          <w:szCs w:val="22"/>
        </w:rPr>
        <w:t xml:space="preserve">Bojar, O., Chatterjee, R., Federmann, C., Graham, Y., Haddow, B., Huck, M., Jimeno Yepes, A., Koehn, P., Logacheva, V., Monz, C., et al. (2017). Findings of the 2017 Conference on Machine Translation (WMT17). In Proceedings of WMT, pages 169–214.</w:t>
      </w:r>
    </w:p>
    <w:p>
      <w:pPr>
        <w:spacing w:after="100" w:before="0" w:line="280"/>
        <w:ind w:left="360" w:hanging="360"/>
        <w:jc w:val="left"/>
      </w:pPr>
      <w:r>
        <w:rPr>
          <w:rFonts w:ascii="Times New Roman" w:cs="Times New Roman" w:eastAsia="Times New Roman" w:hAnsi="Times New Roman"/>
          <w:sz w:val="22"/>
          <w:szCs w:val="22"/>
        </w:rPr>
        <w:t xml:space="preserve">Cho, K., van Merriënboer, B., Gulcehre, C., Bahdanau, D., Bougares, F., Schwenk, H., and Bengio, Y. (2014). Learning Phrase Representations using RNN Encoder–Decoder for Statistical Machine Translation. In Proceedings of EMNLP, pages 1724–1734.</w:t>
      </w:r>
    </w:p>
    <w:p>
      <w:pPr>
        <w:spacing w:after="100" w:before="0" w:line="280"/>
        <w:ind w:left="360" w:hanging="360"/>
        <w:jc w:val="left"/>
      </w:pPr>
      <w:r>
        <w:rPr>
          <w:rFonts w:ascii="Times New Roman" w:cs="Times New Roman" w:eastAsia="Times New Roman" w:hAnsi="Times New Roman"/>
          <w:sz w:val="22"/>
          <w:szCs w:val="22"/>
        </w:rPr>
        <w:t xml:space="preserve">Edunov, S., Ott, M., Auli, M., and Grangier, D. (2018). Understanding Back-Translation at Scale. In Proceedings of EMNLP, pages 489–500.</w:t>
      </w:r>
    </w:p>
    <w:p>
      <w:pPr>
        <w:spacing w:after="100" w:before="0" w:line="280"/>
        <w:ind w:left="360" w:hanging="360"/>
        <w:jc w:val="left"/>
      </w:pPr>
      <w:r>
        <w:rPr>
          <w:rFonts w:ascii="Times New Roman" w:cs="Times New Roman" w:eastAsia="Times New Roman" w:hAnsi="Times New Roman"/>
          <w:sz w:val="22"/>
          <w:szCs w:val="22"/>
        </w:rPr>
        <w:t xml:space="preserve">Fan, A., Bhosale, S., Schwenk, H., Ma, Z., El-Kishky, A., Goyal, S., Baines, M., Celebi, O., Wenzek, G., Chaudhary, V., et al. (2021). Beyond English-Centric Multilingual Machine Translation. Journal of Machine Learning Research, 22(107):1–48.</w:t>
      </w:r>
    </w:p>
    <w:p>
      <w:pPr>
        <w:spacing w:after="100" w:before="0" w:line="280"/>
        <w:ind w:left="360" w:hanging="360"/>
        <w:jc w:val="left"/>
      </w:pPr>
      <w:r>
        <w:rPr>
          <w:rFonts w:ascii="Times New Roman" w:cs="Times New Roman" w:eastAsia="Times New Roman" w:hAnsi="Times New Roman"/>
          <w:sz w:val="22"/>
          <w:szCs w:val="22"/>
        </w:rPr>
        <w:t xml:space="preserve">Freitag, M. and Firat, O. (2020). Complete Multilingual Neural Machine Translation. In Proceedings of WMT, pages 550–560.</w:t>
      </w:r>
    </w:p>
    <w:p>
      <w:pPr>
        <w:spacing w:after="100" w:before="0" w:line="280"/>
        <w:ind w:left="360" w:hanging="360"/>
        <w:jc w:val="left"/>
      </w:pPr>
      <w:r>
        <w:rPr>
          <w:rFonts w:ascii="Times New Roman" w:cs="Times New Roman" w:eastAsia="Times New Roman" w:hAnsi="Times New Roman"/>
          <w:sz w:val="22"/>
          <w:szCs w:val="22"/>
        </w:rPr>
        <w:t xml:space="preserve">Goyal, N., Gao, C., Chaudhary, V., Chen, P.-J., Wenzek, G., Ju, D., Krishnan, S., Ranzato, M., Guzmán, F., and Fan, A. (2022). The Flores-101 Evaluation Benchmark for Low-Resource and Multilingual Machine Translation. Transactions of the Association for Computational Linguistics, 10:522–538.</w:t>
      </w:r>
    </w:p>
    <w:p>
      <w:pPr>
        <w:spacing w:after="100" w:before="0" w:line="280"/>
        <w:ind w:left="360" w:hanging="360"/>
        <w:jc w:val="left"/>
      </w:pPr>
      <w:r>
        <w:rPr>
          <w:rFonts w:ascii="Times New Roman" w:cs="Times New Roman" w:eastAsia="Times New Roman" w:hAnsi="Times New Roman"/>
          <w:sz w:val="22"/>
          <w:szCs w:val="22"/>
        </w:rPr>
        <w:t xml:space="preserve">Howard, A. G., Zhu, M., Chen, B., Kalenichenko, D., Wang, W., Weyand, T., Andreetto, M., and Adam, H. (2017). MobileNets: Efficient Convolutional Neural Networks for Mobile Vision Applications. arXiv preprint arXiv:1704.04861.</w:t>
      </w:r>
    </w:p>
    <w:p>
      <w:pPr>
        <w:spacing w:after="100" w:before="0" w:line="280"/>
        <w:ind w:left="360" w:hanging="360"/>
        <w:jc w:val="left"/>
      </w:pPr>
      <w:r>
        <w:rPr>
          <w:rFonts w:ascii="Times New Roman" w:cs="Times New Roman" w:eastAsia="Times New Roman" w:hAnsi="Times New Roman"/>
          <w:sz w:val="22"/>
          <w:szCs w:val="22"/>
        </w:rPr>
        <w:t xml:space="preserve">Jacob, B., Kligys, S., Chen, B., Zhu, M., Tang, M., Howard, A., Adam, H., and Kalenichenko, D. (2018). Quantization and Training of Neural Networks for Efficient Integer-Arithmetic-Only Inference. In Proceedings of CVPR, pages 2704–2713.</w:t>
      </w:r>
    </w:p>
    <w:p>
      <w:pPr>
        <w:spacing w:after="100" w:before="0" w:line="280"/>
        <w:ind w:left="360" w:hanging="360"/>
        <w:jc w:val="left"/>
      </w:pPr>
      <w:r>
        <w:rPr>
          <w:rFonts w:ascii="Times New Roman" w:cs="Times New Roman" w:eastAsia="Times New Roman" w:hAnsi="Times New Roman"/>
          <w:sz w:val="22"/>
          <w:szCs w:val="22"/>
        </w:rPr>
        <w:t xml:space="preserve">Lin, Z., Feng, M., Santos, C. N. d., Yu, M., Xiang, B., Zhou, B., and Bengio, Y. (2017). A Structured Self-Attentive Sentence Embedding. In International Conference on Learning Representations.</w:t>
      </w:r>
    </w:p>
    <w:p>
      <w:pPr>
        <w:spacing w:after="100" w:before="0" w:line="280"/>
        <w:ind w:left="360" w:hanging="360"/>
        <w:jc w:val="left"/>
      </w:pPr>
      <w:r>
        <w:rPr>
          <w:rFonts w:ascii="Times New Roman" w:cs="Times New Roman" w:eastAsia="Times New Roman" w:hAnsi="Times New Roman"/>
          <w:sz w:val="22"/>
          <w:szCs w:val="22"/>
        </w:rPr>
        <w:t xml:space="preserve">Sanh, V., Debut, L., Chaumond, J., and Wolf, T. (2019). DistilBERT, a Distilled Version of BERT: Smaller, Faster, Cheaper and Lighter. In NeurIPS EMC² Workshop.</w:t>
      </w:r>
    </w:p>
    <w:p>
      <w:pPr>
        <w:spacing w:after="100" w:before="0" w:line="280"/>
        <w:ind w:left="360" w:hanging="360"/>
        <w:jc w:val="left"/>
      </w:pPr>
      <w:r>
        <w:rPr>
          <w:rFonts w:ascii="Times New Roman" w:cs="Times New Roman" w:eastAsia="Times New Roman" w:hAnsi="Times New Roman"/>
          <w:sz w:val="22"/>
          <w:szCs w:val="22"/>
        </w:rPr>
        <w:t xml:space="preserve">Shaham, U., Elazar, Y., and Goldberg, Y. (2023). Causes and Cures for Interference in Multilingual Translation. In Proceedings of ACL, pages 15849–15863.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Chapter 5 — Implementation, Experimental Results, and Conclusion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8da1f5955af6617005a57a239e8b9e552662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Implementation, Experimental Results, and Conclusion</dc:title>
  <dc:creator>PhD Thesis Author</dc:creator>
  <cp:lastModifiedBy>Un-named</cp:lastModifiedBy>
  <cp:revision>1</cp:revision>
  <dcterms:created xsi:type="dcterms:W3CDTF">2026-05-12T11:36:13.385Z</dcterms:created>
  <dcterms:modified xsi:type="dcterms:W3CDTF">2026-05-12T11:36:13.385Z</dcterms:modified>
</cp:coreProperties>
</file>

<file path=docProps/custom.xml><?xml version="1.0" encoding="utf-8"?>
<Properties xmlns="http://schemas.openxmlformats.org/officeDocument/2006/custom-properties" xmlns:vt="http://schemas.openxmlformats.org/officeDocument/2006/docPropsVTypes"/>
</file>