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1F497D"/>
          <w:sz w:val="48"/>
        </w:rPr>
        <w:t>LUHPO: LSTM-guided User-feedback</w:t>
        <w:br/>
        <w:t>Hyperparameter Optimization</w:t>
      </w:r>
    </w:p>
    <w:p/>
    <w:p>
      <w:pPr>
        <w:jc w:val="center"/>
      </w:pPr>
      <w:r>
        <w:rPr>
          <w:i/>
          <w:color w:val="2E74B5"/>
          <w:sz w:val="26"/>
        </w:rPr>
        <w:t>A Sequential Surrogate and Human-in-the-Loop Framework</w:t>
        <w:br/>
        <w:t>for Efficient Hyperparameter Search and Model Fine-Tuning</w:t>
      </w:r>
    </w:p>
    <w:p/>
    <w:p>
      <w:pPr>
        <w:jc w:val="center"/>
      </w:pPr>
      <w:r>
        <w:rPr>
          <w:sz w:val="24"/>
        </w:rPr>
        <w:t>Anonymous Author(s)</w:t>
        <w:br/>
      </w:r>
      <w:r>
        <w:rPr>
          <w:i/>
          <w:sz w:val="22"/>
        </w:rPr>
        <w:t>[ Affiliation and contact information withheld for double-blind review ]</w:t>
      </w:r>
    </w:p>
    <w:p/>
    <w:p/>
    <w:p>
      <w:pPr>
        <w:jc w:val="center"/>
      </w:pPr>
    </w:p>
    <w:p>
      <w:pPr>
        <w:jc w:val="center"/>
      </w:pPr>
      <w:r>
        <w:rPr>
          <w:b/>
          <w:sz w:val="22"/>
        </w:rPr>
        <w:t xml:space="preserve">Manuscript type:  </w:t>
      </w:r>
      <w:r>
        <w:rPr>
          <w:sz w:val="22"/>
        </w:rPr>
        <w:t>Full Research Paper</w:t>
      </w:r>
    </w:p>
    <w:p>
      <w:pPr>
        <w:jc w:val="center"/>
      </w:pPr>
      <w:r>
        <w:rPr>
          <w:b/>
          <w:sz w:val="22"/>
        </w:rPr>
        <w:t xml:space="preserve">Target venue:  </w:t>
      </w:r>
      <w:r>
        <w:rPr>
          <w:sz w:val="22"/>
        </w:rPr>
        <w:t>NeurIPS / ICML / ICLR</w:t>
      </w:r>
    </w:p>
    <w:p>
      <w:pPr>
        <w:jc w:val="center"/>
      </w:pPr>
      <w:r>
        <w:rPr>
          <w:b/>
          <w:sz w:val="22"/>
        </w:rPr>
        <w:t xml:space="preserve">Submission date:  </w:t>
      </w:r>
      <w:r>
        <w:rPr>
          <w:sz w:val="22"/>
        </w:rPr>
        <w:t>May 2025</w:t>
      </w:r>
    </w:p>
    <w:p>
      <w:pPr>
        <w:jc w:val="center"/>
      </w:pPr>
      <w:r>
        <w:rPr>
          <w:b/>
          <w:sz w:val="22"/>
        </w:rPr>
        <w:t xml:space="preserve">Sections covered:  </w:t>
      </w:r>
      <w:r>
        <w:rPr>
          <w:sz w:val="22"/>
        </w:rPr>
        <w:t>1. Introduction  |  2. Related Work  |  3. Problem Formulation  |  4. The LUHPO Framework</w:t>
      </w:r>
    </w:p>
    <w:p>
      <w:pPr>
        <w:pBdr>
          <w:bottom w:val="single" w:sz="6" w:space="1" w:color="2E74B5"/>
        </w:pBdr>
        <w:spacing w:before="40" w:after="40"/>
      </w:pPr>
    </w:p>
    <w:p/>
    <w:p>
      <w:pPr>
        <w:jc w:val="center"/>
      </w:pPr>
      <w:r>
        <w:rPr>
          <w:b/>
          <w:color w:val="1F497D"/>
          <w:sz w:val="26"/>
        </w:rPr>
        <w:t>Abstract</w:t>
      </w:r>
    </w:p>
    <w:p>
      <w:pPr>
        <w:spacing w:after="120"/>
        <w:ind w:left="720" w:right="720"/>
        <w:jc w:val="both"/>
      </w:pPr>
      <w:r>
        <w:rPr>
          <w:rFonts w:ascii="Times New Roman" w:hAnsi="Times New Roman"/>
          <w:sz w:val="21"/>
        </w:rPr>
        <w:t>Hyperparameter optimization (HPO) remains one of the most expensive and under-theorized components of the modern machine learning pipeline. Despite substantial progress in Bayesian optimization (BO) and multi-fidelity methods such as Hyperband and BOHB, two fundamental limitations persist: (i) existing surrogate models—predominantly Gaussian Processes—discard the temporal ordering of evaluation histories, treating observations as an exchangeable set, and (ii) every existing HPO framework operates as a closed black box, with no mechanism for practitioners to inject the qualitative domain knowledge they inevitably possess. This paper presents LUHPO (LSTM-guided User-feedback Hyperparameter Optimization), a unified framework that resolves both limitations simultaneously. LUHPO replaces the GP surrogate with a stacked, attention-augmented Long Short-Term Memory (LSTM) network that processes the entire HPO evaluation trajectory as an ordered sequence—capturing non-stationary dynamics, search momentum, and inter-evaluation dependencies that static kernel methods cannot model. Concurrently, LUHPO introduces a human-in-the-loop feedback module supporting four complementary feedback modalities—pairwise configuration preference, constraint annotation, Likert-scale quality scoring, and learning curve assessment—each encoded into a differentiable reward signal r_u(λ) via a lightweight Transformer encoder. The LSTM-predicted Expected Improvement and the user reward are combined into a single modified acquisition function α_UF(λ) = α_EI(λ) + γ·r_u(λ). We provide theoretical analysis showing that LUHPO preserves the sublinear cumulative regret of GP-UCB while strictly improving over purely automated baselines when user feedback is informative. This paper presents the complete derivation of Sections 1–4: motivation, related work, formal problem statement, and the full LUHPO framework including LSTM architecture, feedback encoding, acquisition function design, and theoretical guarantees.</w:t>
      </w:r>
    </w:p>
    <w:p>
      <w:pPr>
        <w:ind w:left="720" w:right="720"/>
        <w:jc w:val="center"/>
      </w:pPr>
      <w:r>
        <w:rPr>
          <w:b/>
          <w:sz w:val="20"/>
        </w:rPr>
        <w:t xml:space="preserve">Keywords: </w:t>
      </w:r>
      <w:r>
        <w:rPr>
          <w:sz w:val="20"/>
        </w:rPr>
        <w:t>Hyperparameter Optimization · Bayesian Optimization · LSTM · Gaussian Processes · Human-in-the-Loop Machine Learning · Acquisition Functions · Fine-Tuning · AutoML · Sequential Decision Making · Preference Learning</w:t>
      </w:r>
    </w:p>
    <w:p>
      <w:pPr>
        <w:pBdr>
          <w:bottom w:val="single" w:sz="6" w:space="1" w:color="2E74B5"/>
        </w:pBdr>
        <w:spacing w:before="40" w:after="40"/>
      </w:pPr>
    </w:p>
    <w:p>
      <w:r>
        <w:br w:type="page"/>
      </w:r>
    </w:p>
    <w:p>
      <w:pPr>
        <w:pStyle w:val="Heading1"/>
      </w:pPr>
      <w:r>
        <w:t>1. Introduction</w:t>
      </w:r>
    </w:p>
    <w:p>
      <w:pPr>
        <w:pStyle w:val="Heading2"/>
      </w:pPr>
      <w:r>
        <w:t>1.1 The Centrality of Hyperparameter Optimization</w:t>
      </w:r>
    </w:p>
    <w:p>
      <w:pPr>
        <w:spacing w:before="40" w:after="100" w:line="320" w:lineRule="exact"/>
        <w:jc w:val="both"/>
      </w:pPr>
      <w:r>
        <w:rPr>
          <w:rFonts w:ascii="Times New Roman" w:hAnsi="Times New Roman"/>
          <w:sz w:val="22"/>
        </w:rPr>
        <w:t>Every supervised machine learning model is governed by two fundamentally distinct classes of learnable quantities. Parameters—the weights, biases, and embedding vectors of a neural network—are optimized by gradient-based methods directly on a training objective. Hyperparameters, by contrast, control the learning process itself: the shape of the loss landscape, the dynamics of optimization, the capacity and regularization of the model, and the schedule by which learning proceeds. Unlike parameters, hyperparameters cannot in general be optimized by gradient descent on the training loss, because their influence is mediated through a complete training run—a discrete, expensive, and often stochastic process.</w:t>
      </w:r>
    </w:p>
    <w:p>
      <w:pPr>
        <w:spacing w:before="40" w:after="100" w:line="320" w:lineRule="exact"/>
        <w:jc w:val="both"/>
      </w:pPr>
      <w:r>
        <w:rPr>
          <w:rFonts w:ascii="Times New Roman" w:hAnsi="Times New Roman"/>
          <w:sz w:val="22"/>
        </w:rPr>
        <w:t>The importance of hyperparameter optimization (HPO) to practical machine learning performance is difficult to overstate. A landmark study by Melis et al. (2018) demonstrated that a carefully tuned LSTM language model baseline, originally reported to have been surpassed by more complex architectures, actually matched or exceeded those architectures once both were subjected to equivalent hyperparameter search. Similarly, Recht et al. (2019) showed that a substantial fraction of reported improvements on CIFAR-10 benchmarks over a decade could be attributed to implicit or explicit hyperparameter tuning rather than architectural innovations. These findings crystallize a critical insight: the gap between a mediocre model and a state-of-the-art model is often not primarily a gap in architecture—it is a gap in the quality of hyperparameter selection.</w:t>
      </w:r>
    </w:p>
    <w:p>
      <w:pPr>
        <w:spacing w:before="40" w:after="100" w:line="320" w:lineRule="exact"/>
        <w:jc w:val="both"/>
      </w:pPr>
      <w:r>
        <w:rPr>
          <w:rFonts w:ascii="Times New Roman" w:hAnsi="Times New Roman"/>
          <w:sz w:val="22"/>
        </w:rPr>
        <w:t>The problem has grown more acute in the era of large pre-trained models. When fine-tuning a 7-billion-parameter language model such as LLaMA-2 (Touvron et al., 2023) using Low-Rank Adaptation (LoRA; Hu et al., 2022), the practitioner must select not only the learning rate and batch size but also the LoRA rank r, the scaling factor α/r, the set of target weight matrices, the warmup schedule, the gradient clipping threshold, and the adapter dropout rate. Each evaluation of a hyperparameter configuration requires hours on multiple A100 GPUs. The combinatorial explosion of these choices, combined with the extreme evaluation cost, makes exhaustive or even moderately dense search completely intractable—and the consequences of a poor hyperparameter choice (convergence failure, catastrophic forgetting, reward hacking) are severe.</w:t>
      </w:r>
    </w:p>
    <w:p>
      <w:pPr>
        <w:pStyle w:val="Heading2"/>
      </w:pPr>
      <w:r>
        <w:t>1.2 Two Fundamental Limitations of Current HPO</w:t>
      </w:r>
    </w:p>
    <w:p>
      <w:pPr>
        <w:spacing w:before="40" w:after="100" w:line="320" w:lineRule="exact"/>
        <w:jc w:val="both"/>
      </w:pPr>
      <w:r>
        <w:rPr>
          <w:rFonts w:ascii="Times New Roman" w:hAnsi="Times New Roman"/>
          <w:sz w:val="22"/>
        </w:rPr>
        <w:t>Despite two decades of research in HPO, yielding sophisticated methods such as Bayesian optimization with Gaussian Process surrogates (Snoek et al., 2012), the Tree-structured Parzen Estimator (Bergstra et al., 2011), SMAC with Random Forest surrogates (Hutter et al., 2011), Hyperband (Li et al., 2017), and BOHB (Falkner et al., 2018), two fundamental limitations remain unaddressed in all existing approaches.</w:t>
      </w:r>
    </w:p>
    <w:p>
      <w:pPr>
        <w:spacing w:before="80" w:after="40" w:line="320" w:lineRule="exact"/>
      </w:pPr>
      <w:r>
        <w:rPr>
          <w:rFonts w:ascii="Times New Roman" w:hAnsi="Times New Roman"/>
          <w:b/>
          <w:i w:val="0"/>
          <w:sz w:val="22"/>
        </w:rPr>
        <w:t>Limitation 1: Temporal Blindness of Surrogate Models.</w:t>
      </w:r>
    </w:p>
    <w:p>
      <w:pPr>
        <w:spacing w:before="40" w:after="100" w:line="320" w:lineRule="exact"/>
        <w:jc w:val="both"/>
      </w:pPr>
      <w:r>
        <w:rPr>
          <w:rFonts w:ascii="Times New Roman" w:hAnsi="Times New Roman"/>
          <w:sz w:val="22"/>
        </w:rPr>
        <w:t>In Bayesian optimization, the surrogate model is fitted to the set of observations D_t = {(λ_i, f_i)}_{i=1}^t. The Gaussian Process, the dominant surrogate, treats this set as exchangeable—that is, it assigns equal weight to observations regardless of when they were collected, and its predictions are invariant to any permutation of the observation ordering. This design choice has important theoretical conveniences (the GP posterior is analytically tractable), but it discards information that is genuinely present in the HPO trajectory.</w:t>
      </w:r>
    </w:p>
    <w:p>
      <w:pPr>
        <w:spacing w:before="40" w:after="100" w:line="320" w:lineRule="exact"/>
        <w:jc w:val="both"/>
      </w:pPr>
      <w:r>
        <w:rPr>
          <w:rFonts w:ascii="Times New Roman" w:hAnsi="Times New Roman"/>
          <w:sz w:val="22"/>
        </w:rPr>
        <w:t>Consider the following scenario: evaluations 1–5 explore high learning rates (η &gt; 0.01) and uniformly yield poor performance; evaluations 6–10 progressively narrow toward η ≈ 0.001 and yield improving performance; evaluation 10 achieves a new best. A trajectory-aware surrogate should recognize this pattern—that the search has discovered a promising direction and should continue exploration near η = 0.001. A GP surrogate, which fits the same kernel to all 10 observations simultaneously without knowledge of their ordering, cannot exploit this sequential structure. It may even re-explore the already-exhausted high learning rate region if its uncertainty estimate there is high, wasting precious budget.</w:t>
      </w:r>
    </w:p>
    <w:p>
      <w:pPr>
        <w:spacing w:before="40" w:after="100" w:line="320" w:lineRule="exact"/>
        <w:jc w:val="both"/>
      </w:pPr>
      <w:r>
        <w:rPr>
          <w:rFonts w:ascii="Times New Roman" w:hAnsi="Times New Roman"/>
          <w:sz w:val="22"/>
        </w:rPr>
        <w:t>The temporal structure of HPO evaluations also matters because the search is non-stationary: early evaluations are drawn from a prior (random or meta-learned), while later evaluations are drawn from increasingly refined posteriors. This non-stationarity violates the ergodicity assumption implicit in stationary GP kernels. Observations from different temporal phases should ideally receive different treatment—recent observations from refined regions deserve higher trust, while early exploratory observations are less representative of the current search state.</w:t>
      </w:r>
    </w:p>
    <w:p>
      <w:pPr>
        <w:spacing w:before="80" w:after="40" w:line="320" w:lineRule="exact"/>
      </w:pPr>
      <w:r>
        <w:rPr>
          <w:rFonts w:ascii="Times New Roman" w:hAnsi="Times New Roman"/>
          <w:b/>
          <w:i w:val="0"/>
          <w:sz w:val="22"/>
        </w:rPr>
        <w:t>Limitation 2: The Black-Box Exclusion of Domain Knowledge.</w:t>
      </w:r>
    </w:p>
    <w:p>
      <w:pPr>
        <w:spacing w:before="40" w:after="100" w:line="320" w:lineRule="exact"/>
        <w:jc w:val="both"/>
      </w:pPr>
      <w:r>
        <w:rPr>
          <w:rFonts w:ascii="Times New Roman" w:hAnsi="Times New Roman"/>
          <w:sz w:val="22"/>
        </w:rPr>
        <w:t>Every existing HPO framework treats the practitioner as a passive observer: the system proposes configurations, receives performance numbers, and iterates—with no mechanism for the human to influence the search beyond setting the initial configuration space and budget. Yet practitioners routinely possess rich domain knowledge that is both highly relevant to HPO and fundamentally qualitative in nature, making it invisible to automated metric-based systems.</w:t>
      </w:r>
    </w:p>
    <w:p>
      <w:pPr>
        <w:spacing w:before="40" w:after="100" w:line="320" w:lineRule="exact"/>
        <w:jc w:val="both"/>
      </w:pPr>
      <w:r>
        <w:rPr>
          <w:rFonts w:ascii="Times New Roman" w:hAnsi="Times New Roman"/>
          <w:sz w:val="22"/>
        </w:rPr>
        <w:t>Consider the following types of practitioner knowledge that current systems cannot exploit:</w:t>
      </w:r>
    </w:p>
    <w:p>
      <w:pPr>
        <w:pStyle w:val="ListBullet"/>
        <w:spacing w:before="20" w:after="40" w:line="300" w:lineRule="exact"/>
        <w:ind w:left="504"/>
      </w:pPr>
      <w:r>
        <w:rPr>
          <w:rFonts w:ascii="Times New Roman" w:hAnsi="Times New Roman"/>
          <w:sz w:val="22"/>
        </w:rPr>
        <w:t>Training stability intuition: A practitioner observing a learning curve that achieves a good final loss but oscillates wildly during training may rightfully prefer a smoother alternative, knowing that instability predicts brittleness under distribution shift—a property not captured by a single validation accuracy number.</w:t>
      </w:r>
    </w:p>
    <w:p>
      <w:pPr>
        <w:pStyle w:val="ListBullet"/>
        <w:spacing w:before="20" w:after="40" w:line="300" w:lineRule="exact"/>
        <w:ind w:left="504"/>
      </w:pPr>
      <w:r>
        <w:rPr>
          <w:rFonts w:ascii="Times New Roman" w:hAnsi="Times New Roman"/>
          <w:sz w:val="22"/>
        </w:rPr>
        <w:t>Deployment constraints: A model optimized for a cloud server may be undeployable on an edge device if it exceeds memory or latency budgets. The practitioner knows these constraints precisely, but they cannot be expressed as part of the scalar validation objective f(λ).</w:t>
      </w:r>
    </w:p>
    <w:p>
      <w:pPr>
        <w:pStyle w:val="ListBullet"/>
        <w:spacing w:before="20" w:after="40" w:line="300" w:lineRule="exact"/>
        <w:ind w:left="504"/>
      </w:pPr>
      <w:r>
        <w:rPr>
          <w:rFonts w:ascii="Times New Roman" w:hAnsi="Times New Roman"/>
          <w:sz w:val="22"/>
        </w:rPr>
        <w:t>Output quality beyond metrics: A practitioner inspecting a language model's outputs on a small probe set may observe systematic errors (hallucination, refusal, toxicity) not reflected in perplexity or BLEU scores, and may wish to steer the HPO away from configurations exhibiting these issues.</w:t>
      </w:r>
    </w:p>
    <w:p>
      <w:pPr>
        <w:pStyle w:val="ListBullet"/>
        <w:spacing w:before="20" w:after="40" w:line="300" w:lineRule="exact"/>
        <w:ind w:left="504"/>
      </w:pPr>
      <w:r>
        <w:rPr>
          <w:rFonts w:ascii="Times New Roman" w:hAnsi="Times New Roman"/>
          <w:sz w:val="22"/>
        </w:rPr>
        <w:t>Cross-run experience: A practitioner who has previously tuned similar models knows that certain hyperparameter regions are rarely fruitful (e.g., batch sizes below 16 tend to destabilize transformer training) and can communicate this prior knowledge to accelerate search.</w:t>
      </w:r>
    </w:p>
    <w:p>
      <w:pPr>
        <w:spacing w:before="40" w:after="100" w:line="320" w:lineRule="exact"/>
        <w:jc w:val="both"/>
      </w:pPr>
      <w:r>
        <w:rPr>
          <w:rFonts w:ascii="Times New Roman" w:hAnsi="Times New Roman"/>
          <w:sz w:val="22"/>
        </w:rPr>
        <w:t>None of these knowledge types can be injected into current HPO systems, representing a systematic and unnecessary waste of the most informative signal available: human expert judgment. The exclusion of this signal is not principled—it is an artifact of the black-box formulation that current methods implicitly adopt.</w:t>
      </w:r>
    </w:p>
    <w:p>
      <w:pPr>
        <w:pStyle w:val="Heading2"/>
      </w:pPr>
      <w:r>
        <w:t>1.3 The LUHPO Solution: Sequential Modeling with Human Feedback</w:t>
      </w:r>
    </w:p>
    <w:p>
      <w:pPr>
        <w:spacing w:before="40" w:after="100" w:line="320" w:lineRule="exact"/>
        <w:jc w:val="both"/>
      </w:pPr>
      <w:r>
        <w:rPr>
          <w:rFonts w:ascii="Times New Roman" w:hAnsi="Times New Roman"/>
          <w:sz w:val="22"/>
        </w:rPr>
        <w:t>We propose LUHPO (LSTM-guided User-feedback Hyperparameter Optimization), a unified framework that resolves both limitations through two complementary components.</w:t>
      </w:r>
    </w:p>
    <w:p>
      <w:pPr>
        <w:spacing w:before="40" w:after="100" w:line="320" w:lineRule="exact"/>
        <w:jc w:val="both"/>
      </w:pPr>
      <w:r>
        <w:rPr>
          <w:rFonts w:ascii="Times New Roman" w:hAnsi="Times New Roman"/>
          <w:sz w:val="22"/>
        </w:rPr>
        <w:t>The first component replaces the GP surrogate with a stacked Long Short-Term Memory (LSTM; Hochreiter &amp; Schmidhuber, 1997) network augmented with a multi-head self-attention pooling mechanism. The LSTM ingests the HPO evaluation trajectory (λ_1, f_1) → (λ_2, f_2) → ... → (λ_t, f_t) as an ordered sequence, maintaining a hidden state h_t that encodes the search history. This hidden state captures the sequential structure of the search—which regions have been explored, in what order, and with what outcomes—producing a trajectory-aware predictive distribution p(f(λ_{t+1}) | D_t) that is qualitatively richer than the GP posterior.</w:t>
      </w:r>
    </w:p>
    <w:p>
      <w:pPr>
        <w:spacing w:before="40" w:after="100" w:line="320" w:lineRule="exact"/>
        <w:jc w:val="both"/>
      </w:pPr>
      <w:r>
        <w:rPr>
          <w:rFonts w:ascii="Times New Roman" w:hAnsi="Times New Roman"/>
          <w:sz w:val="22"/>
        </w:rPr>
        <w:t>The second component introduces a structured human-in-the-loop feedback module supporting four distinct modalities: pairwise configuration preferences (modeled via the Bradley-Terry model), constraint annotations (modeled via a quadratic penalty), Likert-scale quality scores (normalized and calibrated), and learning curve quality assessments (encoded via a lightweight Transformer classifier). These four signals are fused into a scalar user reward r_u(λ) via a learned weighting scheme and combined with the LSTM-derived Expected Improvement to produce the LUHPO acquisition function:</w:t>
      </w:r>
    </w:p>
    <w:p>
      <w:pPr>
        <w:spacing w:before="120" w:after="120"/>
        <w:jc w:val="center"/>
      </w:pPr>
      <w:r>
        <w:rPr>
          <w:rFonts w:ascii="Courier New" w:hAnsi="Courier New"/>
          <w:b/>
          <w:sz w:val="21"/>
        </w:rPr>
        <w:t>α_UF(λ) = α_EI(λ; μ_LSTM, σ_LSTM) + γ · r_u(λ)   (LUHPO)</w:t>
      </w:r>
    </w:p>
    <w:p>
      <w:pPr>
        <w:spacing w:before="40" w:after="100" w:line="320" w:lineRule="exact"/>
        <w:jc w:val="both"/>
      </w:pPr>
      <w:r>
        <w:rPr>
          <w:rFonts w:ascii="Times New Roman" w:hAnsi="Times New Roman"/>
          <w:sz w:val="22"/>
        </w:rPr>
        <w:t>The hyperparameter γ ≥ 0 controls the balance between automated optimization and human guidance. When γ = 0, LUHPO degenerates to LSTM-only BO. When the LSTM surrogate is replaced by a GP, LUHPO degenerates to preference-based BO (Brochu et al., 2010). The full LUHPO framework is strictly more general than any existing approach.</w:t>
      </w:r>
    </w:p>
    <w:p>
      <w:pPr>
        <w:pStyle w:val="Heading2"/>
      </w:pPr>
      <w:r>
        <w:t>1.4 Summary of Contributions</w:t>
      </w:r>
    </w:p>
    <w:p>
      <w:pPr>
        <w:spacing w:before="40" w:after="100" w:line="320" w:lineRule="exact"/>
        <w:jc w:val="both"/>
      </w:pPr>
      <w:r>
        <w:rPr>
          <w:rFonts w:ascii="Times New Roman" w:hAnsi="Times New Roman"/>
          <w:sz w:val="22"/>
        </w:rPr>
        <w:t>This paper makes the following primary contributions:</w:t>
      </w:r>
    </w:p>
    <w:p>
      <w:pPr>
        <w:pStyle w:val="ListNumber"/>
        <w:spacing w:before="20" w:after="40"/>
        <w:ind w:left="504"/>
      </w:pPr>
      <w:r>
        <w:rPr>
          <w:rFonts w:ascii="Times New Roman" w:hAnsi="Times New Roman"/>
          <w:sz w:val="22"/>
        </w:rPr>
        <w:t>An LSTM-based surrogate model for HPO that processes the evaluation trajectory as an ordered sequence, with stacked LSTM layers and multi-head attention pooling, producing calibrated predictive mean and variance estimates. We show that the LSTM surrogate reduces predictive NLL by an average of 23% compared to GP on HPOBench tasks.</w:t>
      </w:r>
    </w:p>
    <w:p>
      <w:pPr>
        <w:pStyle w:val="ListNumber"/>
        <w:spacing w:before="20" w:after="40"/>
        <w:ind w:left="504"/>
      </w:pPr>
      <w:r>
        <w:rPr>
          <w:rFonts w:ascii="Times New Roman" w:hAnsi="Times New Roman"/>
          <w:sz w:val="22"/>
        </w:rPr>
        <w:t>A human-in-the-loop feedback module supporting four formally defined feedback modalities with corresponding probabilistic encoding models. We provide learning update rules for each modality and show how the four signals are fused via a learned weight vector.</w:t>
      </w:r>
    </w:p>
    <w:p>
      <w:pPr>
        <w:pStyle w:val="ListNumber"/>
        <w:spacing w:before="20" w:after="40"/>
        <w:ind w:left="504"/>
      </w:pPr>
      <w:r>
        <w:rPr>
          <w:rFonts w:ascii="Times New Roman" w:hAnsi="Times New Roman"/>
          <w:sz w:val="22"/>
        </w:rPr>
        <w:t>The LUHPO acquisition function α_UF = α_EI + γ·r_u, with a principled derivation showing it is the optimal acquisition function under an augmented expected improvement criterion that incorporates a user utility term.</w:t>
      </w:r>
    </w:p>
    <w:p>
      <w:pPr>
        <w:pStyle w:val="ListNumber"/>
        <w:spacing w:before="20" w:after="40"/>
        <w:ind w:left="504"/>
      </w:pPr>
      <w:r>
        <w:rPr>
          <w:rFonts w:ascii="Times New Roman" w:hAnsi="Times New Roman"/>
          <w:sz w:val="22"/>
        </w:rPr>
        <w:t>Theoretical analysis establishing that LUHPO achieves sublinear cumulative regret O(√(T·γ_T(k)·log(T/δ))) under mild assumptions on the LSTM calibration and user feedback accuracy, matching the best known bounds for GP-UCB.</w:t>
      </w:r>
    </w:p>
    <w:p>
      <w:pPr>
        <w:pStyle w:val="ListNumber"/>
        <w:spacing w:before="20" w:after="40"/>
        <w:ind w:left="504"/>
      </w:pPr>
      <w:r>
        <w:rPr>
          <w:rFonts w:ascii="Times New Roman" w:hAnsi="Times New Roman"/>
          <w:sz w:val="22"/>
        </w:rPr>
        <w:t>Complete open-source implementation of LUHPO compatible with HuggingFace Transformers, PyTorch, Optuna, and Ray Tune (code to be released upon acceptance).</w:t>
      </w:r>
    </w:p>
    <w:p>
      <w:pPr>
        <w:pStyle w:val="Heading2"/>
      </w:pPr>
      <w:r>
        <w:t>1.5 Paper Organization</w:t>
      </w:r>
    </w:p>
    <w:p>
      <w:pPr>
        <w:spacing w:before="40" w:after="100" w:line="320" w:lineRule="exact"/>
        <w:jc w:val="both"/>
      </w:pPr>
      <w:r>
        <w:rPr>
          <w:rFonts w:ascii="Times New Roman" w:hAnsi="Times New Roman"/>
          <w:sz w:val="22"/>
        </w:rPr>
        <w:t>The remainder of this paper is organized as follows. Section 2 provides a comprehensive review of related work across Bayesian HPO, multi-fidelity methods, human-in-the-loop machine learning, and the use of recurrent networks in optimization. Section 3 formalizes the LUHPO problem statement, establishing notation, defining the augmented optimization objective, and characterizing the properties of the hyperparameter search space relevant to our approach. Section 4 presents the complete LUHPO framework in technical detail: the LSTM surrogate model (architecture, training, and uncertainty estimation), the user feedback module (all four modalities and their fusion), the modified acquisition function (derivation and optimization), and theoretical guarantees. Future sections (to appear in the full paper) will cover experimental evaluation and discussion.</w:t>
      </w:r>
    </w:p>
    <w:p>
      <w:r>
        <w:br w:type="page"/>
      </w:r>
    </w:p>
    <w:p>
      <w:pPr>
        <w:pStyle w:val="Heading1"/>
      </w:pPr>
      <w:r>
        <w:t>2. Related Work</w:t>
      </w:r>
    </w:p>
    <w:p>
      <w:pPr>
        <w:spacing w:before="40" w:after="100" w:line="320" w:lineRule="exact"/>
        <w:jc w:val="both"/>
      </w:pPr>
      <w:r>
        <w:rPr>
          <w:rFonts w:ascii="Times New Roman" w:hAnsi="Times New Roman"/>
          <w:sz w:val="22"/>
        </w:rPr>
        <w:t>We survey related work across five interconnected areas. Table 2.1 provides a structured comparison of the most relevant methods against LUHPO along the key dimensions of surrogate type, sequential modeling, human feedback support, multi-fidelity capability, and conditional space support.</w:t>
      </w:r>
    </w:p>
    <w:p>
      <w:pPr>
        <w:spacing w:before="160"/>
        <w:jc w:val="center"/>
      </w:pPr>
      <w:r>
        <w:rPr>
          <w:b/>
          <w:i/>
          <w:sz w:val="20"/>
        </w:rPr>
        <w:t>Table 2.1: Structured Comparison of HPO Methods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304"/>
            <w:shd w:val="clear" w:color="auto" w:fill="1F497D"/>
          </w:tcPr>
          <w:p>
            <w:r>
              <w:rPr>
                <w:rFonts w:ascii="Times New Roman" w:hAnsi="Times New Roman"/>
                <w:b/>
                <w:color w:val="FFFFFF"/>
                <w:sz w:val="19"/>
              </w:rPr>
              <w:t>Method</w:t>
            </w:r>
          </w:p>
        </w:tc>
        <w:tc>
          <w:tcPr>
            <w:tcW w:type="dxa" w:w="2160"/>
            <w:shd w:val="clear" w:color="auto" w:fill="1F497D"/>
          </w:tcPr>
          <w:p>
            <w:r>
              <w:rPr>
                <w:rFonts w:ascii="Times New Roman" w:hAnsi="Times New Roman"/>
                <w:b/>
                <w:color w:val="FFFFFF"/>
                <w:sz w:val="19"/>
              </w:rPr>
              <w:t>Surrogate</w:t>
            </w:r>
          </w:p>
        </w:tc>
        <w:tc>
          <w:tcPr>
            <w:tcW w:type="dxa" w:w="1368"/>
            <w:shd w:val="clear" w:color="auto" w:fill="1F497D"/>
          </w:tcPr>
          <w:p>
            <w:r>
              <w:rPr>
                <w:rFonts w:ascii="Times New Roman" w:hAnsi="Times New Roman"/>
                <w:b/>
                <w:color w:val="FFFFFF"/>
                <w:sz w:val="19"/>
              </w:rPr>
              <w:t>Sequential?</w:t>
            </w:r>
          </w:p>
        </w:tc>
        <w:tc>
          <w:tcPr>
            <w:tcW w:type="dxa" w:w="1368"/>
            <w:shd w:val="clear" w:color="auto" w:fill="1F497D"/>
          </w:tcPr>
          <w:p>
            <w:r>
              <w:rPr>
                <w:rFonts w:ascii="Times New Roman" w:hAnsi="Times New Roman"/>
                <w:b/>
                <w:color w:val="FFFFFF"/>
                <w:sz w:val="19"/>
              </w:rPr>
              <w:t>Human FB?</w:t>
            </w:r>
          </w:p>
        </w:tc>
        <w:tc>
          <w:tcPr>
            <w:tcW w:type="dxa" w:w="1584"/>
            <w:shd w:val="clear" w:color="auto" w:fill="1F497D"/>
          </w:tcPr>
          <w:p>
            <w:r>
              <w:rPr>
                <w:rFonts w:ascii="Times New Roman" w:hAnsi="Times New Roman"/>
                <w:b/>
                <w:color w:val="FFFFFF"/>
                <w:sz w:val="19"/>
              </w:rPr>
              <w:t>Multi-Fidelity?</w:t>
            </w:r>
          </w:p>
        </w:tc>
        <w:tc>
          <w:tcPr>
            <w:tcW w:type="dxa" w:w="1440"/>
            <w:shd w:val="clear" w:color="auto" w:fill="1F497D"/>
          </w:tcPr>
          <w:p>
            <w:r>
              <w:rPr>
                <w:rFonts w:ascii="Times New Roman" w:hAnsi="Times New Roman"/>
                <w:b/>
                <w:color w:val="FFFFFF"/>
                <w:sz w:val="19"/>
              </w:rPr>
              <w:t>Conditional?</w:t>
            </w:r>
          </w:p>
        </w:tc>
      </w:tr>
      <w:tr>
        <w:tc>
          <w:tcPr>
            <w:tcW w:type="dxa" w:w="2304"/>
            <w:shd w:val="clear" w:color="auto" w:fill="EBF3FB"/>
          </w:tcPr>
          <w:p>
            <w:r>
              <w:rPr>
                <w:rFonts w:ascii="Times New Roman" w:hAnsi="Times New Roman"/>
                <w:sz w:val="19"/>
              </w:rPr>
              <w:t>Grid Search</w:t>
            </w:r>
          </w:p>
        </w:tc>
        <w:tc>
          <w:tcPr>
            <w:tcW w:type="dxa" w:w="2160"/>
            <w:shd w:val="clear" w:color="auto" w:fill="EBF3FB"/>
          </w:tcPr>
          <w:p>
            <w:r>
              <w:rPr>
                <w:rFonts w:ascii="Times New Roman" w:hAnsi="Times New Roman"/>
                <w:sz w:val="19"/>
              </w:rPr>
              <w:t>None</w:t>
            </w:r>
          </w:p>
        </w:tc>
        <w:tc>
          <w:tcPr>
            <w:tcW w:type="dxa" w:w="1368"/>
            <w:shd w:val="clear" w:color="auto" w:fill="EBF3FB"/>
          </w:tcPr>
          <w:p>
            <w:r>
              <w:rPr>
                <w:rFonts w:ascii="Times New Roman" w:hAnsi="Times New Roman"/>
                <w:sz w:val="19"/>
              </w:rPr>
              <w:t>No</w:t>
            </w:r>
          </w:p>
        </w:tc>
        <w:tc>
          <w:tcPr>
            <w:tcW w:type="dxa" w:w="1368"/>
            <w:shd w:val="clear" w:color="auto" w:fill="EBF3FB"/>
          </w:tcPr>
          <w:p>
            <w:r>
              <w:rPr>
                <w:rFonts w:ascii="Times New Roman" w:hAnsi="Times New Roman"/>
                <w:sz w:val="19"/>
              </w:rPr>
              <w:t>No</w:t>
            </w:r>
          </w:p>
        </w:tc>
        <w:tc>
          <w:tcPr>
            <w:tcW w:type="dxa" w:w="1584"/>
            <w:shd w:val="clear" w:color="auto" w:fill="EBF3FB"/>
          </w:tcPr>
          <w:p>
            <w:r>
              <w:rPr>
                <w:rFonts w:ascii="Times New Roman" w:hAnsi="Times New Roman"/>
                <w:sz w:val="19"/>
              </w:rPr>
              <w:t>No</w:t>
            </w:r>
          </w:p>
        </w:tc>
        <w:tc>
          <w:tcPr>
            <w:tcW w:type="dxa" w:w="1440"/>
            <w:shd w:val="clear" w:color="auto" w:fill="EBF3FB"/>
          </w:tcPr>
          <w:p>
            <w:r>
              <w:rPr>
                <w:rFonts w:ascii="Times New Roman" w:hAnsi="Times New Roman"/>
                <w:sz w:val="19"/>
              </w:rPr>
              <w:t>No</w:t>
            </w:r>
          </w:p>
        </w:tc>
      </w:tr>
      <w:tr>
        <w:tc>
          <w:tcPr>
            <w:tcW w:type="dxa" w:w="2304"/>
            <w:shd w:val="clear" w:color="auto" w:fill="FFFFFF"/>
          </w:tcPr>
          <w:p>
            <w:r>
              <w:rPr>
                <w:rFonts w:ascii="Times New Roman" w:hAnsi="Times New Roman"/>
                <w:sz w:val="19"/>
              </w:rPr>
              <w:t>Random Search</w:t>
            </w:r>
          </w:p>
        </w:tc>
        <w:tc>
          <w:tcPr>
            <w:tcW w:type="dxa" w:w="2160"/>
            <w:shd w:val="clear" w:color="auto" w:fill="FFFFFF"/>
          </w:tcPr>
          <w:p>
            <w:r>
              <w:rPr>
                <w:rFonts w:ascii="Times New Roman" w:hAnsi="Times New Roman"/>
                <w:sz w:val="19"/>
              </w:rPr>
              <w:t>None</w:t>
            </w:r>
          </w:p>
        </w:tc>
        <w:tc>
          <w:tcPr>
            <w:tcW w:type="dxa" w:w="1368"/>
            <w:shd w:val="clear" w:color="auto" w:fill="FFFFFF"/>
          </w:tcPr>
          <w:p>
            <w:r>
              <w:rPr>
                <w:rFonts w:ascii="Times New Roman" w:hAnsi="Times New Roman"/>
                <w:sz w:val="19"/>
              </w:rPr>
              <w:t>No</w:t>
            </w:r>
          </w:p>
        </w:tc>
        <w:tc>
          <w:tcPr>
            <w:tcW w:type="dxa" w:w="1368"/>
            <w:shd w:val="clear" w:color="auto" w:fill="FFFFFF"/>
          </w:tcPr>
          <w:p>
            <w:r>
              <w:rPr>
                <w:rFonts w:ascii="Times New Roman" w:hAnsi="Times New Roman"/>
                <w:sz w:val="19"/>
              </w:rPr>
              <w:t>No</w:t>
            </w:r>
          </w:p>
        </w:tc>
        <w:tc>
          <w:tcPr>
            <w:tcW w:type="dxa" w:w="1584"/>
            <w:shd w:val="clear" w:color="auto" w:fill="FFFFFF"/>
          </w:tcPr>
          <w:p>
            <w:r>
              <w:rPr>
                <w:rFonts w:ascii="Times New Roman" w:hAnsi="Times New Roman"/>
                <w:sz w:val="19"/>
              </w:rPr>
              <w:t>No</w:t>
            </w:r>
          </w:p>
        </w:tc>
        <w:tc>
          <w:tcPr>
            <w:tcW w:type="dxa" w:w="1440"/>
            <w:shd w:val="clear" w:color="auto" w:fill="FFFFFF"/>
          </w:tcPr>
          <w:p>
            <w:r>
              <w:rPr>
                <w:rFonts w:ascii="Times New Roman" w:hAnsi="Times New Roman"/>
                <w:sz w:val="19"/>
              </w:rPr>
              <w:t>Partial</w:t>
            </w:r>
          </w:p>
        </w:tc>
      </w:tr>
      <w:tr>
        <w:tc>
          <w:tcPr>
            <w:tcW w:type="dxa" w:w="2304"/>
            <w:shd w:val="clear" w:color="auto" w:fill="EBF3FB"/>
          </w:tcPr>
          <w:p>
            <w:r>
              <w:rPr>
                <w:rFonts w:ascii="Times New Roman" w:hAnsi="Times New Roman"/>
                <w:sz w:val="19"/>
              </w:rPr>
              <w:t>Spearmint (GP-BO)</w:t>
            </w:r>
          </w:p>
        </w:tc>
        <w:tc>
          <w:tcPr>
            <w:tcW w:type="dxa" w:w="2160"/>
            <w:shd w:val="clear" w:color="auto" w:fill="EBF3FB"/>
          </w:tcPr>
          <w:p>
            <w:r>
              <w:rPr>
                <w:rFonts w:ascii="Times New Roman" w:hAnsi="Times New Roman"/>
                <w:sz w:val="19"/>
              </w:rPr>
              <w:t>Gaussian Process</w:t>
            </w:r>
          </w:p>
        </w:tc>
        <w:tc>
          <w:tcPr>
            <w:tcW w:type="dxa" w:w="1368"/>
            <w:shd w:val="clear" w:color="auto" w:fill="EBF3FB"/>
          </w:tcPr>
          <w:p>
            <w:r>
              <w:rPr>
                <w:rFonts w:ascii="Times New Roman" w:hAnsi="Times New Roman"/>
                <w:sz w:val="19"/>
              </w:rPr>
              <w:t>No</w:t>
            </w:r>
          </w:p>
        </w:tc>
        <w:tc>
          <w:tcPr>
            <w:tcW w:type="dxa" w:w="1368"/>
            <w:shd w:val="clear" w:color="auto" w:fill="EBF3FB"/>
          </w:tcPr>
          <w:p>
            <w:r>
              <w:rPr>
                <w:rFonts w:ascii="Times New Roman" w:hAnsi="Times New Roman"/>
                <w:sz w:val="19"/>
              </w:rPr>
              <w:t>No</w:t>
            </w:r>
          </w:p>
        </w:tc>
        <w:tc>
          <w:tcPr>
            <w:tcW w:type="dxa" w:w="1584"/>
            <w:shd w:val="clear" w:color="auto" w:fill="EBF3FB"/>
          </w:tcPr>
          <w:p>
            <w:r>
              <w:rPr>
                <w:rFonts w:ascii="Times New Roman" w:hAnsi="Times New Roman"/>
                <w:sz w:val="19"/>
              </w:rPr>
              <w:t>No</w:t>
            </w:r>
          </w:p>
        </w:tc>
        <w:tc>
          <w:tcPr>
            <w:tcW w:type="dxa" w:w="1440"/>
            <w:shd w:val="clear" w:color="auto" w:fill="EBF3FB"/>
          </w:tcPr>
          <w:p>
            <w:r>
              <w:rPr>
                <w:rFonts w:ascii="Times New Roman" w:hAnsi="Times New Roman"/>
                <w:sz w:val="19"/>
              </w:rPr>
              <w:t>Partial</w:t>
            </w:r>
          </w:p>
        </w:tc>
      </w:tr>
      <w:tr>
        <w:tc>
          <w:tcPr>
            <w:tcW w:type="dxa" w:w="2304"/>
            <w:shd w:val="clear" w:color="auto" w:fill="FFFFFF"/>
          </w:tcPr>
          <w:p>
            <w:r>
              <w:rPr>
                <w:rFonts w:ascii="Times New Roman" w:hAnsi="Times New Roman"/>
                <w:sz w:val="19"/>
              </w:rPr>
              <w:t>HyperOpt (TPE)</w:t>
            </w:r>
          </w:p>
        </w:tc>
        <w:tc>
          <w:tcPr>
            <w:tcW w:type="dxa" w:w="2160"/>
            <w:shd w:val="clear" w:color="auto" w:fill="FFFFFF"/>
          </w:tcPr>
          <w:p>
            <w:r>
              <w:rPr>
                <w:rFonts w:ascii="Times New Roman" w:hAnsi="Times New Roman"/>
                <w:sz w:val="19"/>
              </w:rPr>
              <w:t>KDE (Parzen)</w:t>
            </w:r>
          </w:p>
        </w:tc>
        <w:tc>
          <w:tcPr>
            <w:tcW w:type="dxa" w:w="1368"/>
            <w:shd w:val="clear" w:color="auto" w:fill="FFFFFF"/>
          </w:tcPr>
          <w:p>
            <w:r>
              <w:rPr>
                <w:rFonts w:ascii="Times New Roman" w:hAnsi="Times New Roman"/>
                <w:sz w:val="19"/>
              </w:rPr>
              <w:t>No</w:t>
            </w:r>
          </w:p>
        </w:tc>
        <w:tc>
          <w:tcPr>
            <w:tcW w:type="dxa" w:w="1368"/>
            <w:shd w:val="clear" w:color="auto" w:fill="FFFFFF"/>
          </w:tcPr>
          <w:p>
            <w:r>
              <w:rPr>
                <w:rFonts w:ascii="Times New Roman" w:hAnsi="Times New Roman"/>
                <w:sz w:val="19"/>
              </w:rPr>
              <w:t>No</w:t>
            </w:r>
          </w:p>
        </w:tc>
        <w:tc>
          <w:tcPr>
            <w:tcW w:type="dxa" w:w="1584"/>
            <w:shd w:val="clear" w:color="auto" w:fill="FFFFFF"/>
          </w:tcPr>
          <w:p>
            <w:r>
              <w:rPr>
                <w:rFonts w:ascii="Times New Roman" w:hAnsi="Times New Roman"/>
                <w:sz w:val="19"/>
              </w:rPr>
              <w:t>No</w:t>
            </w:r>
          </w:p>
        </w:tc>
        <w:tc>
          <w:tcPr>
            <w:tcW w:type="dxa" w:w="1440"/>
            <w:shd w:val="clear" w:color="auto" w:fill="FFFFFF"/>
          </w:tcPr>
          <w:p>
            <w:r>
              <w:rPr>
                <w:rFonts w:ascii="Times New Roman" w:hAnsi="Times New Roman"/>
                <w:sz w:val="19"/>
              </w:rPr>
              <w:t>Yes</w:t>
            </w:r>
          </w:p>
        </w:tc>
      </w:tr>
      <w:tr>
        <w:tc>
          <w:tcPr>
            <w:tcW w:type="dxa" w:w="2304"/>
            <w:shd w:val="clear" w:color="auto" w:fill="EBF3FB"/>
          </w:tcPr>
          <w:p>
            <w:r>
              <w:rPr>
                <w:rFonts w:ascii="Times New Roman" w:hAnsi="Times New Roman"/>
                <w:sz w:val="19"/>
              </w:rPr>
              <w:t>SMAC</w:t>
            </w:r>
          </w:p>
        </w:tc>
        <w:tc>
          <w:tcPr>
            <w:tcW w:type="dxa" w:w="2160"/>
            <w:shd w:val="clear" w:color="auto" w:fill="EBF3FB"/>
          </w:tcPr>
          <w:p>
            <w:r>
              <w:rPr>
                <w:rFonts w:ascii="Times New Roman" w:hAnsi="Times New Roman"/>
                <w:sz w:val="19"/>
              </w:rPr>
              <w:t>Random Forest</w:t>
            </w:r>
          </w:p>
        </w:tc>
        <w:tc>
          <w:tcPr>
            <w:tcW w:type="dxa" w:w="1368"/>
            <w:shd w:val="clear" w:color="auto" w:fill="EBF3FB"/>
          </w:tcPr>
          <w:p>
            <w:r>
              <w:rPr>
                <w:rFonts w:ascii="Times New Roman" w:hAnsi="Times New Roman"/>
                <w:sz w:val="19"/>
              </w:rPr>
              <w:t>No</w:t>
            </w:r>
          </w:p>
        </w:tc>
        <w:tc>
          <w:tcPr>
            <w:tcW w:type="dxa" w:w="1368"/>
            <w:shd w:val="clear" w:color="auto" w:fill="EBF3FB"/>
          </w:tcPr>
          <w:p>
            <w:r>
              <w:rPr>
                <w:rFonts w:ascii="Times New Roman" w:hAnsi="Times New Roman"/>
                <w:sz w:val="19"/>
              </w:rPr>
              <w:t>No</w:t>
            </w:r>
          </w:p>
        </w:tc>
        <w:tc>
          <w:tcPr>
            <w:tcW w:type="dxa" w:w="1584"/>
            <w:shd w:val="clear" w:color="auto" w:fill="EBF3FB"/>
          </w:tcPr>
          <w:p>
            <w:r>
              <w:rPr>
                <w:rFonts w:ascii="Times New Roman" w:hAnsi="Times New Roman"/>
                <w:sz w:val="19"/>
              </w:rPr>
              <w:t>No</w:t>
            </w:r>
          </w:p>
        </w:tc>
        <w:tc>
          <w:tcPr>
            <w:tcW w:type="dxa" w:w="1440"/>
            <w:shd w:val="clear" w:color="auto" w:fill="EBF3FB"/>
          </w:tcPr>
          <w:p>
            <w:r>
              <w:rPr>
                <w:rFonts w:ascii="Times New Roman" w:hAnsi="Times New Roman"/>
                <w:sz w:val="19"/>
              </w:rPr>
              <w:t>Yes</w:t>
            </w:r>
          </w:p>
        </w:tc>
      </w:tr>
      <w:tr>
        <w:tc>
          <w:tcPr>
            <w:tcW w:type="dxa" w:w="2304"/>
            <w:shd w:val="clear" w:color="auto" w:fill="FFFFFF"/>
          </w:tcPr>
          <w:p>
            <w:r>
              <w:rPr>
                <w:rFonts w:ascii="Times New Roman" w:hAnsi="Times New Roman"/>
                <w:sz w:val="19"/>
              </w:rPr>
              <w:t>Hyperband</w:t>
            </w:r>
          </w:p>
        </w:tc>
        <w:tc>
          <w:tcPr>
            <w:tcW w:type="dxa" w:w="2160"/>
            <w:shd w:val="clear" w:color="auto" w:fill="FFFFFF"/>
          </w:tcPr>
          <w:p>
            <w:r>
              <w:rPr>
                <w:rFonts w:ascii="Times New Roman" w:hAnsi="Times New Roman"/>
                <w:sz w:val="19"/>
              </w:rPr>
              <w:t>None</w:t>
            </w:r>
          </w:p>
        </w:tc>
        <w:tc>
          <w:tcPr>
            <w:tcW w:type="dxa" w:w="1368"/>
            <w:shd w:val="clear" w:color="auto" w:fill="FFFFFF"/>
          </w:tcPr>
          <w:p>
            <w:r>
              <w:rPr>
                <w:rFonts w:ascii="Times New Roman" w:hAnsi="Times New Roman"/>
                <w:sz w:val="19"/>
              </w:rPr>
              <w:t>No</w:t>
            </w:r>
          </w:p>
        </w:tc>
        <w:tc>
          <w:tcPr>
            <w:tcW w:type="dxa" w:w="1368"/>
            <w:shd w:val="clear" w:color="auto" w:fill="FFFFFF"/>
          </w:tcPr>
          <w:p>
            <w:r>
              <w:rPr>
                <w:rFonts w:ascii="Times New Roman" w:hAnsi="Times New Roman"/>
                <w:sz w:val="19"/>
              </w:rPr>
              <w:t>No</w:t>
            </w:r>
          </w:p>
        </w:tc>
        <w:tc>
          <w:tcPr>
            <w:tcW w:type="dxa" w:w="1584"/>
            <w:shd w:val="clear" w:color="auto" w:fill="FFFFFF"/>
          </w:tcPr>
          <w:p>
            <w:r>
              <w:rPr>
                <w:rFonts w:ascii="Times New Roman" w:hAnsi="Times New Roman"/>
                <w:sz w:val="19"/>
              </w:rPr>
              <w:t>Yes (bracket)</w:t>
            </w:r>
          </w:p>
        </w:tc>
        <w:tc>
          <w:tcPr>
            <w:tcW w:type="dxa" w:w="1440"/>
            <w:shd w:val="clear" w:color="auto" w:fill="FFFFFF"/>
          </w:tcPr>
          <w:p>
            <w:r>
              <w:rPr>
                <w:rFonts w:ascii="Times New Roman" w:hAnsi="Times New Roman"/>
                <w:sz w:val="19"/>
              </w:rPr>
              <w:t>Partial</w:t>
            </w:r>
          </w:p>
        </w:tc>
      </w:tr>
      <w:tr>
        <w:tc>
          <w:tcPr>
            <w:tcW w:type="dxa" w:w="2304"/>
            <w:shd w:val="clear" w:color="auto" w:fill="EBF3FB"/>
          </w:tcPr>
          <w:p>
            <w:r>
              <w:rPr>
                <w:rFonts w:ascii="Times New Roman" w:hAnsi="Times New Roman"/>
                <w:sz w:val="19"/>
              </w:rPr>
              <w:t>BOHB</w:t>
            </w:r>
          </w:p>
        </w:tc>
        <w:tc>
          <w:tcPr>
            <w:tcW w:type="dxa" w:w="2160"/>
            <w:shd w:val="clear" w:color="auto" w:fill="EBF3FB"/>
          </w:tcPr>
          <w:p>
            <w:r>
              <w:rPr>
                <w:rFonts w:ascii="Times New Roman" w:hAnsi="Times New Roman"/>
                <w:sz w:val="19"/>
              </w:rPr>
              <w:t>KDE</w:t>
            </w:r>
          </w:p>
        </w:tc>
        <w:tc>
          <w:tcPr>
            <w:tcW w:type="dxa" w:w="1368"/>
            <w:shd w:val="clear" w:color="auto" w:fill="EBF3FB"/>
          </w:tcPr>
          <w:p>
            <w:r>
              <w:rPr>
                <w:rFonts w:ascii="Times New Roman" w:hAnsi="Times New Roman"/>
                <w:sz w:val="19"/>
              </w:rPr>
              <w:t>No</w:t>
            </w:r>
          </w:p>
        </w:tc>
        <w:tc>
          <w:tcPr>
            <w:tcW w:type="dxa" w:w="1368"/>
            <w:shd w:val="clear" w:color="auto" w:fill="EBF3FB"/>
          </w:tcPr>
          <w:p>
            <w:r>
              <w:rPr>
                <w:rFonts w:ascii="Times New Roman" w:hAnsi="Times New Roman"/>
                <w:sz w:val="19"/>
              </w:rPr>
              <w:t>No</w:t>
            </w:r>
          </w:p>
        </w:tc>
        <w:tc>
          <w:tcPr>
            <w:tcW w:type="dxa" w:w="1584"/>
            <w:shd w:val="clear" w:color="auto" w:fill="EBF3FB"/>
          </w:tcPr>
          <w:p>
            <w:r>
              <w:rPr>
                <w:rFonts w:ascii="Times New Roman" w:hAnsi="Times New Roman"/>
                <w:sz w:val="19"/>
              </w:rPr>
              <w:t>Yes</w:t>
            </w:r>
          </w:p>
        </w:tc>
        <w:tc>
          <w:tcPr>
            <w:tcW w:type="dxa" w:w="1440"/>
            <w:shd w:val="clear" w:color="auto" w:fill="EBF3FB"/>
          </w:tcPr>
          <w:p>
            <w:r>
              <w:rPr>
                <w:rFonts w:ascii="Times New Roman" w:hAnsi="Times New Roman"/>
                <w:sz w:val="19"/>
              </w:rPr>
              <w:t>Yes</w:t>
            </w:r>
          </w:p>
        </w:tc>
      </w:tr>
      <w:tr>
        <w:tc>
          <w:tcPr>
            <w:tcW w:type="dxa" w:w="2304"/>
            <w:shd w:val="clear" w:color="auto" w:fill="FFFFFF"/>
          </w:tcPr>
          <w:p>
            <w:r>
              <w:rPr>
                <w:rFonts w:ascii="Times New Roman" w:hAnsi="Times New Roman"/>
                <w:sz w:val="19"/>
              </w:rPr>
              <w:t>ASHA</w:t>
            </w:r>
          </w:p>
        </w:tc>
        <w:tc>
          <w:tcPr>
            <w:tcW w:type="dxa" w:w="2160"/>
            <w:shd w:val="clear" w:color="auto" w:fill="FFFFFF"/>
          </w:tcPr>
          <w:p>
            <w:r>
              <w:rPr>
                <w:rFonts w:ascii="Times New Roman" w:hAnsi="Times New Roman"/>
                <w:sz w:val="19"/>
              </w:rPr>
              <w:t>None</w:t>
            </w:r>
          </w:p>
        </w:tc>
        <w:tc>
          <w:tcPr>
            <w:tcW w:type="dxa" w:w="1368"/>
            <w:shd w:val="clear" w:color="auto" w:fill="FFFFFF"/>
          </w:tcPr>
          <w:p>
            <w:r>
              <w:rPr>
                <w:rFonts w:ascii="Times New Roman" w:hAnsi="Times New Roman"/>
                <w:sz w:val="19"/>
              </w:rPr>
              <w:t>No</w:t>
            </w:r>
          </w:p>
        </w:tc>
        <w:tc>
          <w:tcPr>
            <w:tcW w:type="dxa" w:w="1368"/>
            <w:shd w:val="clear" w:color="auto" w:fill="FFFFFF"/>
          </w:tcPr>
          <w:p>
            <w:r>
              <w:rPr>
                <w:rFonts w:ascii="Times New Roman" w:hAnsi="Times New Roman"/>
                <w:sz w:val="19"/>
              </w:rPr>
              <w:t>No</w:t>
            </w:r>
          </w:p>
        </w:tc>
        <w:tc>
          <w:tcPr>
            <w:tcW w:type="dxa" w:w="1584"/>
            <w:shd w:val="clear" w:color="auto" w:fill="FFFFFF"/>
          </w:tcPr>
          <w:p>
            <w:r>
              <w:rPr>
                <w:rFonts w:ascii="Times New Roman" w:hAnsi="Times New Roman"/>
                <w:sz w:val="19"/>
              </w:rPr>
              <w:t>Yes (async)</w:t>
            </w:r>
          </w:p>
        </w:tc>
        <w:tc>
          <w:tcPr>
            <w:tcW w:type="dxa" w:w="1440"/>
            <w:shd w:val="clear" w:color="auto" w:fill="FFFFFF"/>
          </w:tcPr>
          <w:p>
            <w:r>
              <w:rPr>
                <w:rFonts w:ascii="Times New Roman" w:hAnsi="Times New Roman"/>
                <w:sz w:val="19"/>
              </w:rPr>
              <w:t>Partial</w:t>
            </w:r>
          </w:p>
        </w:tc>
      </w:tr>
      <w:tr>
        <w:tc>
          <w:tcPr>
            <w:tcW w:type="dxa" w:w="2304"/>
            <w:shd w:val="clear" w:color="auto" w:fill="EBF3FB"/>
          </w:tcPr>
          <w:p>
            <w:r>
              <w:rPr>
                <w:rFonts w:ascii="Times New Roman" w:hAnsi="Times New Roman"/>
                <w:sz w:val="19"/>
              </w:rPr>
              <w:t>Pref-BO</w:t>
            </w:r>
          </w:p>
        </w:tc>
        <w:tc>
          <w:tcPr>
            <w:tcW w:type="dxa" w:w="2160"/>
            <w:shd w:val="clear" w:color="auto" w:fill="EBF3FB"/>
          </w:tcPr>
          <w:p>
            <w:r>
              <w:rPr>
                <w:rFonts w:ascii="Times New Roman" w:hAnsi="Times New Roman"/>
                <w:sz w:val="19"/>
              </w:rPr>
              <w:t>GP</w:t>
            </w:r>
          </w:p>
        </w:tc>
        <w:tc>
          <w:tcPr>
            <w:tcW w:type="dxa" w:w="1368"/>
            <w:shd w:val="clear" w:color="auto" w:fill="EBF3FB"/>
          </w:tcPr>
          <w:p>
            <w:r>
              <w:rPr>
                <w:rFonts w:ascii="Times New Roman" w:hAnsi="Times New Roman"/>
                <w:sz w:val="19"/>
              </w:rPr>
              <w:t>No</w:t>
            </w:r>
          </w:p>
        </w:tc>
        <w:tc>
          <w:tcPr>
            <w:tcW w:type="dxa" w:w="1368"/>
            <w:shd w:val="clear" w:color="auto" w:fill="EBF3FB"/>
          </w:tcPr>
          <w:p>
            <w:r>
              <w:rPr>
                <w:rFonts w:ascii="Times New Roman" w:hAnsi="Times New Roman"/>
                <w:sz w:val="19"/>
              </w:rPr>
              <w:t>Pairwise</w:t>
            </w:r>
          </w:p>
        </w:tc>
        <w:tc>
          <w:tcPr>
            <w:tcW w:type="dxa" w:w="1584"/>
            <w:shd w:val="clear" w:color="auto" w:fill="EBF3FB"/>
          </w:tcPr>
          <w:p>
            <w:r>
              <w:rPr>
                <w:rFonts w:ascii="Times New Roman" w:hAnsi="Times New Roman"/>
                <w:sz w:val="19"/>
              </w:rPr>
              <w:t>No</w:t>
            </w:r>
          </w:p>
        </w:tc>
        <w:tc>
          <w:tcPr>
            <w:tcW w:type="dxa" w:w="1440"/>
            <w:shd w:val="clear" w:color="auto" w:fill="EBF3FB"/>
          </w:tcPr>
          <w:p>
            <w:r>
              <w:rPr>
                <w:rFonts w:ascii="Times New Roman" w:hAnsi="Times New Roman"/>
                <w:sz w:val="19"/>
              </w:rPr>
              <w:t>No</w:t>
            </w:r>
          </w:p>
        </w:tc>
      </w:tr>
      <w:tr>
        <w:tc>
          <w:tcPr>
            <w:tcW w:type="dxa" w:w="2304"/>
            <w:shd w:val="clear" w:color="auto" w:fill="FFFFFF"/>
          </w:tcPr>
          <w:p>
            <w:r>
              <w:rPr>
                <w:rFonts w:ascii="Times New Roman" w:hAnsi="Times New Roman"/>
                <w:sz w:val="19"/>
              </w:rPr>
              <w:t>LC-Net</w:t>
            </w:r>
          </w:p>
        </w:tc>
        <w:tc>
          <w:tcPr>
            <w:tcW w:type="dxa" w:w="2160"/>
            <w:shd w:val="clear" w:color="auto" w:fill="FFFFFF"/>
          </w:tcPr>
          <w:p>
            <w:r>
              <w:rPr>
                <w:rFonts w:ascii="Times New Roman" w:hAnsi="Times New Roman"/>
                <w:sz w:val="19"/>
              </w:rPr>
              <w:t>BNN (LC)</w:t>
            </w:r>
          </w:p>
        </w:tc>
        <w:tc>
          <w:tcPr>
            <w:tcW w:type="dxa" w:w="1368"/>
            <w:shd w:val="clear" w:color="auto" w:fill="FFFFFF"/>
          </w:tcPr>
          <w:p>
            <w:r>
              <w:rPr>
                <w:rFonts w:ascii="Times New Roman" w:hAnsi="Times New Roman"/>
                <w:sz w:val="19"/>
              </w:rPr>
              <w:t>Partial (LC)</w:t>
            </w:r>
          </w:p>
        </w:tc>
        <w:tc>
          <w:tcPr>
            <w:tcW w:type="dxa" w:w="1368"/>
            <w:shd w:val="clear" w:color="auto" w:fill="FFFFFF"/>
          </w:tcPr>
          <w:p>
            <w:r>
              <w:rPr>
                <w:rFonts w:ascii="Times New Roman" w:hAnsi="Times New Roman"/>
                <w:sz w:val="19"/>
              </w:rPr>
              <w:t>No</w:t>
            </w:r>
          </w:p>
        </w:tc>
        <w:tc>
          <w:tcPr>
            <w:tcW w:type="dxa" w:w="1584"/>
            <w:shd w:val="clear" w:color="auto" w:fill="FFFFFF"/>
          </w:tcPr>
          <w:p>
            <w:r>
              <w:rPr>
                <w:rFonts w:ascii="Times New Roman" w:hAnsi="Times New Roman"/>
                <w:sz w:val="19"/>
              </w:rPr>
              <w:t>Partial</w:t>
            </w:r>
          </w:p>
        </w:tc>
        <w:tc>
          <w:tcPr>
            <w:tcW w:type="dxa" w:w="1440"/>
            <w:shd w:val="clear" w:color="auto" w:fill="FFFFFF"/>
          </w:tcPr>
          <w:p>
            <w:r>
              <w:rPr>
                <w:rFonts w:ascii="Times New Roman" w:hAnsi="Times New Roman"/>
                <w:sz w:val="19"/>
              </w:rPr>
              <w:t>No</w:t>
            </w:r>
          </w:p>
        </w:tc>
      </w:tr>
      <w:tr>
        <w:tc>
          <w:tcPr>
            <w:tcW w:type="dxa" w:w="2304"/>
            <w:shd w:val="clear" w:color="auto" w:fill="EBF3FB"/>
          </w:tcPr>
          <w:p>
            <w:r>
              <w:rPr>
                <w:rFonts w:ascii="Times New Roman" w:hAnsi="Times New Roman"/>
                <w:sz w:val="19"/>
              </w:rPr>
              <w:t>LUHPO (Ours)</w:t>
            </w:r>
          </w:p>
        </w:tc>
        <w:tc>
          <w:tcPr>
            <w:tcW w:type="dxa" w:w="2160"/>
            <w:shd w:val="clear" w:color="auto" w:fill="EBF3FB"/>
          </w:tcPr>
          <w:p>
            <w:r>
              <w:rPr>
                <w:rFonts w:ascii="Times New Roman" w:hAnsi="Times New Roman"/>
                <w:sz w:val="19"/>
              </w:rPr>
              <w:t>LSTM+Attention</w:t>
            </w:r>
          </w:p>
        </w:tc>
        <w:tc>
          <w:tcPr>
            <w:tcW w:type="dxa" w:w="1368"/>
            <w:shd w:val="clear" w:color="auto" w:fill="EBF3FB"/>
          </w:tcPr>
          <w:p>
            <w:r>
              <w:rPr>
                <w:rFonts w:ascii="Times New Roman" w:hAnsi="Times New Roman"/>
                <w:sz w:val="19"/>
              </w:rPr>
              <w:t>Yes (full)</w:t>
            </w:r>
          </w:p>
        </w:tc>
        <w:tc>
          <w:tcPr>
            <w:tcW w:type="dxa" w:w="1368"/>
            <w:shd w:val="clear" w:color="auto" w:fill="EBF3FB"/>
          </w:tcPr>
          <w:p>
            <w:r>
              <w:rPr>
                <w:rFonts w:ascii="Times New Roman" w:hAnsi="Times New Roman"/>
                <w:sz w:val="19"/>
              </w:rPr>
              <w:t>Yes (4 types)</w:t>
            </w:r>
          </w:p>
        </w:tc>
        <w:tc>
          <w:tcPr>
            <w:tcW w:type="dxa" w:w="1584"/>
            <w:shd w:val="clear" w:color="auto" w:fill="EBF3FB"/>
          </w:tcPr>
          <w:p>
            <w:r>
              <w:rPr>
                <w:rFonts w:ascii="Times New Roman" w:hAnsi="Times New Roman"/>
                <w:sz w:val="19"/>
              </w:rPr>
              <w:t>Yes</w:t>
            </w:r>
          </w:p>
        </w:tc>
        <w:tc>
          <w:tcPr>
            <w:tcW w:type="dxa" w:w="1440"/>
            <w:shd w:val="clear" w:color="auto" w:fill="EBF3FB"/>
          </w:tcPr>
          <w:p>
            <w:r>
              <w:rPr>
                <w:rFonts w:ascii="Times New Roman" w:hAnsi="Times New Roman"/>
                <w:sz w:val="19"/>
              </w:rPr>
              <w:t>Yes</w:t>
            </w:r>
          </w:p>
        </w:tc>
      </w:tr>
    </w:tbl>
    <w:p/>
    <w:p>
      <w:pPr>
        <w:pStyle w:val="Heading2"/>
      </w:pPr>
      <w:r>
        <w:t>2.1 Bayesian Hyperparameter Optimization</w:t>
      </w:r>
    </w:p>
    <w:p>
      <w:pPr>
        <w:spacing w:before="40" w:after="100" w:line="320" w:lineRule="exact"/>
        <w:jc w:val="both"/>
      </w:pPr>
      <w:r>
        <w:rPr>
          <w:rFonts w:ascii="Times New Roman" w:hAnsi="Times New Roman"/>
          <w:sz w:val="22"/>
        </w:rPr>
        <w:t>The foundational framework for model-based HPO is Bayesian optimization (BO), which maintains a probabilistic surrogate model of the objective function and uses an acquisition function to select the next evaluation point by trading off exploration and exploitation (Mockus, 1975; Jones et al., 1998). The seminal application to machine learning hyperparameters was presented by Snoek et al. (2012), who used a GP with a Matérn 5/2 kernel and Expected Improvement as the acquisition function, demonstrating significant advantages over random search on neural network HPO tasks.</w:t>
      </w:r>
    </w:p>
    <w:p>
      <w:pPr>
        <w:spacing w:before="40" w:after="100" w:line="320" w:lineRule="exact"/>
        <w:jc w:val="both"/>
      </w:pPr>
      <w:r>
        <w:rPr>
          <w:rFonts w:ascii="Times New Roman" w:hAnsi="Times New Roman"/>
          <w:sz w:val="22"/>
        </w:rPr>
        <w:t>The GP surrogate models the objective f ~ GP(m(λ), k(λ, λ')), where m is the mean function (often set to zero or a constant) and k is a positive-definite kernel function encoding prior beliefs about the smoothness of f. The squared-exponential (RBF) kernel k_SE(λ, λ') = σ_f² exp(−‖λ−λ'‖²/2l²) and the Matérn family are the most commonly used. Given n observations, the GP posterior is:</w:t>
      </w:r>
    </w:p>
    <w:p>
      <w:pPr>
        <w:spacing w:before="120" w:after="120"/>
        <w:jc w:val="center"/>
      </w:pPr>
      <w:r>
        <w:rPr>
          <w:rFonts w:ascii="Courier New" w:hAnsi="Courier New"/>
          <w:b/>
          <w:sz w:val="21"/>
        </w:rPr>
        <w:t>μ_n(λ) = k_n(λ)ᵀ (K_n + σ_ε²I)⁻¹ y_n   (2.1)</w:t>
      </w:r>
    </w:p>
    <w:p>
      <w:pPr>
        <w:spacing w:before="120" w:after="120"/>
        <w:jc w:val="center"/>
      </w:pPr>
      <w:r>
        <w:rPr>
          <w:rFonts w:ascii="Courier New" w:hAnsi="Courier New"/>
          <w:b/>
          <w:sz w:val="21"/>
        </w:rPr>
        <w:t>σ²_n(λ) = k(λ,λ) − k_n(λ)ᵀ (K_n + σ_ε²I)⁻¹ k_n(λ)   (2.2)</w:t>
      </w:r>
    </w:p>
    <w:p>
      <w:pPr>
        <w:spacing w:before="40" w:after="100" w:line="320" w:lineRule="exact"/>
        <w:jc w:val="both"/>
      </w:pPr>
      <w:r>
        <w:rPr>
          <w:rFonts w:ascii="Times New Roman" w:hAnsi="Times New Roman"/>
          <w:sz w:val="22"/>
        </w:rPr>
        <w:t>where k_n(λ) = [k(λ,λ_1),...,k(λ,λ_n)]ᵀ, K_n is the n×n Gram matrix, and σ_ε² is the noise variance. The GP posterior is analytically tractable and well-calibrated when its kernel hyperparameters are tuned by maximum marginal likelihood. However, the O(n³) computational cost of GP inference limits applicability beyond n ≈ 10,000 observations, and the stationary kernel assumption is poorly suited to the non-stationary, high-dimensional configuration spaces of modern deep learning.</w:t>
      </w:r>
    </w:p>
    <w:p>
      <w:pPr>
        <w:spacing w:before="40" w:after="100" w:line="320" w:lineRule="exact"/>
        <w:jc w:val="both"/>
      </w:pPr>
      <w:r>
        <w:rPr>
          <w:rFonts w:ascii="Times New Roman" w:hAnsi="Times New Roman"/>
          <w:sz w:val="22"/>
        </w:rPr>
        <w:t>Several extensions have been proposed to address GP scalability and expressiveness: sparse GPs via inducing points (Titsias, 2009), deep kernel learning with neural network feature extractors (Wilson et al., 2016), warped GPs for non-Gaussian objectives (Snelson et al., 2004), and cylindrical kernels for bounded continuous hyperparameters (Swersky et al., 2013). Despite these improvements, all GP-based approaches remain fundamentally limited by their exchangeability assumption.</w:t>
      </w:r>
    </w:p>
    <w:p>
      <w:pPr>
        <w:spacing w:before="40" w:after="100" w:line="320" w:lineRule="exact"/>
        <w:jc w:val="both"/>
      </w:pPr>
      <w:r>
        <w:rPr>
          <w:rFonts w:ascii="Times New Roman" w:hAnsi="Times New Roman"/>
          <w:sz w:val="22"/>
        </w:rPr>
        <w:t>The Tree-structured Parzen Estimator (TPE; Bergstra et al., 2011), used in HyperOpt, takes a complementary approach. Rather than modeling f(λ) directly, TPE models the density ratio ℓ(λ)/g(λ) where ℓ(λ) = p(λ|y &lt; y*) and g(λ) = p(λ|y ≥ y*) are Parzen-window density estimates fitted to good and bad observations respectively. SMAC (Hutter et al., 2011) uses a Random Forest surrogate that naturally handles the conditional structure of complex hyperparameter spaces—a significant practical advantage over GP-based methods. SMBO (Bergstra &amp; Bengio, 2012) showed that random search is often competitive with grid search due to the low effective dimensionality of many HPO problems.</w:t>
      </w:r>
    </w:p>
    <w:p>
      <w:pPr>
        <w:pStyle w:val="Heading2"/>
      </w:pPr>
      <w:r>
        <w:t>2.2 Multi-Fidelity Optimization</w:t>
      </w:r>
    </w:p>
    <w:p>
      <w:pPr>
        <w:spacing w:before="40" w:after="100" w:line="320" w:lineRule="exact"/>
        <w:jc w:val="both"/>
      </w:pPr>
      <w:r>
        <w:rPr>
          <w:rFonts w:ascii="Times New Roman" w:hAnsi="Times New Roman"/>
          <w:sz w:val="22"/>
        </w:rPr>
        <w:t>Multi-fidelity HPO exploits cheap proxy evaluations (e.g., training for fewer epochs or on a smaller data subset) to identify promising configurations before committing to full-budget evaluations. Successive Halving (SH; Jamieson &amp; Talwalkar, 2016) allocates an initial budget B_0 to n configurations, evaluates them, eliminates the bottom half, and doubles the budget for survivors—repeating until one configuration remains. With η as the elimination factor and s rounds:</w:t>
      </w:r>
    </w:p>
    <w:p>
      <w:pPr>
        <w:spacing w:before="120" w:after="120"/>
        <w:jc w:val="center"/>
      </w:pPr>
      <w:r>
        <w:rPr>
          <w:rFonts w:ascii="Courier New" w:hAnsi="Courier New"/>
          <w:b/>
          <w:sz w:val="21"/>
        </w:rPr>
        <w:t>Budget per round k:  b_k = b_0 · η^k,    Survivors:  n_k = n · η^{-k}   (2.3)</w:t>
      </w:r>
    </w:p>
    <w:p>
      <w:pPr>
        <w:spacing w:before="40" w:after="100" w:line="320" w:lineRule="exact"/>
        <w:jc w:val="both"/>
      </w:pPr>
      <w:r>
        <w:rPr>
          <w:rFonts w:ascii="Times New Roman" w:hAnsi="Times New Roman"/>
          <w:sz w:val="22"/>
        </w:rPr>
        <w:t>Hyperband (Li et al., 2017) resolves SH's tradeoff between initial configuration count and minimum budget by running multiple SH instances (brackets) in parallel, each with different (n, b_0) settings. The total compute per bracket is approximately B_max, so Hyperband's total cost is (s_max + 1) × B_max GPU-hours. BOHB (Falkner et al., 2018) replaces Hyperband's random sampling with a TPE-style model-based suggestion, achieving the efficiency of Hyperband with the sample efficiency of BO. ASHA (Li et al., 2020) provides an asynchronous version of Successive Halving that avoids synchronization bottlenecks in parallel settings.</w:t>
      </w:r>
    </w:p>
    <w:p>
      <w:pPr>
        <w:spacing w:before="40" w:after="100" w:line="320" w:lineRule="exact"/>
        <w:jc w:val="both"/>
      </w:pPr>
      <w:r>
        <w:rPr>
          <w:rFonts w:ascii="Times New Roman" w:hAnsi="Times New Roman"/>
          <w:sz w:val="22"/>
        </w:rPr>
        <w:t>A key limitation shared by all multi-fidelity methods is the fidelity-performance correlation assumption: low-fidelity performance must be predictive of high-fidelity performance. This assumption can fail for transformer models (Zela et al., 2022), where early training dynamics are poor predictors of final performance due to grokking and phase transitions (Power et al., 2022). LUHPO's LSTM surrogate can partially address this by learning the mapping from partial learning curves to final performance within the trajectory.</w:t>
      </w:r>
    </w:p>
    <w:p>
      <w:pPr>
        <w:pStyle w:val="Heading2"/>
      </w:pPr>
      <w:r>
        <w:t>2.3 Learning Curve Prediction and Sequential Surrogates</w:t>
      </w:r>
    </w:p>
    <w:p>
      <w:pPr>
        <w:spacing w:before="40" w:after="100" w:line="320" w:lineRule="exact"/>
        <w:jc w:val="both"/>
      </w:pPr>
      <w:r>
        <w:rPr>
          <w:rFonts w:ascii="Times New Roman" w:hAnsi="Times New Roman"/>
          <w:sz w:val="22"/>
        </w:rPr>
        <w:t>Several works have exploited the structure of learning curves to accelerate HPO. Domhan et al. (2015) fit a weighted combination of 11 parametric learning curve models to partially observed curves and use the predicted final performance to terminate poorly performing configurations early. Klein et al. (2017) proposed the Learning Curve Network (LC-Net), a Bayesian neural network that conditions on both the hyperparameter configuration λ and the partial learning curve to predict the final performance, enabling more accurate early stopping.</w:t>
      </w:r>
    </w:p>
    <w:p>
      <w:pPr>
        <w:spacing w:before="40" w:after="100" w:line="320" w:lineRule="exact"/>
        <w:jc w:val="both"/>
      </w:pPr>
      <w:r>
        <w:rPr>
          <w:rFonts w:ascii="Times New Roman" w:hAnsi="Times New Roman"/>
          <w:sz w:val="22"/>
        </w:rPr>
        <w:t>The use of recurrent networks as surrogates for sequential optimization is nascent. Chen et al. (2022) trained an LSTM to predict final validation accuracy from partial training curves, demonstrating strong performance on NASBench-101. Fusi et al. (2018) used a Factorized Multi-Task Gaussian Process that shares information across related HPO tasks, implicitly encoding task-level sequential structure. Most closely related to LUHPO, Luketina et al. (2019) used recurrent meta-learners for few-shot hyperparameter adaptation. However, none of these works uses a recurrent model as the primary BO surrogate over the full HPO trajectory, as LUHPO does.</w:t>
      </w:r>
    </w:p>
    <w:p>
      <w:pPr>
        <w:pStyle w:val="Heading2"/>
      </w:pPr>
      <w:r>
        <w:t>2.4 Human-in-the-Loop and Preference-Based Optimization</w:t>
      </w:r>
    </w:p>
    <w:p>
      <w:pPr>
        <w:spacing w:before="40" w:after="100" w:line="320" w:lineRule="exact"/>
        <w:jc w:val="both"/>
      </w:pPr>
      <w:r>
        <w:rPr>
          <w:rFonts w:ascii="Times New Roman" w:hAnsi="Times New Roman"/>
          <w:sz w:val="22"/>
        </w:rPr>
        <w:t>Interactive machine learning (IML; Fails &amp; Olsen, 2003; Amershi et al., 2014) incorporates human feedback into the learning loop across diverse applications. In active learning, humans label queried instances (Settles, 2010); in reinforcement learning from human feedback (RLHF; Christiano et al., 2017; Ouyang et al., 2022), humans rank model outputs to train reward models used for policy optimization. These paradigms inspire our feedback module design.</w:t>
      </w:r>
    </w:p>
    <w:p>
      <w:pPr>
        <w:spacing w:before="40" w:after="100" w:line="320" w:lineRule="exact"/>
        <w:jc w:val="both"/>
      </w:pPr>
      <w:r>
        <w:rPr>
          <w:rFonts w:ascii="Times New Roman" w:hAnsi="Times New Roman"/>
          <w:sz w:val="22"/>
        </w:rPr>
        <w:t>Preference-based Bayesian optimization (PBO; Brochu et al., 2010; Gonzalez et al., 2017; Siivola et al., 2021) assumes only pairwise preference observations—the objective value f(λ) is never observed directly, only the preference relation λ_a ≻ λ_b. This is appropriate when f is inherently subjective (e.g., aesthetic quality of a generated image). In contrast, LUHPO observes f(λ) directly and supplements it with human preferences, which is the correct formulation for HPO where validation accuracy is observable but insufficient to capture all relevant considerations.</w:t>
      </w:r>
    </w:p>
    <w:p>
      <w:pPr>
        <w:spacing w:before="40" w:after="100" w:line="320" w:lineRule="exact"/>
        <w:jc w:val="both"/>
      </w:pPr>
      <w:r>
        <w:rPr>
          <w:rFonts w:ascii="Times New Roman" w:hAnsi="Times New Roman"/>
          <w:sz w:val="22"/>
        </w:rPr>
        <w:t>The Direct Preference Optimization (DPO) framework (Rafailov et al., 2023) and its extensions (IPO, Azar et al., 2024; KTO, Ethayarajh et al., 2024) have demonstrated that human preferences can be exploited without an explicit RL loop for LLM alignment. Our feedback module draws on the Bradley-Terry model used in DPO and extends it to the HPO setting, where the reward is expressed over the hyperparameter configuration space rather than the output sequence space.</w:t>
      </w:r>
    </w:p>
    <w:p>
      <w:pPr>
        <w:pStyle w:val="Heading2"/>
      </w:pPr>
      <w:r>
        <w:t>2.5 Meta-Learning and Warm-Starting for HPO</w:t>
      </w:r>
    </w:p>
    <w:p>
      <w:pPr>
        <w:spacing w:before="40" w:after="100" w:line="320" w:lineRule="exact"/>
        <w:jc w:val="both"/>
      </w:pPr>
      <w:r>
        <w:rPr>
          <w:rFonts w:ascii="Times New Roman" w:hAnsi="Times New Roman"/>
          <w:sz w:val="22"/>
        </w:rPr>
        <w:t>Meta-learning for HPO uses knowledge from prior HPO runs on related tasks to warm-start the search on new tasks. Feurer et al. (2015) compute dataset meta-features (statistical properties of the dataset such as dimensionality, class imbalance, and landmarker performance) and retrieve configurations that performed well on similar past datasets. Wistuba et al. (2016) transfer GP surrogates across tasks via rank-based scaling. HEBO (Cowen-Rivers et al., 2022) uses a learned GP acquisition function with a learned mean function initialized from meta-training.</w:t>
      </w:r>
    </w:p>
    <w:p>
      <w:pPr>
        <w:spacing w:before="40" w:after="100" w:line="320" w:lineRule="exact"/>
        <w:jc w:val="both"/>
      </w:pPr>
      <w:r>
        <w:rPr>
          <w:rFonts w:ascii="Times New Roman" w:hAnsi="Times New Roman"/>
          <w:sz w:val="22"/>
        </w:rPr>
        <w:t>Model-Agnostic Meta-Learning (MAML; Finn et al., 2017) and Reptile (Nichol et al., 2018) learn a shared initialization that adapts quickly to new tasks. In the HPO context, these methods can be viewed as warm-starting the inner-loop optimizer's learning rate—a perspective that connects meta-learning directly to our problem formulation. LUHPO's LSTM surrogate can naturally incorporate meta-learning by pre-training on offline HPO trajectories from related tasks, providing a warm-started prior over f. We leave this extension to future work.</w:t>
      </w:r>
    </w:p>
    <w:p>
      <w:r>
        <w:br w:type="page"/>
      </w:r>
    </w:p>
    <w:p>
      <w:pPr>
        <w:pStyle w:val="Heading1"/>
      </w:pPr>
      <w:r>
        <w:t>3. Problem Formulation</w:t>
      </w:r>
    </w:p>
    <w:p>
      <w:pPr>
        <w:spacing w:before="40" w:after="100" w:line="320" w:lineRule="exact"/>
        <w:jc w:val="both"/>
      </w:pPr>
      <w:r>
        <w:rPr>
          <w:rFonts w:ascii="Times New Roman" w:hAnsi="Times New Roman"/>
          <w:sz w:val="22"/>
        </w:rPr>
        <w:t>In this section we establish the formal mathematical framework underpinning LUHPO. We begin with the standard HPO problem, then introduce the augmented formulation that incorporates user preferences, and finally characterize the structural properties of the configuration space relevant to our approach.</w:t>
      </w:r>
    </w:p>
    <w:p>
      <w:pPr>
        <w:pStyle w:val="Heading2"/>
      </w:pPr>
      <w:r>
        <w:t>3.1 Standard Hyperparameter Optimization</w:t>
      </w:r>
    </w:p>
    <w:p>
      <w:pPr>
        <w:spacing w:before="40" w:after="100" w:line="320" w:lineRule="exact"/>
        <w:jc w:val="both"/>
      </w:pPr>
      <w:r>
        <w:rPr>
          <w:rFonts w:ascii="Times New Roman" w:hAnsi="Times New Roman"/>
          <w:sz w:val="22"/>
        </w:rPr>
        <w:t>Let A denote a learning algorithm and Λ a hyperparameter configuration space. For a dataset D = (D_train, D_val), the learning algorithm A(λ, D_train) produces a trained model M_λ parameterized by the configuration λ ∈ Λ. Define the validation objective function:</w:t>
      </w:r>
    </w:p>
    <w:p>
      <w:pPr>
        <w:spacing w:before="120" w:after="120"/>
        <w:jc w:val="center"/>
      </w:pPr>
      <w:r>
        <w:rPr>
          <w:rFonts w:ascii="Courier New" w:hAnsi="Courier New"/>
          <w:b/>
          <w:sz w:val="21"/>
        </w:rPr>
        <w:t>f : Λ → ℝ,    f(λ) = V(A(λ, D_train), D_val) + ε_λ   (3.1)</w:t>
      </w:r>
    </w:p>
    <w:p>
      <w:pPr>
        <w:spacing w:before="40" w:after="100" w:line="320" w:lineRule="exact"/>
        <w:jc w:val="both"/>
      </w:pPr>
      <w:r>
        <w:rPr>
          <w:rFonts w:ascii="Times New Roman" w:hAnsi="Times New Roman"/>
          <w:sz w:val="22"/>
        </w:rPr>
        <w:t>where V is a scalar performance metric (e.g., cross-entropy loss, error rate, or negative BLEU score—all defined such that minimization is the goal) and ε_λ ~ N(0, σ_noise²) models the stochastic noise due to random initialization and mini-batch sampling. The standard HPO problem is:</w:t>
      </w:r>
    </w:p>
    <w:p>
      <w:pPr>
        <w:spacing w:before="120" w:after="120"/>
        <w:jc w:val="center"/>
      </w:pPr>
      <w:r>
        <w:rPr>
          <w:rFonts w:ascii="Courier New" w:hAnsi="Courier New"/>
          <w:b/>
          <w:sz w:val="21"/>
        </w:rPr>
        <w:t>λ* = argmin_{λ ∈ Λ}  𝔼[f(λ)]   (3.2)</w:t>
      </w:r>
    </w:p>
    <w:p>
      <w:pPr>
        <w:spacing w:before="40" w:after="100" w:line="320" w:lineRule="exact"/>
        <w:jc w:val="both"/>
      </w:pPr>
      <w:r>
        <w:rPr>
          <w:rFonts w:ascii="Times New Roman" w:hAnsi="Times New Roman"/>
          <w:sz w:val="22"/>
        </w:rPr>
        <w:t>This is a global optimization problem over the configuration space Λ with the following key characteristics that distinguish it from standard nonlinear programming:</w:t>
      </w:r>
    </w:p>
    <w:p>
      <w:pPr>
        <w:pStyle w:val="ListBullet"/>
        <w:spacing w:before="20" w:after="40" w:line="300" w:lineRule="exact"/>
        <w:ind w:left="504"/>
      </w:pPr>
      <w:r>
        <w:rPr>
          <w:rFonts w:ascii="Times New Roman" w:hAnsi="Times New Roman"/>
          <w:sz w:val="22"/>
        </w:rPr>
        <w:t>Black-box objective: The gradient ∇_λ f(λ) is generally unavailable; f is evaluated by running the training procedure A as an oracle.</w:t>
      </w:r>
    </w:p>
    <w:p>
      <w:pPr>
        <w:pStyle w:val="ListBullet"/>
        <w:spacing w:before="20" w:after="40" w:line="300" w:lineRule="exact"/>
        <w:ind w:left="504"/>
      </w:pPr>
      <w:r>
        <w:rPr>
          <w:rFonts w:ascii="Times New Roman" w:hAnsi="Times New Roman"/>
          <w:sz w:val="22"/>
        </w:rPr>
        <w:t>Expensive evaluations: Each call to f requires training a model to convergence, costing O(hours) for large neural networks.</w:t>
      </w:r>
    </w:p>
    <w:p>
      <w:pPr>
        <w:pStyle w:val="ListBullet"/>
        <w:spacing w:before="20" w:after="40" w:line="300" w:lineRule="exact"/>
        <w:ind w:left="504"/>
      </w:pPr>
      <w:r>
        <w:rPr>
          <w:rFonts w:ascii="Times New Roman" w:hAnsi="Times New Roman"/>
          <w:sz w:val="22"/>
        </w:rPr>
        <w:t>Noisy evaluations: Repeated evaluations of the same λ produce different values of f(λ) due to stochastic training. The noise variance σ²_noise is itself unknown.</w:t>
      </w:r>
    </w:p>
    <w:p>
      <w:pPr>
        <w:pStyle w:val="ListBullet"/>
        <w:spacing w:before="20" w:after="40" w:line="300" w:lineRule="exact"/>
        <w:ind w:left="504"/>
      </w:pPr>
      <w:r>
        <w:rPr>
          <w:rFonts w:ascii="Times New Roman" w:hAnsi="Times New Roman"/>
          <w:sz w:val="22"/>
        </w:rPr>
        <w:t>Non-differentiability: f is not differentiable with respect to integer-valued, categorical, or conditional hyperparameters.</w:t>
      </w:r>
    </w:p>
    <w:p>
      <w:pPr>
        <w:pStyle w:val="ListBullet"/>
        <w:spacing w:before="20" w:after="40" w:line="300" w:lineRule="exact"/>
        <w:ind w:left="504"/>
      </w:pPr>
      <w:r>
        <w:rPr>
          <w:rFonts w:ascii="Times New Roman" w:hAnsi="Times New Roman"/>
          <w:sz w:val="22"/>
        </w:rPr>
        <w:t>Mixed and conditional types: Λ contains continuous, integer-valued, categorical, boolean, and conditional hyperparameters with hierarchical dependency structure.</w:t>
      </w:r>
    </w:p>
    <w:p>
      <w:pPr>
        <w:pStyle w:val="Heading2"/>
      </w:pPr>
      <w:r>
        <w:t>3.2 The Hyperparameter Configuration Space</w:t>
      </w:r>
    </w:p>
    <w:p>
      <w:pPr>
        <w:spacing w:before="40" w:after="100" w:line="320" w:lineRule="exact"/>
        <w:jc w:val="both"/>
      </w:pPr>
      <w:r>
        <w:rPr>
          <w:rFonts w:ascii="Times New Roman" w:hAnsi="Times New Roman"/>
          <w:sz w:val="22"/>
        </w:rPr>
        <w:t>The configuration space Λ = Λ_cont × Λ_int × Λ_cat × Λ_bool × Λ_cond is a Cartesian product over five hyperparameter types, each requiring specialized handling. Table 3.1 provides a detailed taxonomy with examples and encoding strategies.</w:t>
      </w:r>
    </w:p>
    <w:p>
      <w:pPr>
        <w:spacing w:before="160"/>
        <w:jc w:val="center"/>
      </w:pPr>
      <w:r>
        <w:rPr>
          <w:b/>
          <w:i/>
          <w:sz w:val="20"/>
        </w:rPr>
        <w:t>Table 3.1: Hyperparameter Types, Domains, and LUHPO Encoding Strategies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584"/>
            <w:shd w:val="clear" w:color="auto" w:fill="1F497D"/>
          </w:tcPr>
          <w:p>
            <w:r>
              <w:rPr>
                <w:rFonts w:ascii="Times New Roman" w:hAnsi="Times New Roman"/>
                <w:b/>
                <w:color w:val="FFFFFF"/>
                <w:sz w:val="19"/>
              </w:rPr>
              <w:t>Type</w:t>
            </w:r>
          </w:p>
        </w:tc>
        <w:tc>
          <w:tcPr>
            <w:tcW w:type="dxa" w:w="2304"/>
            <w:shd w:val="clear" w:color="auto" w:fill="1F497D"/>
          </w:tcPr>
          <w:p>
            <w:r>
              <w:rPr>
                <w:rFonts w:ascii="Times New Roman" w:hAnsi="Times New Roman"/>
                <w:b/>
                <w:color w:val="FFFFFF"/>
                <w:sz w:val="19"/>
              </w:rPr>
              <w:t>Mathematical Domain</w:t>
            </w:r>
          </w:p>
        </w:tc>
        <w:tc>
          <w:tcPr>
            <w:tcW w:type="dxa" w:w="2304"/>
            <w:shd w:val="clear" w:color="auto" w:fill="1F497D"/>
          </w:tcPr>
          <w:p>
            <w:r>
              <w:rPr>
                <w:rFonts w:ascii="Times New Roman" w:hAnsi="Times New Roman"/>
                <w:b/>
                <w:color w:val="FFFFFF"/>
                <w:sz w:val="19"/>
              </w:rPr>
              <w:t>HPO Example</w:t>
            </w:r>
          </w:p>
        </w:tc>
        <w:tc>
          <w:tcPr>
            <w:tcW w:type="dxa" w:w="2448"/>
            <w:shd w:val="clear" w:color="auto" w:fill="1F497D"/>
          </w:tcPr>
          <w:p>
            <w:r>
              <w:rPr>
                <w:rFonts w:ascii="Times New Roman" w:hAnsi="Times New Roman"/>
                <w:b/>
                <w:color w:val="FFFFFF"/>
                <w:sz w:val="19"/>
              </w:rPr>
              <w:t>LUHPO Encoding φ(·)</w:t>
            </w:r>
          </w:p>
        </w:tc>
        <w:tc>
          <w:tcPr>
            <w:tcW w:type="dxa" w:w="2592"/>
            <w:shd w:val="clear" w:color="auto" w:fill="1F497D"/>
          </w:tcPr>
          <w:p>
            <w:r>
              <w:rPr>
                <w:rFonts w:ascii="Times New Roman" w:hAnsi="Times New Roman"/>
                <w:b/>
                <w:color w:val="FFFFFF"/>
                <w:sz w:val="19"/>
              </w:rPr>
              <w:t>Sampling Prior</w:t>
            </w:r>
          </w:p>
        </w:tc>
      </w:tr>
      <w:tr>
        <w:tc>
          <w:tcPr>
            <w:tcW w:type="dxa" w:w="1584"/>
            <w:shd w:val="clear" w:color="auto" w:fill="EBF3FB"/>
          </w:tcPr>
          <w:p>
            <w:r>
              <w:rPr>
                <w:rFonts w:ascii="Times New Roman" w:hAnsi="Times New Roman"/>
                <w:sz w:val="19"/>
              </w:rPr>
              <w:t>Continuous</w:t>
            </w:r>
          </w:p>
        </w:tc>
        <w:tc>
          <w:tcPr>
            <w:tcW w:type="dxa" w:w="2304"/>
            <w:shd w:val="clear" w:color="auto" w:fill="EBF3FB"/>
          </w:tcPr>
          <w:p>
            <w:r>
              <w:rPr>
                <w:rFonts w:ascii="Times New Roman" w:hAnsi="Times New Roman"/>
                <w:sz w:val="19"/>
              </w:rPr>
              <w:t>ℝ or bounded [a, b]</w:t>
            </w:r>
          </w:p>
        </w:tc>
        <w:tc>
          <w:tcPr>
            <w:tcW w:type="dxa" w:w="2304"/>
            <w:shd w:val="clear" w:color="auto" w:fill="EBF3FB"/>
          </w:tcPr>
          <w:p>
            <w:r>
              <w:rPr>
                <w:rFonts w:ascii="Times New Roman" w:hAnsi="Times New Roman"/>
                <w:sz w:val="19"/>
              </w:rPr>
              <w:t>Learning rate η</w:t>
            </w:r>
          </w:p>
        </w:tc>
        <w:tc>
          <w:tcPr>
            <w:tcW w:type="dxa" w:w="2448"/>
            <w:shd w:val="clear" w:color="auto" w:fill="EBF3FB"/>
          </w:tcPr>
          <w:p>
            <w:r>
              <w:rPr>
                <w:rFonts w:ascii="Times New Roman" w:hAnsi="Times New Roman"/>
                <w:sz w:val="19"/>
              </w:rPr>
              <w:t>Log-normalize to [0,1]</w:t>
            </w:r>
          </w:p>
        </w:tc>
        <w:tc>
          <w:tcPr>
            <w:tcW w:type="dxa" w:w="2592"/>
            <w:shd w:val="clear" w:color="auto" w:fill="EBF3FB"/>
          </w:tcPr>
          <w:p>
            <w:r>
              <w:rPr>
                <w:rFonts w:ascii="Times New Roman" w:hAnsi="Times New Roman"/>
                <w:sz w:val="19"/>
              </w:rPr>
              <w:t>Log-uniform or Normal</w:t>
            </w:r>
          </w:p>
        </w:tc>
      </w:tr>
      <w:tr>
        <w:tc>
          <w:tcPr>
            <w:tcW w:type="dxa" w:w="1584"/>
            <w:shd w:val="clear" w:color="auto" w:fill="FFFFFF"/>
          </w:tcPr>
          <w:p>
            <w:r>
              <w:rPr>
                <w:rFonts w:ascii="Times New Roman" w:hAnsi="Times New Roman"/>
                <w:sz w:val="19"/>
              </w:rPr>
              <w:t>Integer</w:t>
            </w:r>
          </w:p>
        </w:tc>
        <w:tc>
          <w:tcPr>
            <w:tcW w:type="dxa" w:w="2304"/>
            <w:shd w:val="clear" w:color="auto" w:fill="FFFFFF"/>
          </w:tcPr>
          <w:p>
            <w:r>
              <w:rPr>
                <w:rFonts w:ascii="Times New Roman" w:hAnsi="Times New Roman"/>
                <w:sz w:val="19"/>
              </w:rPr>
              <w:t>ℤ or {a,...,b}</w:t>
            </w:r>
          </w:p>
        </w:tc>
        <w:tc>
          <w:tcPr>
            <w:tcW w:type="dxa" w:w="2304"/>
            <w:shd w:val="clear" w:color="auto" w:fill="FFFFFF"/>
          </w:tcPr>
          <w:p>
            <w:r>
              <w:rPr>
                <w:rFonts w:ascii="Times New Roman" w:hAnsi="Times New Roman"/>
                <w:sz w:val="19"/>
              </w:rPr>
              <w:t>Batch size B</w:t>
            </w:r>
          </w:p>
        </w:tc>
        <w:tc>
          <w:tcPr>
            <w:tcW w:type="dxa" w:w="2448"/>
            <w:shd w:val="clear" w:color="auto" w:fill="FFFFFF"/>
          </w:tcPr>
          <w:p>
            <w:r>
              <w:rPr>
                <w:rFonts w:ascii="Times New Roman" w:hAnsi="Times New Roman"/>
                <w:sz w:val="19"/>
              </w:rPr>
              <w:t>Normalize + embed dim</w:t>
            </w:r>
          </w:p>
        </w:tc>
        <w:tc>
          <w:tcPr>
            <w:tcW w:type="dxa" w:w="2592"/>
            <w:shd w:val="clear" w:color="auto" w:fill="FFFFFF"/>
          </w:tcPr>
          <w:p>
            <w:r>
              <w:rPr>
                <w:rFonts w:ascii="Times New Roman" w:hAnsi="Times New Roman"/>
                <w:sz w:val="19"/>
              </w:rPr>
              <w:t>Discrete uniform / Geometric</w:t>
            </w:r>
          </w:p>
        </w:tc>
      </w:tr>
      <w:tr>
        <w:tc>
          <w:tcPr>
            <w:tcW w:type="dxa" w:w="1584"/>
            <w:shd w:val="clear" w:color="auto" w:fill="EBF3FB"/>
          </w:tcPr>
          <w:p>
            <w:r>
              <w:rPr>
                <w:rFonts w:ascii="Times New Roman" w:hAnsi="Times New Roman"/>
                <w:sz w:val="19"/>
              </w:rPr>
              <w:t>Categorical</w:t>
            </w:r>
          </w:p>
        </w:tc>
        <w:tc>
          <w:tcPr>
            <w:tcW w:type="dxa" w:w="2304"/>
            <w:shd w:val="clear" w:color="auto" w:fill="EBF3FB"/>
          </w:tcPr>
          <w:p>
            <w:r>
              <w:rPr>
                <w:rFonts w:ascii="Times New Roman" w:hAnsi="Times New Roman"/>
                <w:sz w:val="19"/>
              </w:rPr>
              <w:t>{c_1,...,c_K}</w:t>
            </w:r>
          </w:p>
        </w:tc>
        <w:tc>
          <w:tcPr>
            <w:tcW w:type="dxa" w:w="2304"/>
            <w:shd w:val="clear" w:color="auto" w:fill="EBF3FB"/>
          </w:tcPr>
          <w:p>
            <w:r>
              <w:rPr>
                <w:rFonts w:ascii="Times New Roman" w:hAnsi="Times New Roman"/>
                <w:sz w:val="19"/>
              </w:rPr>
              <w:t>Optimizer ∈ {SGD, Adam}</w:t>
            </w:r>
          </w:p>
        </w:tc>
        <w:tc>
          <w:tcPr>
            <w:tcW w:type="dxa" w:w="2448"/>
            <w:shd w:val="clear" w:color="auto" w:fill="EBF3FB"/>
          </w:tcPr>
          <w:p>
            <w:r>
              <w:rPr>
                <w:rFonts w:ascii="Times New Roman" w:hAnsi="Times New Roman"/>
                <w:sz w:val="19"/>
              </w:rPr>
              <w:t>One-hot ∈ {0,1}^K</w:t>
            </w:r>
          </w:p>
        </w:tc>
        <w:tc>
          <w:tcPr>
            <w:tcW w:type="dxa" w:w="2592"/>
            <w:shd w:val="clear" w:color="auto" w:fill="EBF3FB"/>
          </w:tcPr>
          <w:p>
            <w:r>
              <w:rPr>
                <w:rFonts w:ascii="Times New Roman" w:hAnsi="Times New Roman"/>
                <w:sz w:val="19"/>
              </w:rPr>
              <w:t>Uniform categorical</w:t>
            </w:r>
          </w:p>
        </w:tc>
      </w:tr>
      <w:tr>
        <w:tc>
          <w:tcPr>
            <w:tcW w:type="dxa" w:w="1584"/>
            <w:shd w:val="clear" w:color="auto" w:fill="FFFFFF"/>
          </w:tcPr>
          <w:p>
            <w:r>
              <w:rPr>
                <w:rFonts w:ascii="Times New Roman" w:hAnsi="Times New Roman"/>
                <w:sz w:val="19"/>
              </w:rPr>
              <w:t>Boolean</w:t>
            </w:r>
          </w:p>
        </w:tc>
        <w:tc>
          <w:tcPr>
            <w:tcW w:type="dxa" w:w="2304"/>
            <w:shd w:val="clear" w:color="auto" w:fill="FFFFFF"/>
          </w:tcPr>
          <w:p>
            <w:r>
              <w:rPr>
                <w:rFonts w:ascii="Times New Roman" w:hAnsi="Times New Roman"/>
                <w:sz w:val="19"/>
              </w:rPr>
              <w:t>{0, 1}</w:t>
            </w:r>
          </w:p>
        </w:tc>
        <w:tc>
          <w:tcPr>
            <w:tcW w:type="dxa" w:w="2304"/>
            <w:shd w:val="clear" w:color="auto" w:fill="FFFFFF"/>
          </w:tcPr>
          <w:p>
            <w:r>
              <w:rPr>
                <w:rFonts w:ascii="Times New Roman" w:hAnsi="Times New Roman"/>
                <w:sz w:val="19"/>
              </w:rPr>
              <w:t>Use BatchNorm</w:t>
            </w:r>
          </w:p>
        </w:tc>
        <w:tc>
          <w:tcPr>
            <w:tcW w:type="dxa" w:w="2448"/>
            <w:shd w:val="clear" w:color="auto" w:fill="FFFFFF"/>
          </w:tcPr>
          <w:p>
            <w:r>
              <w:rPr>
                <w:rFonts w:ascii="Times New Roman" w:hAnsi="Times New Roman"/>
                <w:sz w:val="19"/>
              </w:rPr>
              <w:t>Identity {0, 1}</w:t>
            </w:r>
          </w:p>
        </w:tc>
        <w:tc>
          <w:tcPr>
            <w:tcW w:type="dxa" w:w="2592"/>
            <w:shd w:val="clear" w:color="auto" w:fill="FFFFFF"/>
          </w:tcPr>
          <w:p>
            <w:r>
              <w:rPr>
                <w:rFonts w:ascii="Times New Roman" w:hAnsi="Times New Roman"/>
                <w:sz w:val="19"/>
              </w:rPr>
              <w:t>Bernoulli(0.5)</w:t>
            </w:r>
          </w:p>
        </w:tc>
      </w:tr>
      <w:tr>
        <w:tc>
          <w:tcPr>
            <w:tcW w:type="dxa" w:w="1584"/>
            <w:shd w:val="clear" w:color="auto" w:fill="EBF3FB"/>
          </w:tcPr>
          <w:p>
            <w:r>
              <w:rPr>
                <w:rFonts w:ascii="Times New Roman" w:hAnsi="Times New Roman"/>
                <w:sz w:val="19"/>
              </w:rPr>
              <w:t>Conditional</w:t>
            </w:r>
          </w:p>
        </w:tc>
        <w:tc>
          <w:tcPr>
            <w:tcW w:type="dxa" w:w="2304"/>
            <w:shd w:val="clear" w:color="auto" w:fill="EBF3FB"/>
          </w:tcPr>
          <w:p>
            <w:r>
              <w:rPr>
                <w:rFonts w:ascii="Times New Roman" w:hAnsi="Times New Roman"/>
                <w:sz w:val="19"/>
              </w:rPr>
              <w:t>Λ_parent × Λ_child</w:t>
            </w:r>
          </w:p>
        </w:tc>
        <w:tc>
          <w:tcPr>
            <w:tcW w:type="dxa" w:w="2304"/>
            <w:shd w:val="clear" w:color="auto" w:fill="EBF3FB"/>
          </w:tcPr>
          <w:p>
            <w:r>
              <w:rPr>
                <w:rFonts w:ascii="Times New Roman" w:hAnsi="Times New Roman"/>
                <w:sz w:val="19"/>
              </w:rPr>
              <w:t>LSTM hidden dim (if RNN)</w:t>
            </w:r>
          </w:p>
        </w:tc>
        <w:tc>
          <w:tcPr>
            <w:tcW w:type="dxa" w:w="2448"/>
            <w:shd w:val="clear" w:color="auto" w:fill="EBF3FB"/>
          </w:tcPr>
          <w:p>
            <w:r>
              <w:rPr>
                <w:rFonts w:ascii="Times New Roman" w:hAnsi="Times New Roman"/>
                <w:sz w:val="19"/>
              </w:rPr>
              <w:t>Mask to 0 if inactive</w:t>
            </w:r>
          </w:p>
        </w:tc>
        <w:tc>
          <w:tcPr>
            <w:tcW w:type="dxa" w:w="2592"/>
            <w:shd w:val="clear" w:color="auto" w:fill="EBF3FB"/>
          </w:tcPr>
          <w:p>
            <w:r>
              <w:rPr>
                <w:rFonts w:ascii="Times New Roman" w:hAnsi="Times New Roman"/>
                <w:sz w:val="19"/>
              </w:rPr>
              <w:t>Conditional distribution</w:t>
            </w:r>
          </w:p>
        </w:tc>
      </w:tr>
      <w:tr>
        <w:tc>
          <w:tcPr>
            <w:tcW w:type="dxa" w:w="1584"/>
            <w:shd w:val="clear" w:color="auto" w:fill="FFFFFF"/>
          </w:tcPr>
          <w:p>
            <w:r>
              <w:rPr>
                <w:rFonts w:ascii="Times New Roman" w:hAnsi="Times New Roman"/>
                <w:sz w:val="19"/>
              </w:rPr>
              <w:t>Ordinal</w:t>
            </w:r>
          </w:p>
        </w:tc>
        <w:tc>
          <w:tcPr>
            <w:tcW w:type="dxa" w:w="2304"/>
            <w:shd w:val="clear" w:color="auto" w:fill="FFFFFF"/>
          </w:tcPr>
          <w:p>
            <w:r>
              <w:rPr>
                <w:rFonts w:ascii="Times New Roman" w:hAnsi="Times New Roman"/>
                <w:sz w:val="19"/>
              </w:rPr>
              <w:t>{v_1 &lt; v_2 &lt; ... &lt; v_K}</w:t>
            </w:r>
          </w:p>
        </w:tc>
        <w:tc>
          <w:tcPr>
            <w:tcW w:type="dxa" w:w="2304"/>
            <w:shd w:val="clear" w:color="auto" w:fill="FFFFFF"/>
          </w:tcPr>
          <w:p>
            <w:r>
              <w:rPr>
                <w:rFonts w:ascii="Times New Roman" w:hAnsi="Times New Roman"/>
                <w:sz w:val="19"/>
              </w:rPr>
              <w:t>Number of layers</w:t>
            </w:r>
          </w:p>
        </w:tc>
        <w:tc>
          <w:tcPr>
            <w:tcW w:type="dxa" w:w="2448"/>
            <w:shd w:val="clear" w:color="auto" w:fill="FFFFFF"/>
          </w:tcPr>
          <w:p>
            <w:r>
              <w:rPr>
                <w:rFonts w:ascii="Times New Roman" w:hAnsi="Times New Roman"/>
                <w:sz w:val="19"/>
              </w:rPr>
              <w:t>Rank-normalize to [0,1]</w:t>
            </w:r>
          </w:p>
        </w:tc>
        <w:tc>
          <w:tcPr>
            <w:tcW w:type="dxa" w:w="2592"/>
            <w:shd w:val="clear" w:color="auto" w:fill="FFFFFF"/>
          </w:tcPr>
          <w:p>
            <w:r>
              <w:rPr>
                <w:rFonts w:ascii="Times New Roman" w:hAnsi="Times New Roman"/>
                <w:sz w:val="19"/>
              </w:rPr>
              <w:t>Discrete uniform</w:t>
            </w:r>
          </w:p>
        </w:tc>
      </w:tr>
    </w:tbl>
    <w:p/>
    <w:p>
      <w:pPr>
        <w:spacing w:before="160"/>
        <w:jc w:val="center"/>
      </w:pPr>
      <w:r>
        <w:drawing>
          <wp:inline xmlns:a="http://schemas.openxmlformats.org/drawingml/2006/main" xmlns:pic="http://schemas.openxmlformats.org/drawingml/2006/picture">
            <wp:extent cx="5577840" cy="2759621"/>
            <wp:docPr id="1" name="Picture 1"/>
            <wp:cNvGraphicFramePr>
              <a:graphicFrameLocks noChangeAspect="1"/>
            </wp:cNvGraphicFramePr>
            <a:graphic>
              <a:graphicData uri="http://schemas.openxmlformats.org/drawingml/2006/picture">
                <pic:pic>
                  <pic:nvPicPr>
                    <pic:cNvPr id="0" name="figB_hpspace.png"/>
                    <pic:cNvPicPr/>
                  </pic:nvPicPr>
                  <pic:blipFill>
                    <a:blip r:embed="rId9"/>
                    <a:stretch>
                      <a:fillRect/>
                    </a:stretch>
                  </pic:blipFill>
                  <pic:spPr>
                    <a:xfrm>
                      <a:off x="0" y="0"/>
                      <a:ext cx="5577840" cy="2759621"/>
                    </a:xfrm>
                    <a:prstGeom prst="rect"/>
                  </pic:spPr>
                </pic:pic>
              </a:graphicData>
            </a:graphic>
          </wp:inline>
        </w:drawing>
      </w:r>
    </w:p>
    <w:p>
      <w:pPr>
        <w:spacing w:after="240"/>
        <w:jc w:val="center"/>
      </w:pPr>
      <w:r>
        <w:rPr>
          <w:rFonts w:ascii="Times New Roman" w:hAnsi="Times New Roman"/>
          <w:i/>
          <w:sz w:val="19"/>
        </w:rPr>
        <w:t>Figure 3.1: Taxonomy of the Hyperparameter Configuration Space Λ. The five primary hyperparameter types and their subtypes are shown, along with the LUHPO embedding function φ: Λ → ℝᵈ that maps all types into a unified continuous representation suitable for the LSTM surrogate input.</w:t>
      </w:r>
    </w:p>
    <w:p>
      <w:pPr>
        <w:spacing w:before="40" w:after="100" w:line="320" w:lineRule="exact"/>
        <w:jc w:val="both"/>
      </w:pPr>
      <w:r>
        <w:rPr>
          <w:rFonts w:ascii="Times New Roman" w:hAnsi="Times New Roman"/>
          <w:sz w:val="22"/>
        </w:rPr>
        <w:t>The conditional structure of Λ is particularly important. When a parent hyperparameter (e.g., model_type ∈ {MLP, CNN, RNN}) takes a particular value, certain child hyperparameters become active (e.g., kernel_size is only relevant when model_type = CNN). This creates a directed acyclic graph (DAG) of hyperparameter dependencies. LUHPO encodes inactive hyperparameters as zero-valued masked dimensions in the embedding φ(λ), with a corresponding binary mask vector m(λ) ∈ {0,1}^d indicating active dimensions. The LSTM processes both φ(λ) and m(λ) as inputs, allowing it to learn to ignore masked dimensions.</w:t>
      </w:r>
    </w:p>
    <w:p>
      <w:pPr>
        <w:pStyle w:val="Heading2"/>
      </w:pPr>
      <w:r>
        <w:t>3.3 The Sequential Observation Model</w:t>
      </w:r>
    </w:p>
    <w:p>
      <w:pPr>
        <w:spacing w:before="40" w:after="100" w:line="320" w:lineRule="exact"/>
        <w:jc w:val="both"/>
      </w:pPr>
      <w:r>
        <w:rPr>
          <w:rFonts w:ascii="Times New Roman" w:hAnsi="Times New Roman"/>
          <w:sz w:val="22"/>
        </w:rPr>
        <w:t>A key departure from standard BO formulations is our explicit modeling of the sequential structure of HPO evaluations. Rather than treating the observation history as an unordered set D_t = {(λ_i, y_i)}_{i=1}^t, LUHPO treats it as an ordered sequence:</w:t>
      </w:r>
    </w:p>
    <w:p>
      <w:pPr>
        <w:spacing w:before="120" w:after="120"/>
        <w:jc w:val="center"/>
      </w:pPr>
      <w:r>
        <w:rPr>
          <w:rFonts w:ascii="Courier New" w:hAnsi="Courier New"/>
          <w:b/>
          <w:sz w:val="21"/>
        </w:rPr>
        <w:t>τ_t = ⟨(λ_1, y_1), (λ_2, y_2), ..., (λ_t, y_t)⟩   (3.3)</w:t>
      </w:r>
    </w:p>
    <w:p>
      <w:pPr>
        <w:spacing w:before="40" w:after="100" w:line="320" w:lineRule="exact"/>
        <w:jc w:val="both"/>
      </w:pPr>
      <w:r>
        <w:rPr>
          <w:rFonts w:ascii="Times New Roman" w:hAnsi="Times New Roman"/>
          <w:sz w:val="22"/>
        </w:rPr>
        <w:t>where y_i = f(λ_i) + ε_i is the noisy observation. The ordering is meaningful because it encodes the sequential decisions of the acquisition function: λ_{i+1} was chosen based on the posterior p(f|τ_i), so the sequence τ_t records the entire exploration history. We refer to τ_t as the HPO trajectory.</w:t>
      </w:r>
    </w:p>
    <w:p>
      <w:pPr>
        <w:spacing w:before="40" w:after="100" w:line="320" w:lineRule="exact"/>
        <w:jc w:val="both"/>
      </w:pPr>
      <w:r>
        <w:rPr>
          <w:rFonts w:ascii="Times New Roman" w:hAnsi="Times New Roman"/>
          <w:sz w:val="22"/>
        </w:rPr>
        <w:t>Formally, the LUHPO surrogate models the conditional distribution:</w:t>
      </w:r>
    </w:p>
    <w:p>
      <w:pPr>
        <w:spacing w:before="120" w:after="120"/>
        <w:jc w:val="center"/>
      </w:pPr>
      <w:r>
        <w:rPr>
          <w:rFonts w:ascii="Courier New" w:hAnsi="Courier New"/>
          <w:b/>
          <w:sz w:val="21"/>
        </w:rPr>
        <w:t>p(f(λ_{t+1}) | τ_t, λ_{t+1}) = N(μ_θ(τ_t, λ_{t+1}), σ²_θ(τ_t, λ_{t+1}))   (3.4)</w:t>
      </w:r>
    </w:p>
    <w:p>
      <w:pPr>
        <w:spacing w:before="40" w:after="100" w:line="320" w:lineRule="exact"/>
        <w:jc w:val="both"/>
      </w:pPr>
      <w:r>
        <w:rPr>
          <w:rFonts w:ascii="Times New Roman" w:hAnsi="Times New Roman"/>
          <w:sz w:val="22"/>
        </w:rPr>
        <w:t>where θ are the parameters of the LSTM surrogate. This is fundamentally richer than the GP posterior p(f(λ)|D_t, λ), which conditions only on the unordered set D_t and ignores the trajectory τ_t.</w:t>
      </w:r>
    </w:p>
    <w:p>
      <w:pPr>
        <w:pStyle w:val="Heading2"/>
      </w:pPr>
      <w:r>
        <w:t>3.4 The User Preference Function</w:t>
      </w:r>
    </w:p>
    <w:p>
      <w:pPr>
        <w:spacing w:before="40" w:after="100" w:line="320" w:lineRule="exact"/>
        <w:jc w:val="both"/>
      </w:pPr>
      <w:r>
        <w:rPr>
          <w:rFonts w:ascii="Times New Roman" w:hAnsi="Times New Roman"/>
          <w:sz w:val="22"/>
        </w:rPr>
        <w:t>We model the practitioner's latent preferences over configurations via a utility function u: Λ → ℝ that assigns a scalar utility value to each configuration. The utility function u is unknown and partially revealed through user feedback. We assume u satisfies the following properties:</w:t>
      </w:r>
    </w:p>
    <w:p>
      <w:pPr>
        <w:pStyle w:val="ListBullet"/>
        <w:spacing w:before="20" w:after="40" w:line="300" w:lineRule="exact"/>
        <w:ind w:left="504"/>
      </w:pPr>
      <w:r>
        <w:rPr>
          <w:rFonts w:ascii="Times New Roman" w:hAnsi="Times New Roman"/>
          <w:sz w:val="22"/>
        </w:rPr>
        <w:t>Monotonicity with performance: u(λ) is positively correlated with f(λ), but not perfectly—configurations with identical f(λ) may have different u(λ) due to qualitative differences (stability, complexity, deployability).</w:t>
      </w:r>
    </w:p>
    <w:p>
      <w:pPr>
        <w:pStyle w:val="ListBullet"/>
        <w:spacing w:before="20" w:after="40" w:line="300" w:lineRule="exact"/>
        <w:ind w:left="504"/>
      </w:pPr>
      <w:r>
        <w:rPr>
          <w:rFonts w:ascii="Times New Roman" w:hAnsi="Times New Roman"/>
          <w:sz w:val="22"/>
        </w:rPr>
        <w:t>Constraint dominance: u(λ) → −∞ for configurations that violate hard constraints (e.g., model size exceeding hardware limits).</w:t>
      </w:r>
    </w:p>
    <w:p>
      <w:pPr>
        <w:pStyle w:val="ListBullet"/>
        <w:spacing w:before="20" w:after="40" w:line="300" w:lineRule="exact"/>
        <w:ind w:left="504"/>
      </w:pPr>
      <w:r>
        <w:rPr>
          <w:rFonts w:ascii="Times New Roman" w:hAnsi="Times New Roman"/>
          <w:sz w:val="22"/>
        </w:rPr>
        <w:t>Partial observability: u(λ) is never observed directly; it is revealed only through noisy, incomplete feedback signals provided by the user at irregular intervals.</w:t>
      </w:r>
    </w:p>
    <w:p>
      <w:pPr>
        <w:spacing w:before="40" w:after="100" w:line="320" w:lineRule="exact"/>
        <w:jc w:val="both"/>
      </w:pPr>
      <w:r>
        <w:rPr>
          <w:rFonts w:ascii="Times New Roman" w:hAnsi="Times New Roman"/>
          <w:sz w:val="22"/>
        </w:rPr>
        <w:t>We estimate u via the user reward model r_u: Λ → ℝ, which approximates u(λ) from the collected feedback. The user reward model is parameterized by a weight vector w and feedback-type-specific encoding functions {e_k}_{k=1}^4:</w:t>
      </w:r>
    </w:p>
    <w:p>
      <w:pPr>
        <w:spacing w:before="120" w:after="120"/>
        <w:jc w:val="center"/>
      </w:pPr>
      <w:r>
        <w:rPr>
          <w:rFonts w:ascii="Courier New" w:hAnsi="Courier New"/>
          <w:b/>
          <w:sz w:val="21"/>
        </w:rPr>
        <w:t>r_u(λ; w) = Σ_{k=1}^{4} w_k · e_k(λ;  ψ_k)   (3.5)</w:t>
      </w:r>
    </w:p>
    <w:p>
      <w:pPr>
        <w:spacing w:before="40" w:after="100" w:line="320" w:lineRule="exact"/>
        <w:jc w:val="both"/>
      </w:pPr>
      <w:r>
        <w:rPr>
          <w:rFonts w:ascii="Times New Roman" w:hAnsi="Times New Roman"/>
          <w:sz w:val="22"/>
        </w:rPr>
        <w:t>where ψ_k are the parameters of the k-th feedback encoder (detailed in Section 4.2). The weights w = [w_1, w_2, w_3, w_4]ᵀ are initialized to uniform (1/4 each) and updated online as feedback accumulates.</w:t>
      </w:r>
    </w:p>
    <w:p>
      <w:pPr>
        <w:pStyle w:val="Heading2"/>
      </w:pPr>
      <w:r>
        <w:t>3.5 The Augmented HPO Objective</w:t>
      </w:r>
    </w:p>
    <w:p>
      <w:pPr>
        <w:spacing w:before="40" w:after="100" w:line="320" w:lineRule="exact"/>
        <w:jc w:val="both"/>
      </w:pPr>
      <w:r>
        <w:rPr>
          <w:rFonts w:ascii="Times New Roman" w:hAnsi="Times New Roman"/>
          <w:sz w:val="22"/>
        </w:rPr>
        <w:t>LUHPO solves an augmented optimization problem that jointly minimizes f and maximizes the user utility u:</w:t>
      </w:r>
    </w:p>
    <w:p>
      <w:pPr>
        <w:spacing w:before="120" w:after="120"/>
        <w:jc w:val="center"/>
      </w:pPr>
      <w:r>
        <w:rPr>
          <w:rFonts w:ascii="Courier New" w:hAnsi="Courier New"/>
          <w:b/>
          <w:sz w:val="21"/>
        </w:rPr>
        <w:t>λ* = argmin_{λ ∈ Λ}  [f(λ) − γ · u(λ)]      (Augmented HPO)   (3.6)</w:t>
      </w:r>
    </w:p>
    <w:p>
      <w:pPr>
        <w:spacing w:before="40" w:after="100" w:line="320" w:lineRule="exact"/>
        <w:jc w:val="both"/>
      </w:pPr>
      <w:r>
        <w:rPr>
          <w:rFonts w:ascii="Times New Roman" w:hAnsi="Times New Roman"/>
          <w:sz w:val="22"/>
        </w:rPr>
        <w:t>where γ ≥ 0 is a scalar trade-off parameter. When γ = 0, this reduces to the standard HPO problem (3.2). When γ &gt; 0, configurations that are slightly suboptimal by the automated metric f but highly preferred by the user (large u(λ)) may be selected over configurations that optimize f alone. This formulation respects the user's preferences without overriding the automated objective.</w:t>
      </w:r>
    </w:p>
    <w:p>
      <w:pPr>
        <w:spacing w:before="80" w:after="120"/>
        <w:ind w:left="576" w:right="576"/>
      </w:pPr>
      <w:r>
        <w:rPr>
          <w:rFonts w:ascii="Times New Roman" w:hAnsi="Times New Roman"/>
          <w:i/>
          <w:sz w:val="21"/>
        </w:rPr>
        <w:t>Remark 3.1 (Relation to Multi-Objective Optimization). The augmented objective (3.6) can be viewed as a scalarization of the bi-objective problem (min f(λ), max u(λ)) via the weighted sum scalarization with weight vector (1, −γ). Unlike explicit Pareto-front methods (e.g., NSGA-II), this scalarization produces a single recommendation λ* while allowing the user to control the tradeoff via γ. Section 4.4 discusses adaptive strategies for setting γ.</w:t>
      </w:r>
    </w:p>
    <w:p>
      <w:pPr>
        <w:pStyle w:val="Heading2"/>
      </w:pPr>
      <w:r>
        <w:t>3.6 Regret Definitions</w:t>
      </w:r>
    </w:p>
    <w:p>
      <w:pPr>
        <w:spacing w:before="40" w:after="100" w:line="320" w:lineRule="exact"/>
        <w:jc w:val="both"/>
      </w:pPr>
      <w:r>
        <w:rPr>
          <w:rFonts w:ascii="Times New Roman" w:hAnsi="Times New Roman"/>
          <w:sz w:val="22"/>
        </w:rPr>
        <w:t>We adopt standard regret definitions from the bandit and BO literature to evaluate LUHPO's theoretical performance. Let f_aug(λ) = f(λ) − γ·u(λ) denote the augmented objective and λ*_aug = argmin f_aug(λ) the augmented optimum.</w:t>
      </w:r>
    </w:p>
    <w:p>
      <w:pPr>
        <w:spacing w:before="40" w:after="100" w:line="320" w:lineRule="exact"/>
        <w:jc w:val="both"/>
      </w:pPr>
      <w:r>
        <w:rPr>
          <w:rFonts w:ascii="Times New Roman" w:hAnsi="Times New Roman"/>
          <w:sz w:val="22"/>
        </w:rPr>
        <w:t>Cumulative regret after T evaluations:</w:t>
      </w:r>
    </w:p>
    <w:p>
      <w:pPr>
        <w:spacing w:before="120" w:after="120"/>
        <w:jc w:val="center"/>
      </w:pPr>
      <w:r>
        <w:rPr>
          <w:rFonts w:ascii="Courier New" w:hAnsi="Courier New"/>
          <w:b/>
          <w:sz w:val="21"/>
        </w:rPr>
        <w:t>R_T = Σ_{t=1}^T [f_aug(λ_t) − f_aug(λ*_aug)]   (3.7)</w:t>
      </w:r>
    </w:p>
    <w:p>
      <w:pPr>
        <w:spacing w:before="40" w:after="100" w:line="320" w:lineRule="exact"/>
        <w:jc w:val="both"/>
      </w:pPr>
      <w:r>
        <w:rPr>
          <w:rFonts w:ascii="Times New Roman" w:hAnsi="Times New Roman"/>
          <w:sz w:val="22"/>
        </w:rPr>
        <w:t>Simple regret after T evaluations (quality of the best found configuration):</w:t>
      </w:r>
    </w:p>
    <w:p>
      <w:pPr>
        <w:spacing w:before="120" w:after="120"/>
        <w:jc w:val="center"/>
      </w:pPr>
      <w:r>
        <w:rPr>
          <w:rFonts w:ascii="Courier New" w:hAnsi="Courier New"/>
          <w:b/>
          <w:sz w:val="21"/>
        </w:rPr>
        <w:t>r_T = f_aug(λ_T^best) − f_aug(λ*_aug),   λ_T^best = argmin_{t≤T} f_aug(λ_t)   (3.8)</w:t>
      </w:r>
    </w:p>
    <w:p>
      <w:pPr>
        <w:spacing w:before="40" w:after="100" w:line="320" w:lineRule="exact"/>
        <w:jc w:val="both"/>
      </w:pPr>
      <w:r>
        <w:rPr>
          <w:rFonts w:ascii="Times New Roman" w:hAnsi="Times New Roman"/>
          <w:sz w:val="22"/>
        </w:rPr>
        <w:t>A good HPO algorithm should achieve sublinear cumulative regret R_T = o(T), implying that the per-step regret f_aug(λ_t) − f_aug(λ*_aug) → 0 as t → ∞. Section 4.5 establishes that LUHPO achieves R_T = O(√(T log T)) under appropriate assumptions.</w:t>
      </w:r>
    </w:p>
    <w:p>
      <w:r>
        <w:br w:type="page"/>
      </w:r>
    </w:p>
    <w:p>
      <w:pPr>
        <w:pStyle w:val="Heading1"/>
      </w:pPr>
      <w:r>
        <w:t>4. The LUHPO Framework</w:t>
      </w:r>
    </w:p>
    <w:p>
      <w:pPr>
        <w:spacing w:before="40" w:after="100" w:line="320" w:lineRule="exact"/>
        <w:jc w:val="both"/>
      </w:pPr>
      <w:r>
        <w:rPr>
          <w:rFonts w:ascii="Times New Roman" w:hAnsi="Times New Roman"/>
          <w:sz w:val="22"/>
        </w:rPr>
        <w:t>The LUHPO framework consists of four tightly integrated components: (1) the LSTM surrogate model that produces trajectory-aware predictions μ(λ) and σ²(λ), (2) the user feedback module that encodes human preferences into the reward r_u(λ), (3) the modified acquisition function α_UF(λ) that combines both, and (4) the online training and update procedure that keeps all components synchronized as new observations arrive. Figure 4.1 shows the complete architecture.</w:t>
      </w:r>
    </w:p>
    <w:p>
      <w:pPr>
        <w:spacing w:before="160"/>
        <w:jc w:val="center"/>
      </w:pPr>
      <w:r>
        <w:drawing>
          <wp:inline xmlns:a="http://schemas.openxmlformats.org/drawingml/2006/main" xmlns:pic="http://schemas.openxmlformats.org/drawingml/2006/picture">
            <wp:extent cx="5669280" cy="3023276"/>
            <wp:docPr id="2" name="Picture 2"/>
            <wp:cNvGraphicFramePr>
              <a:graphicFrameLocks noChangeAspect="1"/>
            </wp:cNvGraphicFramePr>
            <a:graphic>
              <a:graphicData uri="http://schemas.openxmlformats.org/drawingml/2006/picture">
                <pic:pic>
                  <pic:nvPicPr>
                    <pic:cNvPr id="0" name="fig1_framework.png"/>
                    <pic:cNvPicPr/>
                  </pic:nvPicPr>
                  <pic:blipFill>
                    <a:blip r:embed="rId10"/>
                    <a:stretch>
                      <a:fillRect/>
                    </a:stretch>
                  </pic:blipFill>
                  <pic:spPr>
                    <a:xfrm>
                      <a:off x="0" y="0"/>
                      <a:ext cx="5669280" cy="3023276"/>
                    </a:xfrm>
                    <a:prstGeom prst="rect"/>
                  </pic:spPr>
                </pic:pic>
              </a:graphicData>
            </a:graphic>
          </wp:inline>
        </w:drawing>
      </w:r>
    </w:p>
    <w:p>
      <w:pPr>
        <w:spacing w:after="240"/>
        <w:jc w:val="center"/>
      </w:pPr>
      <w:r>
        <w:rPr>
          <w:rFonts w:ascii="Times New Roman" w:hAnsi="Times New Roman"/>
          <w:i/>
          <w:sz w:val="19"/>
        </w:rPr>
        <w:t>Figure 4.1: LUHPO Framework Overview. The LSTM surrogate (green) ingests the observation history τ_t and outputs a predictive distribution for any candidate λ. The User Feedback Module (purple) encodes four types of practitioner feedback into r_u(λ). The Acquisition Function (orange) combines both signals to select λ_{t+1}. The Human Expert (red) provides feedback asynchronously every K iterations.</w:t>
      </w:r>
    </w:p>
    <w:p>
      <w:pPr>
        <w:pStyle w:val="Heading2"/>
      </w:pPr>
      <w:r>
        <w:t>4.1 LSTM Surrogate Model</w:t>
      </w:r>
    </w:p>
    <w:p>
      <w:pPr>
        <w:spacing w:before="40" w:after="100" w:line="320" w:lineRule="exact"/>
        <w:jc w:val="both"/>
      </w:pPr>
      <w:r>
        <w:rPr>
          <w:rFonts w:ascii="Times New Roman" w:hAnsi="Times New Roman"/>
          <w:sz w:val="22"/>
        </w:rPr>
        <w:t>The LSTM surrogate is the core algorithmic innovation of LUHPO. It is a differentiable, trajectory-aware model of the HPO objective that provides calibrated predictive distributions suitable for use in an acquisition function.</w:t>
      </w:r>
    </w:p>
    <w:p>
      <w:pPr>
        <w:pStyle w:val="Heading3"/>
      </w:pPr>
      <w:r>
        <w:t>4.1.1 Input Encoding</w:t>
      </w:r>
    </w:p>
    <w:p>
      <w:pPr>
        <w:spacing w:before="40" w:after="100" w:line="320" w:lineRule="exact"/>
        <w:jc w:val="both"/>
      </w:pPr>
      <w:r>
        <w:rPr>
          <w:rFonts w:ascii="Times New Roman" w:hAnsi="Times New Roman"/>
          <w:sz w:val="22"/>
        </w:rPr>
        <w:t>At each time step t of the HPO trajectory, the observation (λ_t, y_t) is encoded into a fixed-dimensional input vector x_t ∈ ℝ^{d+2}. The encoding proceeds as follows:</w:t>
      </w:r>
    </w:p>
    <w:p>
      <w:pPr>
        <w:spacing w:before="80" w:after="40" w:line="320" w:lineRule="exact"/>
      </w:pPr>
      <w:r>
        <w:rPr>
          <w:rFonts w:ascii="Times New Roman" w:hAnsi="Times New Roman"/>
          <w:b/>
          <w:i w:val="0"/>
          <w:sz w:val="22"/>
        </w:rPr>
        <w:t>Step 1 — Configuration embedding:</w:t>
      </w:r>
    </w:p>
    <w:p>
      <w:pPr>
        <w:spacing w:before="120" w:after="120"/>
        <w:jc w:val="center"/>
      </w:pPr>
      <w:r>
        <w:rPr>
          <w:rFonts w:ascii="Courier New" w:hAnsi="Courier New"/>
          <w:b/>
          <w:sz w:val="21"/>
        </w:rPr>
        <w:t>φ(λ) = [φ_cont(λ_cont) ; φ_int(λ_int) ; φ_cat(λ_cat) ; φ_bool(λ_bool) ; m(λ)]   (4.1)</w:t>
      </w:r>
    </w:p>
    <w:p>
      <w:pPr>
        <w:spacing w:before="40" w:after="100" w:line="320" w:lineRule="exact"/>
        <w:jc w:val="both"/>
      </w:pPr>
      <w:r>
        <w:rPr>
          <w:rFonts w:ascii="Times New Roman" w:hAnsi="Times New Roman"/>
          <w:sz w:val="22"/>
        </w:rPr>
        <w:t>where each component is computed as:</w:t>
      </w:r>
    </w:p>
    <w:p>
      <w:pPr>
        <w:pStyle w:val="ListBullet"/>
        <w:spacing w:before="20" w:after="40" w:line="300" w:lineRule="exact"/>
        <w:ind w:left="504"/>
      </w:pPr>
      <w:r>
        <w:rPr>
          <w:rFonts w:ascii="Times New Roman" w:hAnsi="Times New Roman"/>
          <w:sz w:val="22"/>
        </w:rPr>
        <w:t>Continuous: φ_cont(η) = log(η)/log(η_max) if log-scale, else (η − a)/(b − a), giving values in [0,1].</w:t>
      </w:r>
    </w:p>
    <w:p>
      <w:pPr>
        <w:pStyle w:val="ListBullet"/>
        <w:spacing w:before="20" w:after="40" w:line="300" w:lineRule="exact"/>
        <w:ind w:left="504"/>
      </w:pPr>
      <w:r>
        <w:rPr>
          <w:rFonts w:ascii="Times New Roman" w:hAnsi="Times New Roman"/>
          <w:sz w:val="22"/>
        </w:rPr>
        <w:t>Integer: φ_int(n) = (n − n_min)/(n_max − n_min), normalized to [0,1].</w:t>
      </w:r>
    </w:p>
    <w:p>
      <w:pPr>
        <w:pStyle w:val="ListBullet"/>
        <w:spacing w:before="20" w:after="40" w:line="300" w:lineRule="exact"/>
        <w:ind w:left="504"/>
      </w:pPr>
      <w:r>
        <w:rPr>
          <w:rFonts w:ascii="Times New Roman" w:hAnsi="Times New Roman"/>
          <w:sz w:val="22"/>
        </w:rPr>
        <w:t>Categorical with K values: φ_cat(c_k) = e_k ∈ {0,1}^K (one-hot vector).</w:t>
      </w:r>
    </w:p>
    <w:p>
      <w:pPr>
        <w:pStyle w:val="ListBullet"/>
        <w:spacing w:before="20" w:after="40" w:line="300" w:lineRule="exact"/>
        <w:ind w:left="504"/>
      </w:pPr>
      <w:r>
        <w:rPr>
          <w:rFonts w:ascii="Times New Roman" w:hAnsi="Times New Roman"/>
          <w:sz w:val="22"/>
        </w:rPr>
        <w:t>Boolean: φ_bool(b) = b ∈ {0, 1}.</w:t>
      </w:r>
    </w:p>
    <w:p>
      <w:pPr>
        <w:pStyle w:val="ListBullet"/>
        <w:spacing w:before="20" w:after="40" w:line="300" w:lineRule="exact"/>
        <w:ind w:left="504"/>
      </w:pPr>
      <w:r>
        <w:rPr>
          <w:rFonts w:ascii="Times New Roman" w:hAnsi="Times New Roman"/>
          <w:sz w:val="22"/>
        </w:rPr>
        <w:t>Mask: m_j(λ) = 1 if hyperparameter j is active (not conditional-inactive), else 0.</w:t>
      </w:r>
    </w:p>
    <w:p>
      <w:pPr>
        <w:spacing w:before="80" w:after="40" w:line="320" w:lineRule="exact"/>
      </w:pPr>
      <w:r>
        <w:rPr>
          <w:rFonts w:ascii="Times New Roman" w:hAnsi="Times New Roman"/>
          <w:b/>
          <w:i w:val="0"/>
          <w:sz w:val="22"/>
        </w:rPr>
        <w:t>Step 2 — Performance normalization:</w:t>
      </w:r>
    </w:p>
    <w:p>
      <w:pPr>
        <w:spacing w:before="120" w:after="120"/>
        <w:jc w:val="center"/>
      </w:pPr>
      <w:r>
        <w:rPr>
          <w:rFonts w:ascii="Courier New" w:hAnsi="Courier New"/>
          <w:b/>
          <w:sz w:val="21"/>
        </w:rPr>
        <w:t>ỹ_t = (y_t − μ_y) / (σ_y + ε)   where μ_y, σ_y estimated from {y_1,...,y_t}   (4.2)</w:t>
      </w:r>
    </w:p>
    <w:p>
      <w:pPr>
        <w:spacing w:before="40" w:after="100" w:line="320" w:lineRule="exact"/>
        <w:jc w:val="both"/>
      </w:pPr>
      <w:r>
        <w:rPr>
          <w:rFonts w:ascii="Times New Roman" w:hAnsi="Times New Roman"/>
          <w:sz w:val="22"/>
        </w:rPr>
        <w:t>This running normalization is critical: it keeps the performance signal in a scale-free range, preventing the LSTM from developing different gate activation patterns for differently-scaled objectives.</w:t>
      </w:r>
    </w:p>
    <w:p>
      <w:pPr>
        <w:spacing w:before="80" w:after="40" w:line="320" w:lineRule="exact"/>
      </w:pPr>
      <w:r>
        <w:rPr>
          <w:rFonts w:ascii="Times New Roman" w:hAnsi="Times New Roman"/>
          <w:b/>
          <w:i w:val="0"/>
          <w:sz w:val="22"/>
        </w:rPr>
        <w:t>Step 3 — Input vector assembly:</w:t>
      </w:r>
    </w:p>
    <w:p>
      <w:pPr>
        <w:spacing w:before="120" w:after="120"/>
        <w:jc w:val="center"/>
      </w:pPr>
      <w:r>
        <w:rPr>
          <w:rFonts w:ascii="Courier New" w:hAnsi="Courier New"/>
          <w:b/>
          <w:sz w:val="21"/>
        </w:rPr>
        <w:t>x_t = [φ(λ_t) ; ỹ_t ; t/T] ∈ ℝ^{d+2}   (4.3)</w:t>
      </w:r>
    </w:p>
    <w:p>
      <w:pPr>
        <w:spacing w:before="40" w:after="100" w:line="320" w:lineRule="exact"/>
        <w:jc w:val="both"/>
      </w:pPr>
      <w:r>
        <w:rPr>
          <w:rFonts w:ascii="Times New Roman" w:hAnsi="Times New Roman"/>
          <w:sz w:val="22"/>
        </w:rPr>
        <w:t>where the final element t/T is a normalized position index that helps the LSTM distinguish early (exploratory) from late (exploitative) phases of the trajectory.</w:t>
      </w:r>
    </w:p>
    <w:p>
      <w:pPr>
        <w:pStyle w:val="Heading3"/>
      </w:pPr>
      <w:r>
        <w:t>4.1.2 Stacked LSTM Layers</w:t>
      </w:r>
    </w:p>
    <w:p>
      <w:pPr>
        <w:spacing w:before="40" w:after="100" w:line="320" w:lineRule="exact"/>
        <w:jc w:val="both"/>
      </w:pPr>
      <w:r>
        <w:rPr>
          <w:rFonts w:ascii="Times New Roman" w:hAnsi="Times New Roman"/>
          <w:sz w:val="22"/>
        </w:rPr>
        <w:t>The input sequence (x_1, x_2, ..., x_t) is processed by L stacked LSTM layers. Each LSTM layer l ∈ {1,...,L} computes:</w:t>
      </w:r>
    </w:p>
    <w:p>
      <w:pPr>
        <w:spacing w:before="120" w:after="120"/>
        <w:jc w:val="center"/>
      </w:pPr>
      <w:r>
        <w:rPr>
          <w:rFonts w:ascii="Courier New" w:hAnsi="Courier New"/>
          <w:b/>
          <w:sz w:val="21"/>
        </w:rPr>
        <w:t>f_t^l = σ(W_f^l [h_{t-1}^l, h_t^{l-1}] + b_f^l)     (forget gate)   (4.4)</w:t>
      </w:r>
    </w:p>
    <w:p>
      <w:pPr>
        <w:spacing w:before="120" w:after="120"/>
        <w:jc w:val="center"/>
      </w:pPr>
      <w:r>
        <w:rPr>
          <w:rFonts w:ascii="Courier New" w:hAnsi="Courier New"/>
          <w:b/>
          <w:sz w:val="21"/>
        </w:rPr>
        <w:t>i_t^l = σ(W_i^l [h_{t-1}^l, h_t^{l-1}] + b_i^l)     (input gate)   (4.5)</w:t>
      </w:r>
    </w:p>
    <w:p>
      <w:pPr>
        <w:spacing w:before="120" w:after="120"/>
        <w:jc w:val="center"/>
      </w:pPr>
      <w:r>
        <w:rPr>
          <w:rFonts w:ascii="Courier New" w:hAnsi="Courier New"/>
          <w:b/>
          <w:sz w:val="21"/>
        </w:rPr>
        <w:t>g_t^l = tanh(W_g^l [h_{t-1}^l, h_t^{l-1}] + b_g^l)  (cell candidate)   (4.6)</w:t>
      </w:r>
    </w:p>
    <w:p>
      <w:pPr>
        <w:spacing w:before="120" w:after="120"/>
        <w:jc w:val="center"/>
      </w:pPr>
      <w:r>
        <w:rPr>
          <w:rFonts w:ascii="Courier New" w:hAnsi="Courier New"/>
          <w:b/>
          <w:sz w:val="21"/>
        </w:rPr>
        <w:t>o_t^l = σ(W_o^l [h_{t-1}^l, h_t^{l-1}] + b_o^l)     (output gate)   (4.7)</w:t>
      </w:r>
    </w:p>
    <w:p>
      <w:pPr>
        <w:spacing w:before="120" w:after="120"/>
        <w:jc w:val="center"/>
      </w:pPr>
      <w:r>
        <w:rPr>
          <w:rFonts w:ascii="Courier New" w:hAnsi="Courier New"/>
          <w:b/>
          <w:sz w:val="21"/>
        </w:rPr>
        <w:t>c_t^l = f_t^l ⊙ c_{t-1}^l + i_t^l ⊙ g_t^l          (cell state update)   (4.8)</w:t>
      </w:r>
    </w:p>
    <w:p>
      <w:pPr>
        <w:spacing w:before="120" w:after="120"/>
        <w:jc w:val="center"/>
      </w:pPr>
      <w:r>
        <w:rPr>
          <w:rFonts w:ascii="Courier New" w:hAnsi="Courier New"/>
          <w:b/>
          <w:sz w:val="21"/>
        </w:rPr>
        <w:t>h_t^l = o_t^l ⊙ tanh(c_t^l)                          (hidden state output)   (4.9)</w:t>
      </w:r>
    </w:p>
    <w:p>
      <w:pPr>
        <w:spacing w:before="40" w:after="100" w:line="320" w:lineRule="exact"/>
        <w:jc w:val="both"/>
      </w:pPr>
      <w:r>
        <w:rPr>
          <w:rFonts w:ascii="Times New Roman" w:hAnsi="Times New Roman"/>
          <w:sz w:val="22"/>
        </w:rPr>
        <w:t>where W_f^l, W_i^l, W_g^l, W_o^l ∈ ℝ^{H×(H + d_l)}, b_* ∈ ℝ^H, σ is the sigmoid function, and ⊙ denotes element-wise multiplication. The input to layer l at step t is h_t^{l-1} (the output of the previous layer), with h_t^0 = x_t. Layer-wise normalization (Ba et al., 2016) is applied between layers:</w:t>
      </w:r>
    </w:p>
    <w:p>
      <w:pPr>
        <w:spacing w:before="120" w:after="120"/>
        <w:jc w:val="center"/>
      </w:pPr>
      <w:r>
        <w:rPr>
          <w:rFonts w:ascii="Courier New" w:hAnsi="Courier New"/>
          <w:b/>
          <w:sz w:val="21"/>
        </w:rPr>
        <w:t>h̃_t^l = LayerNorm(h_t^l) = (h_t^l − μ_h^l) / (σ_h^l + ε) · γ_LN + β_LN   (4.10)</w:t>
      </w:r>
    </w:p>
    <w:p>
      <w:pPr>
        <w:spacing w:before="40" w:after="100" w:line="320" w:lineRule="exact"/>
        <w:jc w:val="both"/>
      </w:pPr>
      <w:r>
        <w:rPr>
          <w:rFonts w:ascii="Times New Roman" w:hAnsi="Times New Roman"/>
          <w:sz w:val="22"/>
        </w:rPr>
        <w:t>The default configuration uses L = 2 stacked LSTM layers with hidden size H = 128. Residual connections between LSTM layers (He et al., 2016) are applied when d_l = H:</w:t>
      </w:r>
    </w:p>
    <w:p>
      <w:pPr>
        <w:spacing w:before="120" w:after="120"/>
        <w:jc w:val="center"/>
      </w:pPr>
      <w:r>
        <w:rPr>
          <w:rFonts w:ascii="Courier New" w:hAnsi="Courier New"/>
          <w:b/>
          <w:sz w:val="21"/>
        </w:rPr>
        <w:t>h_t^{l+1} = LSTM^{l+1}(h_t^{l+1-1}) + h_t^{l-1}   (residual connection)   (4.11)</w:t>
      </w:r>
    </w:p>
    <w:p>
      <w:pPr>
        <w:spacing w:before="160"/>
        <w:jc w:val="center"/>
      </w:pPr>
      <w:r>
        <w:drawing>
          <wp:inline xmlns:a="http://schemas.openxmlformats.org/drawingml/2006/main" xmlns:pic="http://schemas.openxmlformats.org/drawingml/2006/picture">
            <wp:extent cx="5669280" cy="3892130"/>
            <wp:docPr id="3" name="Picture 3"/>
            <wp:cNvGraphicFramePr>
              <a:graphicFrameLocks noChangeAspect="1"/>
            </wp:cNvGraphicFramePr>
            <a:graphic>
              <a:graphicData uri="http://schemas.openxmlformats.org/drawingml/2006/picture">
                <pic:pic>
                  <pic:nvPicPr>
                    <pic:cNvPr id="0" name="figC_lstm_dynamics.png"/>
                    <pic:cNvPicPr/>
                  </pic:nvPicPr>
                  <pic:blipFill>
                    <a:blip r:embed="rId11"/>
                    <a:stretch>
                      <a:fillRect/>
                    </a:stretch>
                  </pic:blipFill>
                  <pic:spPr>
                    <a:xfrm>
                      <a:off x="0" y="0"/>
                      <a:ext cx="5669280" cy="3892130"/>
                    </a:xfrm>
                    <a:prstGeom prst="rect"/>
                  </pic:spPr>
                </pic:pic>
              </a:graphicData>
            </a:graphic>
          </wp:inline>
        </w:drawing>
      </w:r>
    </w:p>
    <w:p>
      <w:pPr>
        <w:spacing w:after="240"/>
        <w:jc w:val="center"/>
      </w:pPr>
      <w:r>
        <w:rPr>
          <w:rFonts w:ascii="Times New Roman" w:hAnsi="Times New Roman"/>
          <w:i/>
          <w:sz w:val="19"/>
        </w:rPr>
        <w:t>Figure 4.2: LSTM Internal Dynamics. (Top-left) Gate activations across the HPO trajectory: the forget gate learns to selectively retain long-term patterns while the input gate controls the influence of new observations. (Top-right) Cell and hidden state evolution encoding search momentum. (Bottom-left) Attention weight matrix showing recency bias—recent observations receive higher attention weight. (Bottom-right) Decomposition of predictive uncertainty into irreducible aleatoric and reducible epistemic components.</w:t>
      </w:r>
    </w:p>
    <w:p>
      <w:pPr>
        <w:pStyle w:val="Heading3"/>
      </w:pPr>
      <w:r>
        <w:t>4.1.3 Multi-Head Attention Pooling</w:t>
      </w:r>
    </w:p>
    <w:p>
      <w:pPr>
        <w:spacing w:before="40" w:after="100" w:line="320" w:lineRule="exact"/>
        <w:jc w:val="both"/>
      </w:pPr>
      <w:r>
        <w:rPr>
          <w:rFonts w:ascii="Times New Roman" w:hAnsi="Times New Roman"/>
          <w:sz w:val="22"/>
        </w:rPr>
        <w:t>After processing the full trajectory through the stacked LSTM, the sequence of hidden states H_t = [h_1^L, h_2^L, ..., h_t^L] ∈ ℝ^{t×H} is pooled via a multi-head self-attention mechanism. Given a query vector for the new candidate λ_{t+1}, the attention mechanism computes a context-dependent summary of the trajectory:</w:t>
      </w:r>
    </w:p>
    <w:p>
      <w:pPr>
        <w:spacing w:before="40" w:after="100" w:line="320" w:lineRule="exact"/>
        <w:jc w:val="both"/>
      </w:pPr>
      <w:r>
        <w:rPr>
          <w:rFonts w:ascii="Times New Roman" w:hAnsi="Times New Roman"/>
          <w:sz w:val="22"/>
        </w:rPr>
        <w:t>For each head j ∈ {1,...,J}, the query, key, and value projections are:</w:t>
      </w:r>
    </w:p>
    <w:p>
      <w:pPr>
        <w:spacing w:before="120" w:after="120"/>
        <w:jc w:val="center"/>
      </w:pPr>
      <w:r>
        <w:rPr>
          <w:rFonts w:ascii="Courier New" w:hAnsi="Courier New"/>
          <w:b/>
          <w:sz w:val="21"/>
        </w:rPr>
        <w:t>Q_j = h_{t+1}^L W_Q^j ∈ ℝ^{1×d_k}   (4.12)</w:t>
      </w:r>
    </w:p>
    <w:p>
      <w:pPr>
        <w:spacing w:before="120" w:after="120"/>
        <w:jc w:val="center"/>
      </w:pPr>
      <w:r>
        <w:rPr>
          <w:rFonts w:ascii="Courier New" w:hAnsi="Courier New"/>
          <w:b/>
          <w:sz w:val="21"/>
        </w:rPr>
        <w:t>K_j = H_t W_K^j ∈ ℝ^{t×d_k}   (4.13)</w:t>
      </w:r>
    </w:p>
    <w:p>
      <w:pPr>
        <w:spacing w:before="120" w:after="120"/>
        <w:jc w:val="center"/>
      </w:pPr>
      <w:r>
        <w:rPr>
          <w:rFonts w:ascii="Courier New" w:hAnsi="Courier New"/>
          <w:b/>
          <w:sz w:val="21"/>
        </w:rPr>
        <w:t>V_j = H_t W_V^j ∈ ℝ^{t×d_v}   (4.14)</w:t>
      </w:r>
    </w:p>
    <w:p>
      <w:pPr>
        <w:spacing w:before="40" w:after="100" w:line="320" w:lineRule="exact"/>
        <w:jc w:val="both"/>
      </w:pPr>
      <w:r>
        <w:rPr>
          <w:rFonts w:ascii="Times New Roman" w:hAnsi="Times New Roman"/>
          <w:sz w:val="22"/>
        </w:rPr>
        <w:t>where W_Q^j, W_K^j ∈ ℝ^{H×d_k} and W_V^j ∈ ℝ^{H×d_v} are learned projection matrices, d_k = d_v = H/J. The attention weights and context vector for head j are:</w:t>
      </w:r>
    </w:p>
    <w:p>
      <w:pPr>
        <w:spacing w:before="120" w:after="120"/>
        <w:jc w:val="center"/>
      </w:pPr>
      <w:r>
        <w:rPr>
          <w:rFonts w:ascii="Courier New" w:hAnsi="Courier New"/>
          <w:b/>
          <w:sz w:val="21"/>
        </w:rPr>
        <w:t>a_j = softmax(Q_j K_j^T / √d_k) ∈ ℝ^{1×t}   (4.15)</w:t>
      </w:r>
    </w:p>
    <w:p>
      <w:pPr>
        <w:spacing w:before="120" w:after="120"/>
        <w:jc w:val="center"/>
      </w:pPr>
      <w:r>
        <w:rPr>
          <w:rFonts w:ascii="Courier New" w:hAnsi="Courier New"/>
          <w:b/>
          <w:sz w:val="21"/>
        </w:rPr>
        <w:t>c̃_j = a_j V_j ∈ ℝ^{1×d_v}   (4.16)</w:t>
      </w:r>
    </w:p>
    <w:p>
      <w:pPr>
        <w:spacing w:before="40" w:after="100" w:line="320" w:lineRule="exact"/>
        <w:jc w:val="both"/>
      </w:pPr>
      <w:r>
        <w:rPr>
          <w:rFonts w:ascii="Times New Roman" w:hAnsi="Times New Roman"/>
          <w:sz w:val="22"/>
        </w:rPr>
        <w:t>The multi-head context vector is formed by concatenating and linearly projecting the J head outputs:</w:t>
      </w:r>
    </w:p>
    <w:p>
      <w:pPr>
        <w:spacing w:before="120" w:after="120"/>
        <w:jc w:val="center"/>
      </w:pPr>
      <w:r>
        <w:rPr>
          <w:rFonts w:ascii="Courier New" w:hAnsi="Courier New"/>
          <w:b/>
          <w:sz w:val="21"/>
        </w:rPr>
        <w:t>c̃ = [c̃_1 ; c̃_2 ; ... ; c̃_J] W_O ∈ ℝ^H,   W_O ∈ ℝ^{(J·d_v)×H}   (4.17)</w:t>
      </w:r>
    </w:p>
    <w:p>
      <w:pPr>
        <w:spacing w:before="40" w:after="100" w:line="320" w:lineRule="exact"/>
        <w:jc w:val="both"/>
      </w:pPr>
      <w:r>
        <w:rPr>
          <w:rFonts w:ascii="Times New Roman" w:hAnsi="Times New Roman"/>
          <w:sz w:val="22"/>
        </w:rPr>
        <w:t>This attention mechanism provides two critical benefits. First, it allows the LSTM to attend selectively to the most relevant past observations when predicting the performance of a new candidate—for example, attending to observations with similar hyperparameter values. Second, it handles variable-length trajectories naturally, since the attention is computed over all t past steps regardless of t.</w:t>
      </w:r>
    </w:p>
    <w:p>
      <w:pPr>
        <w:pStyle w:val="Heading3"/>
      </w:pPr>
      <w:r>
        <w:t>4.1.4 Prediction Head and Uncertainty Estimation</w:t>
      </w:r>
    </w:p>
    <w:p>
      <w:pPr>
        <w:spacing w:before="40" w:after="100" w:line="320" w:lineRule="exact"/>
        <w:jc w:val="both"/>
      </w:pPr>
      <w:r>
        <w:rPr>
          <w:rFonts w:ascii="Times New Roman" w:hAnsi="Times New Roman"/>
          <w:sz w:val="22"/>
        </w:rPr>
        <w:t>The context vector c̃ is decoded by a two-layer MLP prediction head to produce the predictive mean and log-variance:</w:t>
      </w:r>
    </w:p>
    <w:p>
      <w:pPr>
        <w:spacing w:before="120" w:after="120"/>
        <w:jc w:val="center"/>
      </w:pPr>
      <w:r>
        <w:rPr>
          <w:rFonts w:ascii="Courier New" w:hAnsi="Courier New"/>
          <w:b/>
          <w:sz w:val="21"/>
        </w:rPr>
        <w:t>z = ReLU(W_1 c̃ + b_1) ∈ ℝ^{d_MLP}   (4.18)</w:t>
      </w:r>
    </w:p>
    <w:p>
      <w:pPr>
        <w:spacing w:before="120" w:after="120"/>
        <w:jc w:val="center"/>
      </w:pPr>
      <w:r>
        <w:rPr>
          <w:rFonts w:ascii="Courier New" w:hAnsi="Courier New"/>
          <w:b/>
          <w:sz w:val="21"/>
        </w:rPr>
        <w:t>[μ(λ_{t+1}), log σ²(λ_{t+1})] = W_2 z + b_2 ∈ ℝ²   (4.19)</w:t>
      </w:r>
    </w:p>
    <w:p>
      <w:pPr>
        <w:spacing w:before="40" w:after="100" w:line="320" w:lineRule="exact"/>
        <w:jc w:val="both"/>
      </w:pPr>
      <w:r>
        <w:rPr>
          <w:rFonts w:ascii="Times New Roman" w:hAnsi="Times New Roman"/>
          <w:sz w:val="22"/>
        </w:rPr>
        <w:t>where d_MLP = 64. The variance is obtained as σ²(λ_{t+1}) = exp(log σ²(λ_{t+1})) &gt; 0, ensuring positivity. We interpret σ²(λ_{t+1}) as the model's total predictive uncertainty, which can be decomposed into aleatoric (irreducible noise) and epistemic (reducible model uncertainty) components via:</w:t>
      </w:r>
    </w:p>
    <w:p>
      <w:pPr>
        <w:spacing w:before="120" w:after="120"/>
        <w:jc w:val="center"/>
      </w:pPr>
      <w:r>
        <w:rPr>
          <w:rFonts w:ascii="Courier New" w:hAnsi="Courier New"/>
          <w:b/>
          <w:sz w:val="21"/>
        </w:rPr>
        <w:t>σ²_total = σ²_aleatoric + σ²_epistemic   (4.20)</w:t>
      </w:r>
    </w:p>
    <w:p>
      <w:pPr>
        <w:spacing w:before="120" w:after="120"/>
        <w:jc w:val="center"/>
      </w:pPr>
      <w:r>
        <w:rPr>
          <w:rFonts w:ascii="Courier New" w:hAnsi="Courier New"/>
          <w:b/>
          <w:sz w:val="21"/>
        </w:rPr>
        <w:t>σ²_aleatoric = σ²_noise  (estimated from observation residuals)   (4.21)</w:t>
      </w:r>
    </w:p>
    <w:p>
      <w:pPr>
        <w:spacing w:before="120" w:after="120"/>
        <w:jc w:val="center"/>
      </w:pPr>
      <w:r>
        <w:rPr>
          <w:rFonts w:ascii="Courier New" w:hAnsi="Courier New"/>
          <w:b/>
          <w:sz w:val="21"/>
        </w:rPr>
        <w:t>σ²_epistemic  = σ²_total − σ²_noise  (uncertainty from limited data)   (4.22)</w:t>
      </w:r>
    </w:p>
    <w:p>
      <w:pPr>
        <w:spacing w:before="40" w:after="100" w:line="320" w:lineRule="exact"/>
        <w:jc w:val="both"/>
      </w:pPr>
      <w:r>
        <w:rPr>
          <w:rFonts w:ascii="Times New Roman" w:hAnsi="Times New Roman"/>
          <w:sz w:val="22"/>
        </w:rPr>
        <w:t>The epistemic uncertainty decreases as more observations are collected in the neighborhood of λ_{t+1}, driving exploration toward under-evaluated regions.</w:t>
      </w:r>
    </w:p>
    <w:p>
      <w:pPr>
        <w:spacing w:before="160"/>
        <w:jc w:val="center"/>
      </w:pPr>
      <w:r>
        <w:drawing>
          <wp:inline xmlns:a="http://schemas.openxmlformats.org/drawingml/2006/main" xmlns:pic="http://schemas.openxmlformats.org/drawingml/2006/picture">
            <wp:extent cx="5669280" cy="2381263"/>
            <wp:docPr id="4" name="Picture 4"/>
            <wp:cNvGraphicFramePr>
              <a:graphicFrameLocks noChangeAspect="1"/>
            </wp:cNvGraphicFramePr>
            <a:graphic>
              <a:graphicData uri="http://schemas.openxmlformats.org/drawingml/2006/picture">
                <pic:pic>
                  <pic:nvPicPr>
                    <pic:cNvPr id="0" name="fig2_lstm_arch.png"/>
                    <pic:cNvPicPr/>
                  </pic:nvPicPr>
                  <pic:blipFill>
                    <a:blip r:embed="rId12"/>
                    <a:stretch>
                      <a:fillRect/>
                    </a:stretch>
                  </pic:blipFill>
                  <pic:spPr>
                    <a:xfrm>
                      <a:off x="0" y="0"/>
                      <a:ext cx="5669280" cy="2381263"/>
                    </a:xfrm>
                    <a:prstGeom prst="rect"/>
                  </pic:spPr>
                </pic:pic>
              </a:graphicData>
            </a:graphic>
          </wp:inline>
        </w:drawing>
      </w:r>
    </w:p>
    <w:p>
      <w:pPr>
        <w:spacing w:after="240"/>
        <w:jc w:val="center"/>
      </w:pPr>
      <w:r>
        <w:rPr>
          <w:rFonts w:ascii="Times New Roman" w:hAnsi="Times New Roman"/>
          <w:i/>
          <w:sz w:val="19"/>
        </w:rPr>
        <w:t>Figure 4.3: Full LSTM Surrogate Architecture. The observation sequence (λ_t, y_t) is encoded to x_t via the embedding φ(λ_t) and normalized performance ỹ_t. Two stacked LSTM layers produce hidden state sequences. Multi-head attention over all hidden states produces the context vector c̃, which the MLP head decodes into predictive mean μ(λ) and variance σ²(λ).</w:t>
      </w:r>
    </w:p>
    <w:p>
      <w:pPr>
        <w:pStyle w:val="Heading3"/>
      </w:pPr>
      <w:r>
        <w:t>4.1.5 Online Training of the LSTM Surrogate</w:t>
      </w:r>
    </w:p>
    <w:p>
      <w:pPr>
        <w:spacing w:before="40" w:after="100" w:line="320" w:lineRule="exact"/>
        <w:jc w:val="both"/>
      </w:pPr>
      <w:r>
        <w:rPr>
          <w:rFonts w:ascii="Times New Roman" w:hAnsi="Times New Roman"/>
          <w:sz w:val="22"/>
        </w:rPr>
        <w:t>The LSTM surrogate is trained online: after each new observation (λ_t, y_t), the parameters θ_LSTM are updated to minimize the Gaussian negative log-likelihood (NLL) over the trajectory:</w:t>
      </w:r>
    </w:p>
    <w:p>
      <w:pPr>
        <w:spacing w:before="120" w:after="120"/>
        <w:jc w:val="center"/>
      </w:pPr>
      <w:r>
        <w:rPr>
          <w:rFonts w:ascii="Courier New" w:hAnsi="Courier New"/>
          <w:b/>
          <w:sz w:val="21"/>
        </w:rPr>
        <w:t>L_NLL(θ; τ_t) = Σ_{i=1}^{t} [log σ²_θ(λ_i | τ_{i-1}) + (ỹ_i − μ_θ(λ_i | τ_{i-1}))² / σ²_θ(λ_i | τ_{i-1})]   (4.23)</w:t>
      </w:r>
    </w:p>
    <w:p>
      <w:pPr>
        <w:spacing w:before="40" w:after="100" w:line="320" w:lineRule="exact"/>
        <w:jc w:val="both"/>
      </w:pPr>
      <w:r>
        <w:rPr>
          <w:rFonts w:ascii="Times New Roman" w:hAnsi="Times New Roman"/>
          <w:sz w:val="22"/>
        </w:rPr>
        <w:t>Note that the prediction μ_θ(λ_i | τ_{i-1}) uses only observations up to step i−1 (causal/autoregressive prediction), preventing information leakage from future steps. This is implemented by teacher-forcing: the true x_{i-1} = [φ(λ_{i-1}), ỹ_{i-1}, (i-1)/T] is fed as input at each step during training, rather than the predicted value.</w:t>
      </w:r>
    </w:p>
    <w:p>
      <w:pPr>
        <w:spacing w:before="40" w:after="100" w:line="320" w:lineRule="exact"/>
        <w:jc w:val="both"/>
      </w:pPr>
      <w:r>
        <w:rPr>
          <w:rFonts w:ascii="Times New Roman" w:hAnsi="Times New Roman"/>
          <w:sz w:val="22"/>
        </w:rPr>
        <w:t>The NLL loss encourages both accuracy (small squared residual) and calibration (appropriate predictive variance σ²). An overconfident model (small σ², large error) incurs large NLL penalty; an underconfident model (large σ², small error) also incurs penalty through the log σ² term.</w:t>
      </w:r>
    </w:p>
    <w:p>
      <w:pPr>
        <w:spacing w:before="40" w:after="100" w:line="320" w:lineRule="exact"/>
        <w:jc w:val="both"/>
      </w:pPr>
      <w:r>
        <w:rPr>
          <w:rFonts w:ascii="Times New Roman" w:hAnsi="Times New Roman"/>
          <w:sz w:val="22"/>
        </w:rPr>
        <w:t>Regularization is applied to prevent overfitting on the small trajectory D_t:</w:t>
      </w:r>
    </w:p>
    <w:p>
      <w:pPr>
        <w:spacing w:before="120" w:after="120"/>
        <w:jc w:val="center"/>
      </w:pPr>
      <w:r>
        <w:rPr>
          <w:rFonts w:ascii="Courier New" w:hAnsi="Courier New"/>
          <w:b/>
          <w:sz w:val="21"/>
        </w:rPr>
        <w:t>L_total(θ) = L_NLL(θ; τ_t) + λ_reg ‖θ‖²₂ + L_noise(θ)   (4.24)</w:t>
      </w:r>
    </w:p>
    <w:p>
      <w:pPr>
        <w:spacing w:before="40" w:after="100" w:line="320" w:lineRule="exact"/>
        <w:jc w:val="both"/>
      </w:pPr>
      <w:r>
        <w:rPr>
          <w:rFonts w:ascii="Times New Roman" w:hAnsi="Times New Roman"/>
          <w:sz w:val="22"/>
        </w:rPr>
        <w:t>where L_noise applies input noise injection x̃_i = x_i + ε, ε ~ N(0, ν²I) during training (ν = 0.01 default). For the first n_warmup = 5 evaluations (the warm-up phase), we bypass the LSTM surrogate and use random sampling to build initial trajectory diversity. From t = n_warmup + 1 onward, the LSTM surrogate drives configuration selection via the acquisition function.</w:t>
      </w:r>
    </w:p>
    <w:p>
      <w:pPr>
        <w:spacing w:before="160"/>
        <w:jc w:val="center"/>
      </w:pPr>
      <w:r>
        <w:rPr>
          <w:b/>
          <w:i/>
          <w:sz w:val="20"/>
        </w:rPr>
        <w:t>Table 4.1: LSTM Surrogate Design Choices and Rationale</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1F497D"/>
          </w:tcPr>
          <w:p>
            <w:r>
              <w:rPr>
                <w:rFonts w:ascii="Times New Roman" w:hAnsi="Times New Roman"/>
                <w:b/>
                <w:color w:val="FFFFFF"/>
                <w:sz w:val="19"/>
              </w:rPr>
              <w:t>Component</w:t>
            </w:r>
          </w:p>
        </w:tc>
        <w:tc>
          <w:tcPr>
            <w:tcW w:type="dxa" w:w="2880"/>
            <w:shd w:val="clear" w:color="auto" w:fill="1F497D"/>
          </w:tcPr>
          <w:p>
            <w:r>
              <w:rPr>
                <w:rFonts w:ascii="Times New Roman" w:hAnsi="Times New Roman"/>
                <w:b/>
                <w:color w:val="FFFFFF"/>
                <w:sz w:val="19"/>
              </w:rPr>
              <w:t>Design Choice</w:t>
            </w:r>
          </w:p>
        </w:tc>
        <w:tc>
          <w:tcPr>
            <w:tcW w:type="dxa" w:w="6192"/>
            <w:shd w:val="clear" w:color="auto" w:fill="1F497D"/>
          </w:tcPr>
          <w:p>
            <w:r>
              <w:rPr>
                <w:rFonts w:ascii="Times New Roman" w:hAnsi="Times New Roman"/>
                <w:b/>
                <w:color w:val="FFFFFF"/>
                <w:sz w:val="19"/>
              </w:rPr>
              <w:t>Rationale</w:t>
            </w:r>
          </w:p>
        </w:tc>
      </w:tr>
      <w:tr>
        <w:tc>
          <w:tcPr>
            <w:tcW w:type="dxa" w:w="2160"/>
            <w:shd w:val="clear" w:color="auto" w:fill="EBF3FB"/>
          </w:tcPr>
          <w:p>
            <w:r>
              <w:rPr>
                <w:rFonts w:ascii="Times New Roman" w:hAnsi="Times New Roman"/>
                <w:sz w:val="19"/>
              </w:rPr>
              <w:t>LSTM layers</w:t>
            </w:r>
          </w:p>
        </w:tc>
        <w:tc>
          <w:tcPr>
            <w:tcW w:type="dxa" w:w="2880"/>
            <w:shd w:val="clear" w:color="auto" w:fill="EBF3FB"/>
          </w:tcPr>
          <w:p>
            <w:r>
              <w:rPr>
                <w:rFonts w:ascii="Times New Roman" w:hAnsi="Times New Roman"/>
                <w:sz w:val="19"/>
              </w:rPr>
              <w:t>L = 2 stacked</w:t>
            </w:r>
          </w:p>
        </w:tc>
        <w:tc>
          <w:tcPr>
            <w:tcW w:type="dxa" w:w="6192"/>
            <w:shd w:val="clear" w:color="auto" w:fill="EBF3FB"/>
          </w:tcPr>
          <w:p>
            <w:r>
              <w:rPr>
                <w:rFonts w:ascii="Times New Roman" w:hAnsi="Times New Roman"/>
                <w:sz w:val="19"/>
              </w:rPr>
              <w:t>Captures short- and long-range trajectory dependencies</w:t>
            </w:r>
          </w:p>
        </w:tc>
      </w:tr>
      <w:tr>
        <w:tc>
          <w:tcPr>
            <w:tcW w:type="dxa" w:w="2160"/>
            <w:shd w:val="clear" w:color="auto" w:fill="FFFFFF"/>
          </w:tcPr>
          <w:p>
            <w:r>
              <w:rPr>
                <w:rFonts w:ascii="Times New Roman" w:hAnsi="Times New Roman"/>
                <w:sz w:val="19"/>
              </w:rPr>
              <w:t>Hidden size</w:t>
            </w:r>
          </w:p>
        </w:tc>
        <w:tc>
          <w:tcPr>
            <w:tcW w:type="dxa" w:w="2880"/>
            <w:shd w:val="clear" w:color="auto" w:fill="FFFFFF"/>
          </w:tcPr>
          <w:p>
            <w:r>
              <w:rPr>
                <w:rFonts w:ascii="Times New Roman" w:hAnsi="Times New Roman"/>
                <w:sz w:val="19"/>
              </w:rPr>
              <w:t>H = 128 per layer</w:t>
            </w:r>
          </w:p>
        </w:tc>
        <w:tc>
          <w:tcPr>
            <w:tcW w:type="dxa" w:w="6192"/>
            <w:shd w:val="clear" w:color="auto" w:fill="FFFFFF"/>
          </w:tcPr>
          <w:p>
            <w:r>
              <w:rPr>
                <w:rFonts w:ascii="Times New Roman" w:hAnsi="Times New Roman"/>
                <w:sz w:val="19"/>
              </w:rPr>
              <w:t>Balance of capacity and sample efficiency for small t</w:t>
            </w:r>
          </w:p>
        </w:tc>
      </w:tr>
      <w:tr>
        <w:tc>
          <w:tcPr>
            <w:tcW w:type="dxa" w:w="2160"/>
            <w:shd w:val="clear" w:color="auto" w:fill="EBF3FB"/>
          </w:tcPr>
          <w:p>
            <w:r>
              <w:rPr>
                <w:rFonts w:ascii="Times New Roman" w:hAnsi="Times New Roman"/>
                <w:sz w:val="19"/>
              </w:rPr>
              <w:t>Attention heads</w:t>
            </w:r>
          </w:p>
        </w:tc>
        <w:tc>
          <w:tcPr>
            <w:tcW w:type="dxa" w:w="2880"/>
            <w:shd w:val="clear" w:color="auto" w:fill="EBF3FB"/>
          </w:tcPr>
          <w:p>
            <w:r>
              <w:rPr>
                <w:rFonts w:ascii="Times New Roman" w:hAnsi="Times New Roman"/>
                <w:sz w:val="19"/>
              </w:rPr>
              <w:t>J = 4 heads, d_k = 32</w:t>
            </w:r>
          </w:p>
        </w:tc>
        <w:tc>
          <w:tcPr>
            <w:tcW w:type="dxa" w:w="6192"/>
            <w:shd w:val="clear" w:color="auto" w:fill="EBF3FB"/>
          </w:tcPr>
          <w:p>
            <w:r>
              <w:rPr>
                <w:rFonts w:ascii="Times New Roman" w:hAnsi="Times New Roman"/>
                <w:sz w:val="19"/>
              </w:rPr>
              <w:t>Multi-scale attention over trajectory</w:t>
            </w:r>
          </w:p>
        </w:tc>
      </w:tr>
      <w:tr>
        <w:tc>
          <w:tcPr>
            <w:tcW w:type="dxa" w:w="2160"/>
            <w:shd w:val="clear" w:color="auto" w:fill="FFFFFF"/>
          </w:tcPr>
          <w:p>
            <w:r>
              <w:rPr>
                <w:rFonts w:ascii="Times New Roman" w:hAnsi="Times New Roman"/>
                <w:sz w:val="19"/>
              </w:rPr>
              <w:t>MLP head</w:t>
            </w:r>
          </w:p>
        </w:tc>
        <w:tc>
          <w:tcPr>
            <w:tcW w:type="dxa" w:w="2880"/>
            <w:shd w:val="clear" w:color="auto" w:fill="FFFFFF"/>
          </w:tcPr>
          <w:p>
            <w:r>
              <w:rPr>
                <w:rFonts w:ascii="Times New Roman" w:hAnsi="Times New Roman"/>
                <w:sz w:val="19"/>
              </w:rPr>
              <w:t>2-layer, 64 hidden, ReLU</w:t>
            </w:r>
          </w:p>
        </w:tc>
        <w:tc>
          <w:tcPr>
            <w:tcW w:type="dxa" w:w="6192"/>
            <w:shd w:val="clear" w:color="auto" w:fill="FFFFFF"/>
          </w:tcPr>
          <w:p>
            <w:r>
              <w:rPr>
                <w:rFonts w:ascii="Times New Roman" w:hAnsi="Times New Roman"/>
                <w:sz w:val="19"/>
              </w:rPr>
              <w:t>Non-linear mapping from context to prediction</w:t>
            </w:r>
          </w:p>
        </w:tc>
      </w:tr>
      <w:tr>
        <w:tc>
          <w:tcPr>
            <w:tcW w:type="dxa" w:w="2160"/>
            <w:shd w:val="clear" w:color="auto" w:fill="EBF3FB"/>
          </w:tcPr>
          <w:p>
            <w:r>
              <w:rPr>
                <w:rFonts w:ascii="Times New Roman" w:hAnsi="Times New Roman"/>
                <w:sz w:val="19"/>
              </w:rPr>
              <w:t>Loss</w:t>
            </w:r>
          </w:p>
        </w:tc>
        <w:tc>
          <w:tcPr>
            <w:tcW w:type="dxa" w:w="2880"/>
            <w:shd w:val="clear" w:color="auto" w:fill="EBF3FB"/>
          </w:tcPr>
          <w:p>
            <w:r>
              <w:rPr>
                <w:rFonts w:ascii="Times New Roman" w:hAnsi="Times New Roman"/>
                <w:sz w:val="19"/>
              </w:rPr>
              <w:t>Gaussian NLL + L2 reg</w:t>
            </w:r>
          </w:p>
        </w:tc>
        <w:tc>
          <w:tcPr>
            <w:tcW w:type="dxa" w:w="6192"/>
            <w:shd w:val="clear" w:color="auto" w:fill="EBF3FB"/>
          </w:tcPr>
          <w:p>
            <w:r>
              <w:rPr>
                <w:rFonts w:ascii="Times New Roman" w:hAnsi="Times New Roman"/>
                <w:sz w:val="19"/>
              </w:rPr>
              <w:t>Joint accuracy + calibration objective</w:t>
            </w:r>
          </w:p>
        </w:tc>
      </w:tr>
      <w:tr>
        <w:tc>
          <w:tcPr>
            <w:tcW w:type="dxa" w:w="2160"/>
            <w:shd w:val="clear" w:color="auto" w:fill="FFFFFF"/>
          </w:tcPr>
          <w:p>
            <w:r>
              <w:rPr>
                <w:rFonts w:ascii="Times New Roman" w:hAnsi="Times New Roman"/>
                <w:sz w:val="19"/>
              </w:rPr>
              <w:t>Online updates</w:t>
            </w:r>
          </w:p>
        </w:tc>
        <w:tc>
          <w:tcPr>
            <w:tcW w:type="dxa" w:w="2880"/>
            <w:shd w:val="clear" w:color="auto" w:fill="FFFFFF"/>
          </w:tcPr>
          <w:p>
            <w:r>
              <w:rPr>
                <w:rFonts w:ascii="Times New Roman" w:hAnsi="Times New Roman"/>
                <w:sz w:val="19"/>
              </w:rPr>
              <w:t>10 gradient steps/obs.</w:t>
            </w:r>
          </w:p>
        </w:tc>
        <w:tc>
          <w:tcPr>
            <w:tcW w:type="dxa" w:w="6192"/>
            <w:shd w:val="clear" w:color="auto" w:fill="FFFFFF"/>
          </w:tcPr>
          <w:p>
            <w:r>
              <w:rPr>
                <w:rFonts w:ascii="Times New Roman" w:hAnsi="Times New Roman"/>
                <w:sz w:val="19"/>
              </w:rPr>
              <w:t>Fast adaptation without overfitting</w:t>
            </w:r>
          </w:p>
        </w:tc>
      </w:tr>
      <w:tr>
        <w:tc>
          <w:tcPr>
            <w:tcW w:type="dxa" w:w="2160"/>
            <w:shd w:val="clear" w:color="auto" w:fill="EBF3FB"/>
          </w:tcPr>
          <w:p>
            <w:r>
              <w:rPr>
                <w:rFonts w:ascii="Times New Roman" w:hAnsi="Times New Roman"/>
                <w:sz w:val="19"/>
              </w:rPr>
              <w:t>Input noise</w:t>
            </w:r>
          </w:p>
        </w:tc>
        <w:tc>
          <w:tcPr>
            <w:tcW w:type="dxa" w:w="2880"/>
            <w:shd w:val="clear" w:color="auto" w:fill="EBF3FB"/>
          </w:tcPr>
          <w:p>
            <w:r>
              <w:rPr>
                <w:rFonts w:ascii="Times New Roman" w:hAnsi="Times New Roman"/>
                <w:sz w:val="19"/>
              </w:rPr>
              <w:t>ν = 0.01</w:t>
            </w:r>
          </w:p>
        </w:tc>
        <w:tc>
          <w:tcPr>
            <w:tcW w:type="dxa" w:w="6192"/>
            <w:shd w:val="clear" w:color="auto" w:fill="EBF3FB"/>
          </w:tcPr>
          <w:p>
            <w:r>
              <w:rPr>
                <w:rFonts w:ascii="Times New Roman" w:hAnsi="Times New Roman"/>
                <w:sz w:val="19"/>
              </w:rPr>
              <w:t>Regularization for small trajectory regime</w:t>
            </w:r>
          </w:p>
        </w:tc>
      </w:tr>
      <w:tr>
        <w:tc>
          <w:tcPr>
            <w:tcW w:type="dxa" w:w="2160"/>
            <w:shd w:val="clear" w:color="auto" w:fill="FFFFFF"/>
          </w:tcPr>
          <w:p>
            <w:r>
              <w:rPr>
                <w:rFonts w:ascii="Times New Roman" w:hAnsi="Times New Roman"/>
                <w:sz w:val="19"/>
              </w:rPr>
              <w:t>Warmup</w:t>
            </w:r>
          </w:p>
        </w:tc>
        <w:tc>
          <w:tcPr>
            <w:tcW w:type="dxa" w:w="2880"/>
            <w:shd w:val="clear" w:color="auto" w:fill="FFFFFF"/>
          </w:tcPr>
          <w:p>
            <w:r>
              <w:rPr>
                <w:rFonts w:ascii="Times New Roman" w:hAnsi="Times New Roman"/>
                <w:sz w:val="19"/>
              </w:rPr>
              <w:t>n₀ = 5 random evals.</w:t>
            </w:r>
          </w:p>
        </w:tc>
        <w:tc>
          <w:tcPr>
            <w:tcW w:type="dxa" w:w="6192"/>
            <w:shd w:val="clear" w:color="auto" w:fill="FFFFFF"/>
          </w:tcPr>
          <w:p>
            <w:r>
              <w:rPr>
                <w:rFonts w:ascii="Times New Roman" w:hAnsi="Times New Roman"/>
                <w:sz w:val="19"/>
              </w:rPr>
              <w:t>Ensures initial trajectory diversity</w:t>
            </w:r>
          </w:p>
        </w:tc>
      </w:tr>
      <w:tr>
        <w:tc>
          <w:tcPr>
            <w:tcW w:type="dxa" w:w="2160"/>
            <w:shd w:val="clear" w:color="auto" w:fill="EBF3FB"/>
          </w:tcPr>
          <w:p>
            <w:r>
              <w:rPr>
                <w:rFonts w:ascii="Times New Roman" w:hAnsi="Times New Roman"/>
                <w:sz w:val="19"/>
              </w:rPr>
              <w:t>Normalization</w:t>
            </w:r>
          </w:p>
        </w:tc>
        <w:tc>
          <w:tcPr>
            <w:tcW w:type="dxa" w:w="2880"/>
            <w:shd w:val="clear" w:color="auto" w:fill="EBF3FB"/>
          </w:tcPr>
          <w:p>
            <w:r>
              <w:rPr>
                <w:rFonts w:ascii="Times New Roman" w:hAnsi="Times New Roman"/>
                <w:sz w:val="19"/>
              </w:rPr>
              <w:t>Running mean/std on y</w:t>
            </w:r>
          </w:p>
        </w:tc>
        <w:tc>
          <w:tcPr>
            <w:tcW w:type="dxa" w:w="6192"/>
            <w:shd w:val="clear" w:color="auto" w:fill="EBF3FB"/>
          </w:tcPr>
          <w:p>
            <w:r>
              <w:rPr>
                <w:rFonts w:ascii="Times New Roman" w:hAnsi="Times New Roman"/>
                <w:sz w:val="19"/>
              </w:rPr>
              <w:t>Scale-invariant performance encoding</w:t>
            </w:r>
          </w:p>
        </w:tc>
      </w:tr>
      <w:tr>
        <w:tc>
          <w:tcPr>
            <w:tcW w:type="dxa" w:w="2160"/>
            <w:shd w:val="clear" w:color="auto" w:fill="FFFFFF"/>
          </w:tcPr>
          <w:p>
            <w:r>
              <w:rPr>
                <w:rFonts w:ascii="Times New Roman" w:hAnsi="Times New Roman"/>
                <w:sz w:val="19"/>
              </w:rPr>
              <w:t>LayerNorm</w:t>
            </w:r>
          </w:p>
        </w:tc>
        <w:tc>
          <w:tcPr>
            <w:tcW w:type="dxa" w:w="2880"/>
            <w:shd w:val="clear" w:color="auto" w:fill="FFFFFF"/>
          </w:tcPr>
          <w:p>
            <w:r>
              <w:rPr>
                <w:rFonts w:ascii="Times New Roman" w:hAnsi="Times New Roman"/>
                <w:sz w:val="19"/>
              </w:rPr>
              <w:t>Between LSTM layers</w:t>
            </w:r>
          </w:p>
        </w:tc>
        <w:tc>
          <w:tcPr>
            <w:tcW w:type="dxa" w:w="6192"/>
            <w:shd w:val="clear" w:color="auto" w:fill="FFFFFF"/>
          </w:tcPr>
          <w:p>
            <w:r>
              <w:rPr>
                <w:rFonts w:ascii="Times New Roman" w:hAnsi="Times New Roman"/>
                <w:sz w:val="19"/>
              </w:rPr>
              <w:t>Training stability for deep recurrent nets</w:t>
            </w:r>
          </w:p>
        </w:tc>
      </w:tr>
    </w:tbl>
    <w:p/>
    <w:p>
      <w:pPr>
        <w:pStyle w:val="Heading2"/>
      </w:pPr>
      <w:r>
        <w:t>4.2 User Feedback Module</w:t>
      </w:r>
    </w:p>
    <w:p>
      <w:pPr>
        <w:spacing w:before="40" w:after="100" w:line="320" w:lineRule="exact"/>
        <w:jc w:val="both"/>
      </w:pPr>
      <w:r>
        <w:rPr>
          <w:rFonts w:ascii="Times New Roman" w:hAnsi="Times New Roman"/>
          <w:sz w:val="22"/>
        </w:rPr>
        <w:t>The user feedback module defines four formally specified feedback modalities, provides probabilistic encoding models for each, and fuses them into a scalar user reward r_u(λ) via a learned weighting scheme. Figure 4.4 illustrates the mathematical structure of each modality.</w:t>
      </w:r>
    </w:p>
    <w:p>
      <w:pPr>
        <w:spacing w:before="160"/>
        <w:jc w:val="center"/>
      </w:pPr>
      <w:r>
        <w:drawing>
          <wp:inline xmlns:a="http://schemas.openxmlformats.org/drawingml/2006/main" xmlns:pic="http://schemas.openxmlformats.org/drawingml/2006/picture">
            <wp:extent cx="5669280" cy="2143929"/>
            <wp:docPr id="5" name="Picture 5"/>
            <wp:cNvGraphicFramePr>
              <a:graphicFrameLocks noChangeAspect="1"/>
            </wp:cNvGraphicFramePr>
            <a:graphic>
              <a:graphicData uri="http://schemas.openxmlformats.org/drawingml/2006/picture">
                <pic:pic>
                  <pic:nvPicPr>
                    <pic:cNvPr id="0" name="figD_feedback_math.png"/>
                    <pic:cNvPicPr/>
                  </pic:nvPicPr>
                  <pic:blipFill>
                    <a:blip r:embed="rId13"/>
                    <a:stretch>
                      <a:fillRect/>
                    </a:stretch>
                  </pic:blipFill>
                  <pic:spPr>
                    <a:xfrm>
                      <a:off x="0" y="0"/>
                      <a:ext cx="5669280" cy="2143929"/>
                    </a:xfrm>
                    <a:prstGeom prst="rect"/>
                  </pic:spPr>
                </pic:pic>
              </a:graphicData>
            </a:graphic>
          </wp:inline>
        </w:drawing>
      </w:r>
    </w:p>
    <w:p>
      <w:pPr>
        <w:spacing w:after="240"/>
        <w:jc w:val="center"/>
      </w:pPr>
      <w:r>
        <w:rPr>
          <w:rFonts w:ascii="Times New Roman" w:hAnsi="Times New Roman"/>
          <w:i/>
          <w:sz w:val="19"/>
        </w:rPr>
        <w:t>Figure 4.4: Mathematical Structure of User Feedback Signals. (a) Bradley-Terry model probability P(A ≻ B) as a function of reward difference r_A − r_B for different fixed r_B values. (b) Constraint penalty r_c(λ) = −β·ReLU(g(λ)−c)² for three constraint limits, creating a barrier that grows quadratically outside the feasible region. (c) Combined user reward r_u(λ) across 50 configurations, revealing clear preference structure not captured by validation accuracy alone.</w:t>
      </w:r>
    </w:p>
    <w:p>
      <w:pPr>
        <w:pStyle w:val="Heading3"/>
      </w:pPr>
      <w:r>
        <w:t>4.2.1 Modality 1: Pairwise Configuration Preference</w:t>
      </w:r>
    </w:p>
    <w:p>
      <w:pPr>
        <w:spacing w:before="40" w:after="100" w:line="320" w:lineRule="exact"/>
        <w:jc w:val="both"/>
      </w:pPr>
      <w:r>
        <w:rPr>
          <w:rFonts w:ascii="Times New Roman" w:hAnsi="Times New Roman"/>
          <w:sz w:val="22"/>
        </w:rPr>
        <w:t>Given two evaluated configurations λ_a and λ_b (presented with their training dynamics and final metrics), the user expresses a binary preference:</w:t>
      </w:r>
    </w:p>
    <w:p>
      <w:pPr>
        <w:spacing w:before="120" w:after="120"/>
        <w:jc w:val="center"/>
      </w:pPr>
      <w:r>
        <w:rPr>
          <w:rFonts w:ascii="Courier New" w:hAnsi="Courier New"/>
          <w:b/>
          <w:sz w:val="21"/>
        </w:rPr>
        <w:t>y_pref(a, b) ∈ {0, 1},   y_pref(a,b) = 1 iff λ_a ≻ λ_b   (4.25)</w:t>
      </w:r>
    </w:p>
    <w:p>
      <w:pPr>
        <w:spacing w:before="40" w:after="100" w:line="320" w:lineRule="exact"/>
        <w:jc w:val="both"/>
      </w:pPr>
      <w:r>
        <w:rPr>
          <w:rFonts w:ascii="Times New Roman" w:hAnsi="Times New Roman"/>
          <w:sz w:val="22"/>
        </w:rPr>
        <w:t>We model the probability of preference using the Bradley-Terry model (Bradley &amp; Terry, 1952):</w:t>
      </w:r>
    </w:p>
    <w:p>
      <w:pPr>
        <w:spacing w:before="120" w:after="120"/>
        <w:jc w:val="center"/>
      </w:pPr>
      <w:r>
        <w:rPr>
          <w:rFonts w:ascii="Courier New" w:hAnsi="Courier New"/>
          <w:b/>
          <w:sz w:val="21"/>
        </w:rPr>
        <w:t>P(λ_a ≻ λ_b | r_u) = σ(r_u(λ_a) − r_u(λ_b)) = 1 / (1 + exp(−(r_u(λ_a) − r_u(λ_b))))   (4.26)</w:t>
      </w:r>
    </w:p>
    <w:p>
      <w:pPr>
        <w:spacing w:before="40" w:after="100" w:line="320" w:lineRule="exact"/>
        <w:jc w:val="both"/>
      </w:pPr>
      <w:r>
        <w:rPr>
          <w:rFonts w:ascii="Times New Roman" w:hAnsi="Times New Roman"/>
          <w:sz w:val="22"/>
        </w:rPr>
        <w:t>The pairwise preference reward model r_pref: Λ → ℝ is parameterized by a neural network with parameters ψ_1 and trained by minimizing the binary cross-entropy:</w:t>
      </w:r>
    </w:p>
    <w:p>
      <w:pPr>
        <w:spacing w:before="120" w:after="120"/>
        <w:jc w:val="center"/>
      </w:pPr>
      <w:r>
        <w:rPr>
          <w:rFonts w:ascii="Courier New" w:hAnsi="Courier New"/>
          <w:b/>
          <w:sz w:val="21"/>
        </w:rPr>
        <w:t>L_pref(ψ_1) = −Σ_{(a,b) ∈ P} [y_ab log σ(Δ_ab) + (1−y_ab) log σ(−Δ_ab)]   (4.27)</w:t>
      </w:r>
    </w:p>
    <w:p>
      <w:pPr>
        <w:spacing w:before="120" w:after="120"/>
        <w:jc w:val="center"/>
      </w:pPr>
      <w:r>
        <w:rPr>
          <w:rFonts w:ascii="Courier New" w:hAnsi="Courier New"/>
          <w:b/>
          <w:sz w:val="21"/>
        </w:rPr>
        <w:t>where  Δ_ab = r_pref(λ_a; ψ_1) − r_pref(λ_b; ψ_1)   (4.28)</w:t>
      </w:r>
    </w:p>
    <w:p>
      <w:pPr>
        <w:spacing w:before="40" w:after="100" w:line="320" w:lineRule="exact"/>
        <w:jc w:val="both"/>
      </w:pPr>
      <w:r>
        <w:rPr>
          <w:rFonts w:ascii="Times New Roman" w:hAnsi="Times New Roman"/>
          <w:sz w:val="22"/>
        </w:rPr>
        <w:t>To handle intransitive preferences (which occur with probability ~15% in human studies, Ziegler et al., 2019), we apply label smoothing: ŷ_ab = (1−α_smooth) y_ab + α_smooth/2 with α_smooth = 0.1, replacing the hard 0/1 labels with smoothed targets in [0.05, 0.95].</w:t>
      </w:r>
    </w:p>
    <w:p>
      <w:pPr>
        <w:spacing w:before="40" w:after="100" w:line="320" w:lineRule="exact"/>
        <w:jc w:val="both"/>
      </w:pPr>
      <w:r>
        <w:rPr>
          <w:rFonts w:ascii="Times New Roman" w:hAnsi="Times New Roman"/>
          <w:sz w:val="22"/>
        </w:rPr>
        <w:t>Preference pairs are elicited by presenting the user with a side-by-side comparison interface showing: (i) the validation metric trajectory, (ii) the training loss curve, (iii) key hyperparameter values, and (iv) optional model output samples on a probe set. Each comparison takes approximately 20–30 seconds.</w:t>
      </w:r>
    </w:p>
    <w:p>
      <w:pPr>
        <w:pStyle w:val="Heading3"/>
      </w:pPr>
      <w:r>
        <w:t>4.2.2 Modality 2: Constraint Annotation</w:t>
      </w:r>
    </w:p>
    <w:p>
      <w:pPr>
        <w:spacing w:before="40" w:after="100" w:line="320" w:lineRule="exact"/>
        <w:jc w:val="both"/>
      </w:pPr>
      <w:r>
        <w:rPr>
          <w:rFonts w:ascii="Times New Roman" w:hAnsi="Times New Roman"/>
          <w:sz w:val="22"/>
        </w:rPr>
        <w:t>The user specifies C constraint functions g_c: Λ → ℝ (c = 1,...,C) and corresponding limits {(c_c, β_c, type_c)}_{c=1}^C, where type_c ∈ {hard, soft}. The constraint reward is:</w:t>
      </w:r>
    </w:p>
    <w:p>
      <w:pPr>
        <w:spacing w:before="120" w:after="120"/>
        <w:jc w:val="center"/>
      </w:pPr>
      <w:r>
        <w:rPr>
          <w:rFonts w:ascii="Courier New" w:hAnsi="Courier New"/>
          <w:b/>
          <w:sz w:val="21"/>
        </w:rPr>
        <w:t>r_c(λ; ψ_2) = −Σ_{c=1}^{C} β_c · ReLU(g_c(λ) − c_c)²   (4.29)</w:t>
      </w:r>
    </w:p>
    <w:p>
      <w:pPr>
        <w:spacing w:before="40" w:after="100" w:line="320" w:lineRule="exact"/>
        <w:jc w:val="both"/>
      </w:pPr>
      <w:r>
        <w:rPr>
          <w:rFonts w:ascii="Times New Roman" w:hAnsi="Times New Roman"/>
          <w:sz w:val="22"/>
        </w:rPr>
        <w:t>For hard constraints (e.g., memory limit), β_c → ∞ effectively masks the acquisition function in the infeasible region. In practice, we implement hard constraints by setting α_UF(λ) = −∞ whenever g_c(λ) &gt; c_c for any hard constraint c. Soft constraints (e.g., desired latency target) use finite β_c (default β_c = 5.0) to penalize violations while permitting exploration near the boundary.</w:t>
      </w:r>
    </w:p>
    <w:p>
      <w:pPr>
        <w:spacing w:before="40" w:after="100" w:line="320" w:lineRule="exact"/>
        <w:jc w:val="both"/>
      </w:pPr>
      <w:r>
        <w:rPr>
          <w:rFonts w:ascii="Times New Roman" w:hAnsi="Times New Roman"/>
          <w:sz w:val="22"/>
        </w:rPr>
        <w:t>Common constraint types supported by LUHPO include:</w:t>
      </w:r>
    </w:p>
    <w:p>
      <w:pPr>
        <w:spacing w:before="160"/>
        <w:jc w:val="center"/>
      </w:pPr>
      <w:r>
        <w:rPr>
          <w:b/>
          <w:i/>
          <w:sz w:val="20"/>
        </w:rPr>
        <w:t>Table 4.2: Constraint Types Supported by LUHPO's Constraint Annotation Modality</w:t>
      </w:r>
    </w:p>
    <w:tbl>
      <w:tblPr>
        <w:tblStyle w:val="TableGrid"/>
        <w:tblW w:type="auto" w:w="0"/>
        <w:tblLook w:firstColumn="1" w:firstRow="1" w:lastColumn="0" w:lastRow="0" w:noHBand="0" w:noVBand="1" w:val="04A0"/>
      </w:tblPr>
      <w:tblGrid>
        <w:gridCol w:w="2340"/>
        <w:gridCol w:w="2340"/>
        <w:gridCol w:w="2340"/>
        <w:gridCol w:w="2340"/>
      </w:tblGrid>
      <w:tr>
        <w:tc>
          <w:tcPr>
            <w:tcW w:type="dxa" w:w="3168"/>
            <w:shd w:val="clear" w:color="auto" w:fill="1F497D"/>
          </w:tcPr>
          <w:p>
            <w:r>
              <w:rPr>
                <w:rFonts w:ascii="Times New Roman" w:hAnsi="Times New Roman"/>
                <w:b/>
                <w:color w:val="FFFFFF"/>
                <w:sz w:val="19"/>
              </w:rPr>
              <w:t>Constraint Type</w:t>
            </w:r>
          </w:p>
        </w:tc>
        <w:tc>
          <w:tcPr>
            <w:tcW w:type="dxa" w:w="2592"/>
            <w:shd w:val="clear" w:color="auto" w:fill="1F497D"/>
          </w:tcPr>
          <w:p>
            <w:r>
              <w:rPr>
                <w:rFonts w:ascii="Times New Roman" w:hAnsi="Times New Roman"/>
                <w:b/>
                <w:color w:val="FFFFFF"/>
                <w:sz w:val="19"/>
              </w:rPr>
              <w:t>Function g_c(λ)</w:t>
            </w:r>
          </w:p>
        </w:tc>
        <w:tc>
          <w:tcPr>
            <w:tcW w:type="dxa" w:w="2592"/>
            <w:shd w:val="clear" w:color="auto" w:fill="1F497D"/>
          </w:tcPr>
          <w:p>
            <w:r>
              <w:rPr>
                <w:rFonts w:ascii="Times New Roman" w:hAnsi="Times New Roman"/>
                <w:b/>
                <w:color w:val="FFFFFF"/>
                <w:sz w:val="19"/>
              </w:rPr>
              <w:t>Limit c_c</w:t>
            </w:r>
          </w:p>
        </w:tc>
        <w:tc>
          <w:tcPr>
            <w:tcW w:type="dxa" w:w="1440"/>
            <w:shd w:val="clear" w:color="auto" w:fill="1F497D"/>
          </w:tcPr>
          <w:p>
            <w:r>
              <w:rPr>
                <w:rFonts w:ascii="Times New Roman" w:hAnsi="Times New Roman"/>
                <w:b/>
                <w:color w:val="FFFFFF"/>
                <w:sz w:val="19"/>
              </w:rPr>
              <w:t>Typical β_c</w:t>
            </w:r>
          </w:p>
        </w:tc>
      </w:tr>
      <w:tr>
        <w:tc>
          <w:tcPr>
            <w:tcW w:type="dxa" w:w="3168"/>
            <w:shd w:val="clear" w:color="auto" w:fill="EBF3FB"/>
          </w:tcPr>
          <w:p>
            <w:r>
              <w:rPr>
                <w:rFonts w:ascii="Times New Roman" w:hAnsi="Times New Roman"/>
                <w:sz w:val="19"/>
              </w:rPr>
              <w:t>Model parameter count</w:t>
            </w:r>
          </w:p>
        </w:tc>
        <w:tc>
          <w:tcPr>
            <w:tcW w:type="dxa" w:w="2592"/>
            <w:shd w:val="clear" w:color="auto" w:fill="EBF3FB"/>
          </w:tcPr>
          <w:p>
            <w:r>
              <w:rPr>
                <w:rFonts w:ascii="Times New Roman" w:hAnsi="Times New Roman"/>
                <w:sz w:val="19"/>
              </w:rPr>
              <w:t>count(params(M_λ))</w:t>
            </w:r>
          </w:p>
        </w:tc>
        <w:tc>
          <w:tcPr>
            <w:tcW w:type="dxa" w:w="2592"/>
            <w:shd w:val="clear" w:color="auto" w:fill="EBF3FB"/>
          </w:tcPr>
          <w:p>
            <w:r>
              <w:rPr>
                <w:rFonts w:ascii="Times New Roman" w:hAnsi="Times New Roman"/>
                <w:sz w:val="19"/>
              </w:rPr>
              <w:t>50M / 1B / 10B (user-specified)</w:t>
            </w:r>
          </w:p>
        </w:tc>
        <w:tc>
          <w:tcPr>
            <w:tcW w:type="dxa" w:w="1440"/>
            <w:shd w:val="clear" w:color="auto" w:fill="EBF3FB"/>
          </w:tcPr>
          <w:p>
            <w:r>
              <w:rPr>
                <w:rFonts w:ascii="Times New Roman" w:hAnsi="Times New Roman"/>
                <w:sz w:val="19"/>
              </w:rPr>
              <w:t>Hard</w:t>
            </w:r>
          </w:p>
        </w:tc>
      </w:tr>
      <w:tr>
        <w:tc>
          <w:tcPr>
            <w:tcW w:type="dxa" w:w="3168"/>
            <w:shd w:val="clear" w:color="auto" w:fill="FFFFFF"/>
          </w:tcPr>
          <w:p>
            <w:r>
              <w:rPr>
                <w:rFonts w:ascii="Times New Roman" w:hAnsi="Times New Roman"/>
                <w:sz w:val="19"/>
              </w:rPr>
              <w:t>Inference latency</w:t>
            </w:r>
          </w:p>
        </w:tc>
        <w:tc>
          <w:tcPr>
            <w:tcW w:type="dxa" w:w="2592"/>
            <w:shd w:val="clear" w:color="auto" w:fill="FFFFFF"/>
          </w:tcPr>
          <w:p>
            <w:r>
              <w:rPr>
                <w:rFonts w:ascii="Times New Roman" w:hAnsi="Times New Roman"/>
                <w:sz w:val="19"/>
              </w:rPr>
              <w:t>latency(M_λ, batch=1)</w:t>
            </w:r>
          </w:p>
        </w:tc>
        <w:tc>
          <w:tcPr>
            <w:tcW w:type="dxa" w:w="2592"/>
            <w:shd w:val="clear" w:color="auto" w:fill="FFFFFF"/>
          </w:tcPr>
          <w:p>
            <w:r>
              <w:rPr>
                <w:rFonts w:ascii="Times New Roman" w:hAnsi="Times New Roman"/>
                <w:sz w:val="19"/>
              </w:rPr>
              <w:t>100ms / 500ms</w:t>
            </w:r>
          </w:p>
        </w:tc>
        <w:tc>
          <w:tcPr>
            <w:tcW w:type="dxa" w:w="1440"/>
            <w:shd w:val="clear" w:color="auto" w:fill="FFFFFF"/>
          </w:tcPr>
          <w:p>
            <w:r>
              <w:rPr>
                <w:rFonts w:ascii="Times New Roman" w:hAnsi="Times New Roman"/>
                <w:sz w:val="19"/>
              </w:rPr>
              <w:t>Soft (β=10)</w:t>
            </w:r>
          </w:p>
        </w:tc>
      </w:tr>
      <w:tr>
        <w:tc>
          <w:tcPr>
            <w:tcW w:type="dxa" w:w="3168"/>
            <w:shd w:val="clear" w:color="auto" w:fill="EBF3FB"/>
          </w:tcPr>
          <w:p>
            <w:r>
              <w:rPr>
                <w:rFonts w:ascii="Times New Roman" w:hAnsi="Times New Roman"/>
                <w:sz w:val="19"/>
              </w:rPr>
              <w:t>GPU memory usage</w:t>
            </w:r>
          </w:p>
        </w:tc>
        <w:tc>
          <w:tcPr>
            <w:tcW w:type="dxa" w:w="2592"/>
            <w:shd w:val="clear" w:color="auto" w:fill="EBF3FB"/>
          </w:tcPr>
          <w:p>
            <w:r>
              <w:rPr>
                <w:rFonts w:ascii="Times New Roman" w:hAnsi="Times New Roman"/>
                <w:sz w:val="19"/>
              </w:rPr>
              <w:t>peak_memory(A(λ))</w:t>
            </w:r>
          </w:p>
        </w:tc>
        <w:tc>
          <w:tcPr>
            <w:tcW w:type="dxa" w:w="2592"/>
            <w:shd w:val="clear" w:color="auto" w:fill="EBF3FB"/>
          </w:tcPr>
          <w:p>
            <w:r>
              <w:rPr>
                <w:rFonts w:ascii="Times New Roman" w:hAnsi="Times New Roman"/>
                <w:sz w:val="19"/>
              </w:rPr>
              <w:t>8GB / 24GB / 80GB</w:t>
            </w:r>
          </w:p>
        </w:tc>
        <w:tc>
          <w:tcPr>
            <w:tcW w:type="dxa" w:w="1440"/>
            <w:shd w:val="clear" w:color="auto" w:fill="EBF3FB"/>
          </w:tcPr>
          <w:p>
            <w:r>
              <w:rPr>
                <w:rFonts w:ascii="Times New Roman" w:hAnsi="Times New Roman"/>
                <w:sz w:val="19"/>
              </w:rPr>
              <w:t>Hard</w:t>
            </w:r>
          </w:p>
        </w:tc>
      </w:tr>
      <w:tr>
        <w:tc>
          <w:tcPr>
            <w:tcW w:type="dxa" w:w="3168"/>
            <w:shd w:val="clear" w:color="auto" w:fill="FFFFFF"/>
          </w:tcPr>
          <w:p>
            <w:r>
              <w:rPr>
                <w:rFonts w:ascii="Times New Roman" w:hAnsi="Times New Roman"/>
                <w:sz w:val="19"/>
              </w:rPr>
              <w:t>Training time</w:t>
            </w:r>
          </w:p>
        </w:tc>
        <w:tc>
          <w:tcPr>
            <w:tcW w:type="dxa" w:w="2592"/>
            <w:shd w:val="clear" w:color="auto" w:fill="FFFFFF"/>
          </w:tcPr>
          <w:p>
            <w:r>
              <w:rPr>
                <w:rFonts w:ascii="Times New Roman" w:hAnsi="Times New Roman"/>
                <w:sz w:val="19"/>
              </w:rPr>
              <w:t>time(A(λ, D_train))</w:t>
            </w:r>
          </w:p>
        </w:tc>
        <w:tc>
          <w:tcPr>
            <w:tcW w:type="dxa" w:w="2592"/>
            <w:shd w:val="clear" w:color="auto" w:fill="FFFFFF"/>
          </w:tcPr>
          <w:p>
            <w:r>
              <w:rPr>
                <w:rFonts w:ascii="Times New Roman" w:hAnsi="Times New Roman"/>
                <w:sz w:val="19"/>
              </w:rPr>
              <w:t>2h / 12h / 48h</w:t>
            </w:r>
          </w:p>
        </w:tc>
        <w:tc>
          <w:tcPr>
            <w:tcW w:type="dxa" w:w="1440"/>
            <w:shd w:val="clear" w:color="auto" w:fill="FFFFFF"/>
          </w:tcPr>
          <w:p>
            <w:r>
              <w:rPr>
                <w:rFonts w:ascii="Times New Roman" w:hAnsi="Times New Roman"/>
                <w:sz w:val="19"/>
              </w:rPr>
              <w:t>Soft (β=3)</w:t>
            </w:r>
          </w:p>
        </w:tc>
      </w:tr>
      <w:tr>
        <w:tc>
          <w:tcPr>
            <w:tcW w:type="dxa" w:w="3168"/>
            <w:shd w:val="clear" w:color="auto" w:fill="EBF3FB"/>
          </w:tcPr>
          <w:p>
            <w:r>
              <w:rPr>
                <w:rFonts w:ascii="Times New Roman" w:hAnsi="Times New Roman"/>
                <w:sz w:val="19"/>
              </w:rPr>
              <w:t>FLOPs per forward pass</w:t>
            </w:r>
          </w:p>
        </w:tc>
        <w:tc>
          <w:tcPr>
            <w:tcW w:type="dxa" w:w="2592"/>
            <w:shd w:val="clear" w:color="auto" w:fill="EBF3FB"/>
          </w:tcPr>
          <w:p>
            <w:r>
              <w:rPr>
                <w:rFonts w:ascii="Times New Roman" w:hAnsi="Times New Roman"/>
                <w:sz w:val="19"/>
              </w:rPr>
              <w:t>FLOPs(M_λ)</w:t>
            </w:r>
          </w:p>
        </w:tc>
        <w:tc>
          <w:tcPr>
            <w:tcW w:type="dxa" w:w="2592"/>
            <w:shd w:val="clear" w:color="auto" w:fill="EBF3FB"/>
          </w:tcPr>
          <w:p>
            <w:r>
              <w:rPr>
                <w:rFonts w:ascii="Times New Roman" w:hAnsi="Times New Roman"/>
                <w:sz w:val="19"/>
              </w:rPr>
              <w:t>1G / 10G / 100G</w:t>
            </w:r>
          </w:p>
        </w:tc>
        <w:tc>
          <w:tcPr>
            <w:tcW w:type="dxa" w:w="1440"/>
            <w:shd w:val="clear" w:color="auto" w:fill="EBF3FB"/>
          </w:tcPr>
          <w:p>
            <w:r>
              <w:rPr>
                <w:rFonts w:ascii="Times New Roman" w:hAnsi="Times New Roman"/>
                <w:sz w:val="19"/>
              </w:rPr>
              <w:t>Soft (β=5)</w:t>
            </w:r>
          </w:p>
        </w:tc>
      </w:tr>
      <w:tr>
        <w:tc>
          <w:tcPr>
            <w:tcW w:type="dxa" w:w="3168"/>
            <w:shd w:val="clear" w:color="auto" w:fill="FFFFFF"/>
          </w:tcPr>
          <w:p>
            <w:r>
              <w:rPr>
                <w:rFonts w:ascii="Times New Roman" w:hAnsi="Times New Roman"/>
                <w:sz w:val="19"/>
              </w:rPr>
              <w:t>Carbon footprint (est.)</w:t>
            </w:r>
          </w:p>
        </w:tc>
        <w:tc>
          <w:tcPr>
            <w:tcW w:type="dxa" w:w="2592"/>
            <w:shd w:val="clear" w:color="auto" w:fill="FFFFFF"/>
          </w:tcPr>
          <w:p>
            <w:r>
              <w:rPr>
                <w:rFonts w:ascii="Times New Roman" w:hAnsi="Times New Roman"/>
                <w:sz w:val="19"/>
              </w:rPr>
              <w:t>CO2(A(λ))</w:t>
            </w:r>
          </w:p>
        </w:tc>
        <w:tc>
          <w:tcPr>
            <w:tcW w:type="dxa" w:w="2592"/>
            <w:shd w:val="clear" w:color="auto" w:fill="FFFFFF"/>
          </w:tcPr>
          <w:p>
            <w:r>
              <w:rPr>
                <w:rFonts w:ascii="Times New Roman" w:hAnsi="Times New Roman"/>
                <w:sz w:val="19"/>
              </w:rPr>
              <w:t>kg CO2 equivalent</w:t>
            </w:r>
          </w:p>
        </w:tc>
        <w:tc>
          <w:tcPr>
            <w:tcW w:type="dxa" w:w="1440"/>
            <w:shd w:val="clear" w:color="auto" w:fill="FFFFFF"/>
          </w:tcPr>
          <w:p>
            <w:r>
              <w:rPr>
                <w:rFonts w:ascii="Times New Roman" w:hAnsi="Times New Roman"/>
                <w:sz w:val="19"/>
              </w:rPr>
              <w:t>Soft (β=1)</w:t>
            </w:r>
          </w:p>
        </w:tc>
      </w:tr>
    </w:tbl>
    <w:p/>
    <w:p>
      <w:pPr>
        <w:pStyle w:val="Heading3"/>
      </w:pPr>
      <w:r>
        <w:t>4.2.3 Modality 3: Quality Score</w:t>
      </w:r>
    </w:p>
    <w:p>
      <w:pPr>
        <w:spacing w:before="40" w:after="100" w:line="320" w:lineRule="exact"/>
        <w:jc w:val="both"/>
      </w:pPr>
      <w:r>
        <w:rPr>
          <w:rFonts w:ascii="Times New Roman" w:hAnsi="Times New Roman"/>
          <w:sz w:val="22"/>
        </w:rPr>
        <w:t>After inspecting model outputs on a small human-readable probe set S_probe = {(x_i, y_i)}_{i=1}^K (typically K = 20–50 examples), the user assigns a Likert-scale quality rating q(λ) ∈ {1, 2, 3, 4, 5}. This rating reflects qualitative aspects of model behavior not captured by aggregate metrics, such as output diversity, factual accuracy, stylistic quality, or fairness.</w:t>
      </w:r>
    </w:p>
    <w:p>
      <w:pPr>
        <w:spacing w:before="40" w:after="100" w:line="320" w:lineRule="exact"/>
        <w:jc w:val="both"/>
      </w:pPr>
      <w:r>
        <w:rPr>
          <w:rFonts w:ascii="Times New Roman" w:hAnsi="Times New Roman"/>
          <w:sz w:val="22"/>
        </w:rPr>
        <w:t>The quality reward is a normalized version of the quality score, calibrated against the running distribution of all scores observed so far:</w:t>
      </w:r>
    </w:p>
    <w:p>
      <w:pPr>
        <w:spacing w:before="120" w:after="120"/>
        <w:jc w:val="center"/>
      </w:pPr>
      <w:r>
        <w:rPr>
          <w:rFonts w:ascii="Courier New" w:hAnsi="Courier New"/>
          <w:b/>
          <w:sz w:val="21"/>
        </w:rPr>
        <w:t>r_q(λ; ψ_3) = (q(λ) − q̄_{1:t}) / (s_{1:t} + ε)   (4.30)</w:t>
      </w:r>
    </w:p>
    <w:p>
      <w:pPr>
        <w:spacing w:before="120" w:after="120"/>
        <w:jc w:val="center"/>
      </w:pPr>
      <w:r>
        <w:rPr>
          <w:rFonts w:ascii="Courier New" w:hAnsi="Courier New"/>
          <w:b/>
          <w:sz w:val="21"/>
        </w:rPr>
        <w:t>where  q̄_{1:t} = (1/t) Σ_{i≤t} q(λ_i),   s_{1:t} = std({q(λ_i)}_{i≤t})   (4.31)</w:t>
      </w:r>
    </w:p>
    <w:p>
      <w:pPr>
        <w:spacing w:before="40" w:after="100" w:line="320" w:lineRule="exact"/>
        <w:jc w:val="both"/>
      </w:pPr>
      <w:r>
        <w:rPr>
          <w:rFonts w:ascii="Times New Roman" w:hAnsi="Times New Roman"/>
          <w:sz w:val="22"/>
        </w:rPr>
        <w:t>This standardization ensures that the quality reward is on a scale comparable to the other reward components regardless of the user's absolute scoring tendency (lenient vs. strict raters). In practice, quality scoring takes 2–5 minutes per configuration for NLP tasks (reviewing 20 text outputs) and 30–60 seconds for image classification tasks (reviewing misclassified examples).</w:t>
      </w:r>
    </w:p>
    <w:p>
      <w:pPr>
        <w:pStyle w:val="Heading3"/>
      </w:pPr>
      <w:r>
        <w:t>4.2.4 Modality 4: Learning Curve Assessment</w:t>
      </w:r>
    </w:p>
    <w:p>
      <w:pPr>
        <w:spacing w:before="40" w:after="100" w:line="320" w:lineRule="exact"/>
        <w:jc w:val="both"/>
      </w:pPr>
      <w:r>
        <w:rPr>
          <w:rFonts w:ascii="Times New Roman" w:hAnsi="Times New Roman"/>
          <w:sz w:val="22"/>
        </w:rPr>
        <w:t>The user assesses the learning curve ℓ(λ) = (loss_1, loss_2, ..., loss_E) ∈ ℝ^E observed during training and assigns a stability-quality label from three classes: y_lc ∈ {stable, oscillating, diverging}. This label captures qualitative properties of the training dynamics—such as loss spikes, slow convergence, or numerical instability—that do not always manifest in the final validation loss.</w:t>
      </w:r>
    </w:p>
    <w:p>
      <w:pPr>
        <w:spacing w:before="40" w:after="100" w:line="320" w:lineRule="exact"/>
        <w:jc w:val="both"/>
      </w:pPr>
      <w:r>
        <w:rPr>
          <w:rFonts w:ascii="Times New Roman" w:hAnsi="Times New Roman"/>
          <w:sz w:val="22"/>
        </w:rPr>
        <w:t>A lightweight Transformer encoder f_lc(ℓ(λ); ψ_4) processes the learning curve sequence and predicts the class distribution:</w:t>
      </w:r>
    </w:p>
    <w:p>
      <w:pPr>
        <w:spacing w:before="120" w:after="120"/>
        <w:jc w:val="center"/>
      </w:pPr>
      <w:r>
        <w:rPr>
          <w:rFonts w:ascii="Courier New" w:hAnsi="Courier New"/>
          <w:b/>
          <w:sz w:val="21"/>
        </w:rPr>
        <w:t>p_lc(y | ℓ(λ); ψ_4) = softmax(MLP(TransformerEnc(ℓ(λ); ψ_4)))   (4.32)</w:t>
      </w:r>
    </w:p>
    <w:p>
      <w:pPr>
        <w:spacing w:before="40" w:after="100" w:line="320" w:lineRule="exact"/>
        <w:jc w:val="both"/>
      </w:pPr>
      <w:r>
        <w:rPr>
          <w:rFonts w:ascii="Times New Roman" w:hAnsi="Times New Roman"/>
          <w:sz w:val="22"/>
        </w:rPr>
        <w:t>The learning curve reward is defined as the log-ratio of stable to diverging probability:</w:t>
      </w:r>
    </w:p>
    <w:p>
      <w:pPr>
        <w:spacing w:before="120" w:after="120"/>
        <w:jc w:val="center"/>
      </w:pPr>
      <w:r>
        <w:rPr>
          <w:rFonts w:ascii="Courier New" w:hAnsi="Courier New"/>
          <w:b/>
          <w:sz w:val="21"/>
        </w:rPr>
        <w:t>r_lc(λ; ψ_4) = log p_lc(stable | ℓ(λ)) − log p_lc(diverging | ℓ(λ))   (4.33)</w:t>
      </w:r>
    </w:p>
    <w:p>
      <w:pPr>
        <w:spacing w:before="40" w:after="100" w:line="320" w:lineRule="exact"/>
        <w:jc w:val="both"/>
      </w:pPr>
      <w:r>
        <w:rPr>
          <w:rFonts w:ascii="Times New Roman" w:hAnsi="Times New Roman"/>
          <w:sz w:val="22"/>
        </w:rPr>
        <w:t>This reward strongly penalizes divergent training (r_lc → −∞ as p(diverging) → 1) and rewards stable convergence (r_lc → +∞ as p(stable) → 1). The Transformer encoder uses 2 layers, 4 heads, and a 64-dimensional feed-forward network, totaling ~50K parameters—small enough to fine-tune online from the user's labels.</w:t>
      </w:r>
    </w:p>
    <w:p>
      <w:pPr>
        <w:spacing w:before="40" w:after="100" w:line="320" w:lineRule="exact"/>
        <w:jc w:val="both"/>
      </w:pPr>
      <w:r>
        <w:rPr>
          <w:rFonts w:ascii="Times New Roman" w:hAnsi="Times New Roman"/>
          <w:sz w:val="22"/>
        </w:rPr>
        <w:t>The learning curve encoder ψ_4 is pre-trained on a library of 10,000 learning curves from HPOBench with human-annotated stability labels, then fine-tuned online on the labels provided by the current user. This transfer learning approach allows the encoder to adapt to user-specific labeling patterns (e.g., a user who is more sensitive to mild oscillations than the average labeler).</w:t>
      </w:r>
    </w:p>
    <w:p>
      <w:pPr>
        <w:pStyle w:val="Heading3"/>
      </w:pPr>
      <w:r>
        <w:t>4.2.5 Fusion and Online Learning of the Reward Model</w:t>
      </w:r>
    </w:p>
    <w:p>
      <w:pPr>
        <w:spacing w:before="40" w:after="100" w:line="320" w:lineRule="exact"/>
        <w:jc w:val="both"/>
      </w:pPr>
      <w:r>
        <w:rPr>
          <w:rFonts w:ascii="Times New Roman" w:hAnsi="Times New Roman"/>
          <w:sz w:val="22"/>
        </w:rPr>
        <w:t>The four reward components are combined via a learned weight vector w ∈ ℝ^4_+:</w:t>
      </w:r>
    </w:p>
    <w:p>
      <w:pPr>
        <w:spacing w:before="120" w:after="120"/>
        <w:jc w:val="center"/>
      </w:pPr>
      <w:r>
        <w:rPr>
          <w:rFonts w:ascii="Courier New" w:hAnsi="Courier New"/>
          <w:b/>
          <w:sz w:val="21"/>
        </w:rPr>
        <w:t>r_u(λ; w, ψ) = w_1·r_pref(λ;ψ_1) + w_2·r_c(λ;ψ_2) + w_3·r_q(λ;ψ_3) + w_4·r_lc(λ;ψ_4)   (4.34)</w:t>
      </w:r>
    </w:p>
    <w:p>
      <w:pPr>
        <w:spacing w:before="40" w:after="100" w:line="320" w:lineRule="exact"/>
        <w:jc w:val="both"/>
      </w:pPr>
      <w:r>
        <w:rPr>
          <w:rFonts w:ascii="Times New Roman" w:hAnsi="Times New Roman"/>
          <w:sz w:val="22"/>
        </w:rPr>
        <w:t>The weights are constrained to the probability simplex Δ³ = {w: Σ_k w_k = 1, w_k ≥ 0} via a softmax parameterization: w = softmax(v) for an unconstrained vector v ∈ ℝ^4. The weights are initialized to v = [0,0,0,0] (uniform w = [0.25, 0.25, 0.25, 0.25]) and updated by maximizing the correlation between the fused reward and explicit user ratings collected at periodic calibration rounds:</w:t>
      </w:r>
    </w:p>
    <w:p>
      <w:pPr>
        <w:spacing w:before="120" w:after="120"/>
        <w:jc w:val="center"/>
      </w:pPr>
      <w:r>
        <w:rPr>
          <w:rFonts w:ascii="Courier New" w:hAnsi="Courier New"/>
          <w:b/>
          <w:sz w:val="21"/>
        </w:rPr>
        <w:t>L_fusion(w) = −corr({r_u(λ_i; w)}_{i ∈ S_cal}, {q_explicit(λ_i)}_{i ∈ S_cal})   (4.35)</w:t>
      </w:r>
    </w:p>
    <w:p>
      <w:pPr>
        <w:spacing w:before="40" w:after="100" w:line="320" w:lineRule="exact"/>
        <w:jc w:val="both"/>
      </w:pPr>
      <w:r>
        <w:rPr>
          <w:rFonts w:ascii="Times New Roman" w:hAnsi="Times New Roman"/>
          <w:sz w:val="22"/>
        </w:rPr>
        <w:t>where S_cal is the set of calibration configurations for which both fused reward and explicit user ratings are available, and corr is Pearson correlation. The weight update uses ADAM with learning rate 0.01 and runs for 20 steps after each calibration round (every K = 5 HPO iterations).</w:t>
      </w:r>
    </w:p>
    <w:p>
      <w:pPr>
        <w:pStyle w:val="Heading2"/>
      </w:pPr>
      <w:r>
        <w:t>4.3 Modified Acquisition Function</w:t>
      </w:r>
    </w:p>
    <w:p>
      <w:pPr>
        <w:spacing w:before="40" w:after="100" w:line="320" w:lineRule="exact"/>
        <w:jc w:val="both"/>
      </w:pPr>
      <w:r>
        <w:rPr>
          <w:rFonts w:ascii="Times New Roman" w:hAnsi="Times New Roman"/>
          <w:sz w:val="22"/>
        </w:rPr>
        <w:t>The LUHPO acquisition function α_UF combines the LSTM-derived Expected Improvement with the user reward into a single, differentiable criterion for configuration selection.</w:t>
      </w:r>
    </w:p>
    <w:p>
      <w:pPr>
        <w:pStyle w:val="Heading3"/>
      </w:pPr>
      <w:r>
        <w:t>4.3.1 LSTM-based Expected Improvement</w:t>
      </w:r>
    </w:p>
    <w:p>
      <w:pPr>
        <w:spacing w:before="40" w:after="100" w:line="320" w:lineRule="exact"/>
        <w:jc w:val="both"/>
      </w:pPr>
      <w:r>
        <w:rPr>
          <w:rFonts w:ascii="Times New Roman" w:hAnsi="Times New Roman"/>
          <w:sz w:val="22"/>
        </w:rPr>
        <w:t>The Expected Improvement acquisition function (Mockus, 1975; Jones et al., 1998) is adapted to use the LSTM surrogate's predictive distribution. Given the current incumbent f* = min_{i≤t} y_i and the LSTM predictions (μ(λ), σ(λ)):</w:t>
      </w:r>
    </w:p>
    <w:p>
      <w:pPr>
        <w:spacing w:before="120" w:after="120"/>
        <w:jc w:val="center"/>
      </w:pPr>
      <w:r>
        <w:rPr>
          <w:rFonts w:ascii="Courier New" w:hAnsi="Courier New"/>
          <w:b/>
          <w:sz w:val="21"/>
        </w:rPr>
        <w:t>α_EI(λ) = 𝔼_{f ~ N(μ(λ), σ²(λ))}[max(0, f* − f)]   (4.36)</w:t>
      </w:r>
    </w:p>
    <w:p>
      <w:pPr>
        <w:spacing w:before="40" w:after="100" w:line="320" w:lineRule="exact"/>
        <w:jc w:val="both"/>
      </w:pPr>
      <w:r>
        <w:rPr>
          <w:rFonts w:ascii="Times New Roman" w:hAnsi="Times New Roman"/>
          <w:sz w:val="22"/>
        </w:rPr>
        <w:t>Since the surrogate predicts a Gaussian distribution, the EI has the closed-form expression (Equation 4.37):</w:t>
      </w:r>
    </w:p>
    <w:p>
      <w:pPr>
        <w:spacing w:before="120" w:after="120"/>
        <w:jc w:val="center"/>
      </w:pPr>
      <w:r>
        <w:rPr>
          <w:rFonts w:ascii="Courier New" w:hAnsi="Courier New"/>
          <w:b/>
          <w:sz w:val="21"/>
        </w:rPr>
        <w:t>α_EI(λ) = (f* − μ(λ)) · Φ(Z) + σ(λ) · φ(Z)   (4.37)</w:t>
      </w:r>
    </w:p>
    <w:p>
      <w:pPr>
        <w:spacing w:before="120" w:after="120"/>
        <w:jc w:val="center"/>
      </w:pPr>
      <w:r>
        <w:rPr>
          <w:rFonts w:ascii="Courier New" w:hAnsi="Courier New"/>
          <w:b/>
          <w:sz w:val="21"/>
        </w:rPr>
        <w:t>Z = (f* − μ(λ)) / σ(λ)   (4.38)</w:t>
      </w:r>
    </w:p>
    <w:p>
      <w:pPr>
        <w:spacing w:before="40" w:after="100" w:line="320" w:lineRule="exact"/>
        <w:jc w:val="both"/>
      </w:pPr>
      <w:r>
        <w:rPr>
          <w:rFonts w:ascii="Times New Roman" w:hAnsi="Times New Roman"/>
          <w:sz w:val="22"/>
        </w:rPr>
        <w:t>where Φ is the standard normal CDF and φ is the standard normal PDF. Note that α_EI(λ) ≥ 0 always, with high values when μ(λ) &lt; f* (the surrogate predicts improvement) or when σ(λ) is large (high uncertainty, exploration incentive).</w:t>
      </w:r>
    </w:p>
    <w:p>
      <w:pPr>
        <w:pStyle w:val="Heading3"/>
      </w:pPr>
      <w:r>
        <w:t>4.3.2 Derivation of the LUHPO Acquisition Function</w:t>
      </w:r>
    </w:p>
    <w:p>
      <w:pPr>
        <w:spacing w:before="40" w:after="100" w:line="320" w:lineRule="exact"/>
        <w:jc w:val="both"/>
      </w:pPr>
      <w:r>
        <w:rPr>
          <w:rFonts w:ascii="Times New Roman" w:hAnsi="Times New Roman"/>
          <w:sz w:val="22"/>
        </w:rPr>
        <w:t>We derive the LUHPO acquisition function from first principles. The augmented HPO objective (3.6) minimizes f(λ) − γ·u(λ). The augmented incumbent is:</w:t>
      </w:r>
    </w:p>
    <w:p>
      <w:pPr>
        <w:spacing w:before="120" w:after="120"/>
        <w:jc w:val="center"/>
      </w:pPr>
      <w:r>
        <w:rPr>
          <w:rFonts w:ascii="Courier New" w:hAnsi="Courier New"/>
          <w:b/>
          <w:sz w:val="21"/>
        </w:rPr>
        <w:t>f*_aug = min_{i≤t} [y_i − γ · r_u(λ_i)]   (4.39)</w:t>
      </w:r>
    </w:p>
    <w:p>
      <w:pPr>
        <w:spacing w:before="40" w:after="100" w:line="320" w:lineRule="exact"/>
        <w:jc w:val="both"/>
      </w:pPr>
      <w:r>
        <w:rPr>
          <w:rFonts w:ascii="Times New Roman" w:hAnsi="Times New Roman"/>
          <w:sz w:val="22"/>
        </w:rPr>
        <w:t>The augmented Expected Improvement—the expected reduction in the augmented objective—is:</w:t>
      </w:r>
    </w:p>
    <w:p>
      <w:pPr>
        <w:spacing w:before="120" w:after="120"/>
        <w:jc w:val="center"/>
      </w:pPr>
      <w:r>
        <w:rPr>
          <w:rFonts w:ascii="Courier New" w:hAnsi="Courier New"/>
          <w:b/>
          <w:sz w:val="21"/>
        </w:rPr>
        <w:t>α_AEI(λ) = 𝔼[max(0, f*_aug − (f(λ) − γ·r_u(λ)))]   (4.40)</w:t>
      </w:r>
    </w:p>
    <w:p>
      <w:pPr>
        <w:spacing w:before="40" w:after="100" w:line="320" w:lineRule="exact"/>
        <w:jc w:val="both"/>
      </w:pPr>
      <w:r>
        <w:rPr>
          <w:rFonts w:ascii="Times New Roman" w:hAnsi="Times New Roman"/>
          <w:sz w:val="22"/>
        </w:rPr>
        <w:t>Assuming f(λ) and r_u(λ) are approximately independent (which holds when the user's preferences are based on qualitative features not captured by f), and approximating r_u(λ) by its current point estimate (since the reward model uncertainty is small relative to the surrogate uncertainty), we obtain:</w:t>
      </w:r>
    </w:p>
    <w:p>
      <w:pPr>
        <w:spacing w:before="120" w:after="120"/>
        <w:jc w:val="center"/>
      </w:pPr>
      <w:r>
        <w:rPr>
          <w:rFonts w:ascii="Courier New" w:hAnsi="Courier New"/>
          <w:b/>
          <w:sz w:val="21"/>
        </w:rPr>
        <w:t>α_AEI(λ) ≈ 𝔼[max(0, f*_aug − f(λ))] + γ · r_u(λ)   (4.41)</w:t>
      </w:r>
    </w:p>
    <w:p>
      <w:pPr>
        <w:spacing w:before="120" w:after="120"/>
        <w:jc w:val="center"/>
      </w:pPr>
      <w:r>
        <w:rPr>
          <w:rFonts w:ascii="Courier New" w:hAnsi="Courier New"/>
          <w:b/>
          <w:sz w:val="21"/>
        </w:rPr>
        <w:t xml:space="preserve">        = α_EI(λ; f*_aug) + γ · r_u(λ)   (4.42)</w:t>
      </w:r>
    </w:p>
    <w:p>
      <w:pPr>
        <w:spacing w:before="40" w:after="100" w:line="320" w:lineRule="exact"/>
        <w:jc w:val="both"/>
      </w:pPr>
      <w:r>
        <w:rPr>
          <w:rFonts w:ascii="Times New Roman" w:hAnsi="Times New Roman"/>
          <w:sz w:val="22"/>
        </w:rPr>
        <w:t>This derivation shows that the LUHPO acquisition function α_UF = α_EI + γ·r_u is not an ad hoc combination but the natural Expected Improvement for the augmented HPO objective. The modification is principled: it exactly corresponds to replacing the standard incumbent f* with the augmented incumbent f*_aug.</w:t>
      </w:r>
    </w:p>
    <w:p>
      <w:pPr>
        <w:pStyle w:val="Heading3"/>
      </w:pPr>
      <w:r>
        <w:t>4.3.3 Effect of the Mixing Parameter γ</w:t>
      </w:r>
    </w:p>
    <w:p>
      <w:pPr>
        <w:spacing w:before="40" w:after="100" w:line="320" w:lineRule="exact"/>
        <w:jc w:val="both"/>
      </w:pPr>
      <w:r>
        <w:rPr>
          <w:rFonts w:ascii="Times New Roman" w:hAnsi="Times New Roman"/>
          <w:sz w:val="22"/>
        </w:rPr>
        <w:t>The mixing parameter γ ≥ 0 controls the relative influence of user feedback on configuration selection. Figure 4.5 illustrates the effect of varying γ on the acquisition function landscape.</w:t>
      </w:r>
    </w:p>
    <w:p>
      <w:pPr>
        <w:spacing w:before="160"/>
        <w:jc w:val="center"/>
      </w:pPr>
      <w:r>
        <w:drawing>
          <wp:inline xmlns:a="http://schemas.openxmlformats.org/drawingml/2006/main" xmlns:pic="http://schemas.openxmlformats.org/drawingml/2006/picture">
            <wp:extent cx="5669280" cy="3890182"/>
            <wp:docPr id="6" name="Picture 6"/>
            <wp:cNvGraphicFramePr>
              <a:graphicFrameLocks noChangeAspect="1"/>
            </wp:cNvGraphicFramePr>
            <a:graphic>
              <a:graphicData uri="http://schemas.openxmlformats.org/drawingml/2006/picture">
                <pic:pic>
                  <pic:nvPicPr>
                    <pic:cNvPr id="0" name="figE_acquisition.png"/>
                    <pic:cNvPicPr/>
                  </pic:nvPicPr>
                  <pic:blipFill>
                    <a:blip r:embed="rId14"/>
                    <a:stretch>
                      <a:fillRect/>
                    </a:stretch>
                  </pic:blipFill>
                  <pic:spPr>
                    <a:xfrm>
                      <a:off x="0" y="0"/>
                      <a:ext cx="5669280" cy="3890182"/>
                    </a:xfrm>
                    <a:prstGeom prst="rect"/>
                  </pic:spPr>
                </pic:pic>
              </a:graphicData>
            </a:graphic>
          </wp:inline>
        </w:drawing>
      </w:r>
    </w:p>
    <w:p>
      <w:pPr>
        <w:spacing w:after="240"/>
        <w:jc w:val="center"/>
      </w:pPr>
      <w:r>
        <w:rPr>
          <w:rFonts w:ascii="Times New Roman" w:hAnsi="Times New Roman"/>
          <w:i/>
          <w:sz w:val="19"/>
        </w:rPr>
        <w:t>Figure 4.5: Acquisition Function Analysis. (a) LSTM surrogate mean and uncertainty estimates. (b) Comparison of EI, PI, and UCB acquisition functions derived from the LSTM surrogate—all peak in regions of low predicted mean and high uncertainty. (c) User reward r_u(λ) showing that the user prefers configurations near λ=0.4 and disfavors λ=0.8 (e.g., due to stability concerns). (d) Effect of γ on the combined acquisition α_UF: larger γ shifts the peak toward user-preferred regions.</w:t>
      </w:r>
    </w:p>
    <w:p>
      <w:pPr>
        <w:spacing w:before="40" w:after="100" w:line="320" w:lineRule="exact"/>
        <w:jc w:val="both"/>
      </w:pPr>
      <w:r>
        <w:rPr>
          <w:rFonts w:ascii="Times New Roman" w:hAnsi="Times New Roman"/>
          <w:sz w:val="22"/>
        </w:rPr>
        <w:t>We adopt a schedule for γ that starts high (emphasizing user preferences early, when automated search is less informed) and decreases over time (allowing the LSTM surrogate to take over as the trajectory grows):</w:t>
      </w:r>
    </w:p>
    <w:p>
      <w:pPr>
        <w:spacing w:before="120" w:after="120"/>
        <w:jc w:val="center"/>
      </w:pPr>
      <w:r>
        <w:rPr>
          <w:rFonts w:ascii="Courier New" w:hAnsi="Courier New"/>
          <w:b/>
          <w:sz w:val="21"/>
        </w:rPr>
        <w:t>γ_t = γ_max · exp(−t / τ_γ)   (4.43)</w:t>
      </w:r>
    </w:p>
    <w:p>
      <w:pPr>
        <w:spacing w:before="40" w:after="100" w:line="320" w:lineRule="exact"/>
        <w:jc w:val="both"/>
      </w:pPr>
      <w:r>
        <w:rPr>
          <w:rFonts w:ascii="Times New Roman" w:hAnsi="Times New Roman"/>
          <w:sz w:val="22"/>
        </w:rPr>
        <w:t>with default values γ_max = 0.5 and τ_γ = 20. This schedule has the intuitive interpretation that early evaluations—when the surrogate has seen few observations—can benefit most from user guidance, while later evaluations—when the surrogate is well-calibrated—should rely more on automated optimization.</w:t>
      </w:r>
    </w:p>
    <w:p>
      <w:pPr>
        <w:pStyle w:val="Heading3"/>
      </w:pPr>
      <w:r>
        <w:t>4.3.4 Acquisition Function Optimization</w:t>
      </w:r>
    </w:p>
    <w:p>
      <w:pPr>
        <w:spacing w:before="40" w:after="100" w:line="320" w:lineRule="exact"/>
        <w:jc w:val="both"/>
      </w:pPr>
      <w:r>
        <w:rPr>
          <w:rFonts w:ascii="Times New Roman" w:hAnsi="Times New Roman"/>
          <w:sz w:val="22"/>
        </w:rPr>
        <w:t>The acquisition function α_UF(λ) must be maximized over the configuration space Λ to obtain the next configuration to evaluate. This inner optimization problem is much cheaper than evaluating f(λ) (seconds vs. hours), but it is non-trivial due to the multimodality of α_UF and the mixed-type structure of Λ.</w:t>
      </w:r>
    </w:p>
    <w:p>
      <w:pPr>
        <w:spacing w:before="40" w:after="100" w:line="320" w:lineRule="exact"/>
        <w:jc w:val="both"/>
      </w:pPr>
      <w:r>
        <w:rPr>
          <w:rFonts w:ascii="Times New Roman" w:hAnsi="Times New Roman"/>
          <w:sz w:val="22"/>
        </w:rPr>
        <w:t>LUHPO uses a three-stage acquisition optimization procedure:</w:t>
      </w:r>
    </w:p>
    <w:p>
      <w:pPr>
        <w:pStyle w:val="ListNumber"/>
        <w:spacing w:before="20" w:after="40"/>
        <w:ind w:left="504"/>
      </w:pPr>
      <w:r>
        <w:rPr>
          <w:rFonts w:ascii="Times New Roman" w:hAnsi="Times New Roman"/>
          <w:sz w:val="22"/>
        </w:rPr>
        <w:t>Random sampling: Sample N_rand = 5,000 configurations λ uniformly from Λ and evaluate α_UF(λ) for each. This ensures broad coverage of the configuration space.</w:t>
      </w:r>
    </w:p>
    <w:p>
      <w:pPr>
        <w:pStyle w:val="ListNumber"/>
        <w:spacing w:before="20" w:after="40"/>
        <w:ind w:left="504"/>
      </w:pPr>
      <w:r>
        <w:rPr>
          <w:rFonts w:ascii="Times New Roman" w:hAnsi="Times New Roman"/>
          <w:sz w:val="22"/>
        </w:rPr>
        <w:t>Gradient refinement: For the top-K_refine = 20 configurations by α_UF, apply L-BFGS-B gradient ascent on the continuous hyperparameter dimensions (treating discrete/categorical dimensions as fixed). The gradient ∇_λ α_UF(λ) is computed via automatic differentiation through the LSTM surrogate and feedback reward model.</w:t>
      </w:r>
    </w:p>
    <w:p>
      <w:pPr>
        <w:pStyle w:val="ListNumber"/>
        <w:spacing w:before="20" w:after="40"/>
        <w:ind w:left="504"/>
      </w:pPr>
      <w:r>
        <w:rPr>
          <w:rFonts w:ascii="Times New Roman" w:hAnsi="Times New Roman"/>
          <w:sz w:val="22"/>
        </w:rPr>
        <w:t>Constraint filtering: Remove any configuration that violates hard constraints (α_UF → −∞), and select the configuration with highest α_UF among the remaining candidates.</w:t>
      </w:r>
    </w:p>
    <w:p>
      <w:pPr>
        <w:spacing w:before="40" w:after="100" w:line="320" w:lineRule="exact"/>
        <w:jc w:val="both"/>
      </w:pPr>
      <w:r>
        <w:rPr>
          <w:rFonts w:ascii="Times New Roman" w:hAnsi="Times New Roman"/>
          <w:sz w:val="22"/>
        </w:rPr>
        <w:t>The gradient refinement step requires that α_EI is differentiable with respect to the continuous hyperparameter dimensions. Since μ(λ) and σ(λ) are produced by the differentiable LSTM surrogate, and α_EI is a differentiable function of (μ, σ) via Eq. (4.37)–(4.38), the full gradient ∂α_UF/∂λ_cont is available via automatic differentiation (PyTorch autograd). For discrete dimensions, we use a discrete relaxation during gradient computation and round to the nearest valid value afterward.</w:t>
      </w:r>
    </w:p>
    <w:p>
      <w:pPr>
        <w:pStyle w:val="Heading2"/>
      </w:pPr>
      <w:r>
        <w:t>4.4 Adaptive Mixing and Feedback Scheduling</w:t>
      </w:r>
    </w:p>
    <w:p>
      <w:pPr>
        <w:spacing w:before="40" w:after="100" w:line="320" w:lineRule="exact"/>
        <w:jc w:val="both"/>
      </w:pPr>
      <w:r>
        <w:rPr>
          <w:rFonts w:ascii="Times New Roman" w:hAnsi="Times New Roman"/>
          <w:sz w:val="22"/>
        </w:rPr>
        <w:t>A key practical question is how frequently to solicit user feedback and how to adapt the mixing parameter γ based on the quality of feedback received so far.</w:t>
      </w:r>
    </w:p>
    <w:p>
      <w:pPr>
        <w:pStyle w:val="Heading3"/>
      </w:pPr>
      <w:r>
        <w:t>4.4.1 Feedback Scheduling</w:t>
      </w:r>
    </w:p>
    <w:p>
      <w:pPr>
        <w:spacing w:before="40" w:after="100" w:line="320" w:lineRule="exact"/>
        <w:jc w:val="both"/>
      </w:pPr>
      <w:r>
        <w:rPr>
          <w:rFonts w:ascii="Times New Roman" w:hAnsi="Times New Roman"/>
          <w:sz w:val="22"/>
        </w:rPr>
        <w:t>User feedback is elicited every K HPO iterations (default K = 3). However, the optimal K depends on the HPO budget T, the user's availability, and the rate at which the reward model improves. We use an adaptive scheduling rule:</w:t>
      </w:r>
    </w:p>
    <w:p>
      <w:pPr>
        <w:spacing w:before="120" w:after="120"/>
        <w:jc w:val="center"/>
      </w:pPr>
      <w:r>
        <w:rPr>
          <w:rFonts w:ascii="Courier New" w:hAnsi="Courier New"/>
          <w:b/>
          <w:sz w:val="21"/>
        </w:rPr>
        <w:t>K_t = max(K_min, K_max · exp(−t / τ_K))   (4.44)</w:t>
      </w:r>
    </w:p>
    <w:p>
      <w:pPr>
        <w:spacing w:before="40" w:after="100" w:line="320" w:lineRule="exact"/>
        <w:jc w:val="both"/>
      </w:pPr>
      <w:r>
        <w:rPr>
          <w:rFonts w:ascii="Times New Roman" w:hAnsi="Times New Roman"/>
          <w:sz w:val="22"/>
        </w:rPr>
        <w:t>Starting with K_max = 5 (less frequent early on, when fewer configurations are available for comparison) and decaying to K_min = 2 (more frequent later, when the user can compare well-differentiated configurations). τ_K = 30.</w:t>
      </w:r>
    </w:p>
    <w:p>
      <w:pPr>
        <w:pStyle w:val="Heading3"/>
      </w:pPr>
      <w:r>
        <w:t>4.4.2 Feedback Quality Estimation and γ Adaptation</w:t>
      </w:r>
    </w:p>
    <w:p>
      <w:pPr>
        <w:spacing w:before="40" w:after="100" w:line="320" w:lineRule="exact"/>
        <w:jc w:val="both"/>
      </w:pPr>
      <w:r>
        <w:rPr>
          <w:rFonts w:ascii="Times New Roman" w:hAnsi="Times New Roman"/>
          <w:sz w:val="22"/>
        </w:rPr>
        <w:t>The quality of user feedback is estimated by the consistency of the reward model predictions with observed outcomes. Define the feedback quality metric:</w:t>
      </w:r>
    </w:p>
    <w:p>
      <w:pPr>
        <w:spacing w:before="120" w:after="120"/>
        <w:jc w:val="center"/>
      </w:pPr>
      <w:r>
        <w:rPr>
          <w:rFonts w:ascii="Courier New" w:hAnsi="Courier New"/>
          <w:b/>
          <w:sz w:val="21"/>
        </w:rPr>
        <w:t>Q_FB = corr({r_u(λ_i)}_{i ∈ S_val}, {ỹ_i}_{i ∈ S_val})   (4.45)</w:t>
      </w:r>
    </w:p>
    <w:p>
      <w:pPr>
        <w:spacing w:before="40" w:after="100" w:line="320" w:lineRule="exact"/>
        <w:jc w:val="both"/>
      </w:pPr>
      <w:r>
        <w:rPr>
          <w:rFonts w:ascii="Times New Roman" w:hAnsi="Times New Roman"/>
          <w:sz w:val="22"/>
        </w:rPr>
        <w:t>where S_val is a held-out validation set of configurations with known outcomes. When Q_FB is high (user feedback is informative), γ_t is increased; when Q_FB is low (user feedback is noisy or inconsistent), γ_t is decreased:</w:t>
      </w:r>
    </w:p>
    <w:p>
      <w:pPr>
        <w:spacing w:before="120" w:after="120"/>
        <w:jc w:val="center"/>
      </w:pPr>
      <w:r>
        <w:rPr>
          <w:rFonts w:ascii="Courier New" w:hAnsi="Courier New"/>
          <w:b/>
          <w:sz w:val="21"/>
        </w:rPr>
        <w:t>γ_t ← γ_t · (1 + α_γ · (Q_FB − Q_target))   (4.46)</w:t>
      </w:r>
    </w:p>
    <w:p>
      <w:pPr>
        <w:spacing w:before="40" w:after="100" w:line="320" w:lineRule="exact"/>
        <w:jc w:val="both"/>
      </w:pPr>
      <w:r>
        <w:rPr>
          <w:rFonts w:ascii="Times New Roman" w:hAnsi="Times New Roman"/>
          <w:sz w:val="22"/>
        </w:rPr>
        <w:t>with α_γ = 0.1 and Q_target = 0.3. This adaptive scheme prevents LUHPO from being misled by low-quality feedback while amplifying the benefit of high-quality feedback. It also provides a principled mechanism for graceful degradation: if the user provides random or contradictory feedback, LUHPO automatically reverts to the purely automated LSTM-BO baseline (γ → 0).</w:t>
      </w:r>
    </w:p>
    <w:p>
      <w:pPr>
        <w:pStyle w:val="Heading2"/>
      </w:pPr>
      <w:r>
        <w:t>4.5 Theoretical Analysis</w:t>
      </w:r>
    </w:p>
    <w:p>
      <w:pPr>
        <w:spacing w:before="40" w:after="100" w:line="320" w:lineRule="exact"/>
        <w:jc w:val="both"/>
      </w:pPr>
      <w:r>
        <w:rPr>
          <w:rFonts w:ascii="Times New Roman" w:hAnsi="Times New Roman"/>
          <w:sz w:val="22"/>
        </w:rPr>
        <w:t>We establish theoretical properties of LUHPO under a set of formal assumptions. The proofs of all results are provided in the Supplementary Material.</w:t>
      </w:r>
    </w:p>
    <w:p>
      <w:pPr>
        <w:spacing w:before="40" w:after="100" w:line="320" w:lineRule="exact"/>
      </w:pPr>
      <w:r>
        <w:rPr>
          <w:rFonts w:ascii="Times New Roman" w:hAnsi="Times New Roman"/>
          <w:b/>
          <w:i w:val="0"/>
          <w:sz w:val="22"/>
        </w:rPr>
        <w:t>We require the following assumptions:</w:t>
      </w:r>
    </w:p>
    <w:p>
      <w:pPr>
        <w:pStyle w:val="ListBullet"/>
        <w:spacing w:before="20" w:after="40" w:line="300" w:lineRule="exact"/>
        <w:ind w:left="504"/>
      </w:pPr>
      <w:r>
        <w:rPr>
          <w:rFonts w:ascii="Times New Roman" w:hAnsi="Times New Roman"/>
          <w:sz w:val="22"/>
        </w:rPr>
        <w:t>(A1) RKHS boundedness: The true augmented objective f_aug = f − γ·u lies in the reproducing kernel Hilbert space (RKHS) of a kernel k with ‖f_aug‖_k ≤ B &lt; ∞.</w:t>
      </w:r>
    </w:p>
    <w:p>
      <w:pPr>
        <w:pStyle w:val="ListBullet"/>
        <w:spacing w:before="20" w:after="40" w:line="300" w:lineRule="exact"/>
        <w:ind w:left="504"/>
      </w:pPr>
      <w:r>
        <w:rPr>
          <w:rFonts w:ascii="Times New Roman" w:hAnsi="Times New Roman"/>
          <w:sz w:val="22"/>
        </w:rPr>
        <w:t>(A2) LSTM calibration: The LSTM surrogate satisfies the calibration condition 𝔼[(f_aug(λ) − μ_θ(λ|τ_t))²] ≤ C_L · σ²_θ(λ|τ_t) for a constant C_L &gt; 0 and all t ≥ n_warmup.</w:t>
      </w:r>
    </w:p>
    <w:p>
      <w:pPr>
        <w:pStyle w:val="ListBullet"/>
        <w:spacing w:before="20" w:after="40" w:line="300" w:lineRule="exact"/>
        <w:ind w:left="504"/>
      </w:pPr>
      <w:r>
        <w:rPr>
          <w:rFonts w:ascii="Times New Roman" w:hAnsi="Times New Roman"/>
          <w:sz w:val="22"/>
        </w:rPr>
        <w:t>(A3) Feedback accuracy: The user reward r_u(λ) approximates the true utility u(λ) with bounded error: |r_u(λ) − u(λ)| ≤ ε_u with probability ≥ 1 − δ_u uniformly over λ ∈ Λ.</w:t>
      </w:r>
    </w:p>
    <w:p>
      <w:pPr>
        <w:pStyle w:val="ListBullet"/>
        <w:spacing w:before="20" w:after="40" w:line="300" w:lineRule="exact"/>
        <w:ind w:left="504"/>
      </w:pPr>
      <w:r>
        <w:rPr>
          <w:rFonts w:ascii="Times New Roman" w:hAnsi="Times New Roman"/>
          <w:sz w:val="22"/>
        </w:rPr>
        <w:t>(A4) Reward correlation: The true user utility satisfies 𝔼[u(λ)] ≥ 0 and corr(u(λ), −f(λ)) = ρ &gt; 0, i.e., user preferences are positively aligned with the automated objective.</w:t>
      </w:r>
    </w:p>
    <w:p>
      <w:pPr>
        <w:spacing w:before="120" w:after="40" w:line="320" w:lineRule="exact"/>
      </w:pPr>
      <w:r>
        <w:rPr>
          <w:rFonts w:ascii="Times New Roman" w:hAnsi="Times New Roman"/>
          <w:b/>
          <w:i w:val="0"/>
          <w:sz w:val="22"/>
        </w:rPr>
        <w:t>Theorem 4.1 (Cumulative Regret Bound).</w:t>
      </w:r>
    </w:p>
    <w:p>
      <w:pPr>
        <w:spacing w:before="40" w:after="100" w:line="320" w:lineRule="exact"/>
        <w:jc w:val="both"/>
      </w:pPr>
      <w:r>
        <w:rPr>
          <w:rFonts w:ascii="Times New Roman" w:hAnsi="Times New Roman"/>
          <w:sz w:val="22"/>
        </w:rPr>
        <w:t>Under assumptions (A1)–(A3), with γ_t set according to schedule (4.43) and the LUHPO acquisition function (4.42), the cumulative regret satisfies, with probability at least 1 − δ:</w:t>
      </w:r>
    </w:p>
    <w:p>
      <w:pPr>
        <w:spacing w:before="120" w:after="120"/>
        <w:jc w:val="center"/>
      </w:pPr>
      <w:r>
        <w:rPr>
          <w:rFonts w:ascii="Courier New" w:hAnsi="Courier New"/>
          <w:b/>
          <w:sz w:val="21"/>
        </w:rPr>
        <w:t>R_T = Σ_{t=1}^T [f_aug(λ_t) − f_aug(λ*_aug)]  ≤  C_L · √(T · β_T · γ_T(k))   (4.47)</w:t>
      </w:r>
    </w:p>
    <w:p>
      <w:pPr>
        <w:spacing w:before="120" w:after="120"/>
        <w:jc w:val="center"/>
      </w:pPr>
      <w:r>
        <w:rPr>
          <w:rFonts w:ascii="Courier New" w:hAnsi="Courier New"/>
          <w:b/>
          <w:sz w:val="21"/>
        </w:rPr>
        <w:t>where  β_T = 2 log(|Λ|T²π²/(3δ)),   γ_T(k) = max information gain of k after T obs.   (4.48)</w:t>
      </w:r>
    </w:p>
    <w:p>
      <w:pPr>
        <w:spacing w:before="40" w:after="100" w:line="320" w:lineRule="exact"/>
        <w:jc w:val="both"/>
      </w:pPr>
      <w:r>
        <w:rPr>
          <w:rFonts w:ascii="Times New Roman" w:hAnsi="Times New Roman"/>
          <w:sz w:val="22"/>
        </w:rPr>
        <w:t>Since γ_T(k) = O(log^{d+1}(T)) for the squared-exponential kernel and γ_T(k) = O(T^{(d-1)/d} log T) for Matérn kernels (Srinivas et al., 2012), LUHPO achieves sublinear cumulative regret: R_T = O(√T · log^{(d+1)/2}(T)) for the SE kernel, matching the best known bound for GP-UCB.</w:t>
      </w:r>
    </w:p>
    <w:p>
      <w:pPr>
        <w:spacing w:before="120" w:after="40" w:line="320" w:lineRule="exact"/>
      </w:pPr>
      <w:r>
        <w:rPr>
          <w:rFonts w:ascii="Times New Roman" w:hAnsi="Times New Roman"/>
          <w:b/>
          <w:i w:val="0"/>
          <w:sz w:val="22"/>
        </w:rPr>
        <w:t>Theorem 4.2 (Value of User Feedback).</w:t>
      </w:r>
    </w:p>
    <w:p>
      <w:pPr>
        <w:spacing w:before="40" w:after="100" w:line="320" w:lineRule="exact"/>
        <w:jc w:val="both"/>
      </w:pPr>
      <w:r>
        <w:rPr>
          <w:rFonts w:ascii="Times New Roman" w:hAnsi="Times New Roman"/>
          <w:sz w:val="22"/>
        </w:rPr>
        <w:t>Under assumptions (A1)–(A4), the expected simple regret of LUHPO after T evaluations satisfies:</w:t>
      </w:r>
    </w:p>
    <w:p>
      <w:pPr>
        <w:spacing w:before="120" w:after="120"/>
        <w:jc w:val="center"/>
      </w:pPr>
      <w:r>
        <w:rPr>
          <w:rFonts w:ascii="Courier New" w:hAnsi="Courier New"/>
          <w:b/>
          <w:sz w:val="21"/>
        </w:rPr>
        <w:t>𝔼[r_T^LUHPO] ≤ (1 − ρ²)^{1/2} · 𝔼[r_T^LSTM-only] + O(ε_u)   (4.49)</w:t>
      </w:r>
    </w:p>
    <w:p>
      <w:pPr>
        <w:spacing w:before="40" w:after="100" w:line="320" w:lineRule="exact"/>
        <w:jc w:val="both"/>
      </w:pPr>
      <w:r>
        <w:rPr>
          <w:rFonts w:ascii="Times New Roman" w:hAnsi="Times New Roman"/>
          <w:sz w:val="22"/>
        </w:rPr>
        <w:t>This result shows that when user feedback is informative (ρ &gt; 0), LUHPO strictly outperforms the LSTM-only baseline (no user feedback) by a factor of (1 − ρ²)^{1/2} &lt; 1. When ρ = 0 (uninformative feedback) and ε_u = 0, the bound matches the LSTM-only baseline, showing that uninformative feedback does not harm performance. The O(ε_u) term captures the degradation from noisy feedback estimation.</w:t>
      </w:r>
    </w:p>
    <w:p>
      <w:pPr>
        <w:spacing w:before="120" w:after="40" w:line="320" w:lineRule="exact"/>
      </w:pPr>
      <w:r>
        <w:rPr>
          <w:rFonts w:ascii="Times New Roman" w:hAnsi="Times New Roman"/>
          <w:b/>
          <w:i w:val="0"/>
          <w:sz w:val="22"/>
        </w:rPr>
        <w:t>Proposition 4.3 (Regret Under Constraint Annotations).</w:t>
      </w:r>
    </w:p>
    <w:p>
      <w:pPr>
        <w:spacing w:before="40" w:after="100" w:line="320" w:lineRule="exact"/>
        <w:jc w:val="both"/>
      </w:pPr>
      <w:r>
        <w:rPr>
          <w:rFonts w:ascii="Times New Roman" w:hAnsi="Times New Roman"/>
          <w:sz w:val="22"/>
        </w:rPr>
        <w:t>Let Λ_feas = {λ ∈ Λ : g_c(λ) ≤ c_c  ∀c} be the feasible set defined by user constraints. If Λ_feas ⊂ Λ and λ*_aug ∈ Λ_feas (the true optimum is feasible), LUHPO with hard constraint masking achieves the same regret bound (4.47) restricted to Λ_feas. Since |Λ_feas| ≤ |Λ|, this yields:</w:t>
      </w:r>
    </w:p>
    <w:p>
      <w:pPr>
        <w:spacing w:before="120" w:after="120"/>
        <w:jc w:val="center"/>
      </w:pPr>
      <w:r>
        <w:rPr>
          <w:rFonts w:ascii="Courier New" w:hAnsi="Courier New"/>
          <w:b/>
          <w:sz w:val="21"/>
        </w:rPr>
        <w:t>R_T(Λ_feas) ≤ R_T(Λ)    [constraint annotations cannot increase regret]   (4.50)</w:t>
      </w:r>
    </w:p>
    <w:p>
      <w:pPr>
        <w:spacing w:before="40" w:after="100" w:line="320" w:lineRule="exact"/>
        <w:jc w:val="both"/>
      </w:pPr>
      <w:r>
        <w:rPr>
          <w:rFonts w:ascii="Times New Roman" w:hAnsi="Times New Roman"/>
          <w:sz w:val="22"/>
        </w:rPr>
        <w:t>This establishes that constraint annotations are always beneficial or neutral from a theoretical perspective: they reduce the search space, which can only improve regret bounds when the optimum is within the feasible region.</w:t>
      </w:r>
    </w:p>
    <w:p>
      <w:pPr>
        <w:spacing w:before="160"/>
        <w:jc w:val="center"/>
      </w:pPr>
      <w:r>
        <w:drawing>
          <wp:inline xmlns:a="http://schemas.openxmlformats.org/drawingml/2006/main" xmlns:pic="http://schemas.openxmlformats.org/drawingml/2006/picture">
            <wp:extent cx="5669280" cy="2172420"/>
            <wp:docPr id="7" name="Picture 7"/>
            <wp:cNvGraphicFramePr>
              <a:graphicFrameLocks noChangeAspect="1"/>
            </wp:cNvGraphicFramePr>
            <a:graphic>
              <a:graphicData uri="http://schemas.openxmlformats.org/drawingml/2006/picture">
                <pic:pic>
                  <pic:nvPicPr>
                    <pic:cNvPr id="0" name="figF_regret.png"/>
                    <pic:cNvPicPr/>
                  </pic:nvPicPr>
                  <pic:blipFill>
                    <a:blip r:embed="rId15"/>
                    <a:stretch>
                      <a:fillRect/>
                    </a:stretch>
                  </pic:blipFill>
                  <pic:spPr>
                    <a:xfrm>
                      <a:off x="0" y="0"/>
                      <a:ext cx="5669280" cy="2172420"/>
                    </a:xfrm>
                    <a:prstGeom prst="rect"/>
                  </pic:spPr>
                </pic:pic>
              </a:graphicData>
            </a:graphic>
          </wp:inline>
        </w:drawing>
      </w:r>
    </w:p>
    <w:p>
      <w:pPr>
        <w:spacing w:after="240"/>
        <w:jc w:val="center"/>
      </w:pPr>
      <w:r>
        <w:rPr>
          <w:rFonts w:ascii="Times New Roman" w:hAnsi="Times New Roman"/>
          <w:i/>
          <w:sz w:val="19"/>
        </w:rPr>
        <w:t>Figure 4.6: Theoretical Regret Analysis. (Left) Cumulative regret R_T of LUHPO versus baselines. The O(√T log T) theoretical bound (dashed) is shown for reference; LUHPO tracks this bound most closely due to the LSTM surrogate's trajectory-aware uncertainty quantification. (Right) Simple regret r_T on log scale—LUHPO's convergence rate is approximately 40% faster than BOHB, consistent with Theorem 4.2 with estimated ρ ≈ 0.6 for typical practitioners.</w:t>
      </w:r>
    </w:p>
    <w:p>
      <w:pPr>
        <w:pStyle w:val="Heading2"/>
      </w:pPr>
      <w:r>
        <w:t>4.6 Algorithm Summary</w:t>
      </w:r>
    </w:p>
    <w:p>
      <w:pPr>
        <w:spacing w:before="40" w:after="100" w:line="320" w:lineRule="exact"/>
        <w:jc w:val="both"/>
      </w:pPr>
      <w:r>
        <w:rPr>
          <w:rFonts w:ascii="Times New Roman" w:hAnsi="Times New Roman"/>
          <w:sz w:val="22"/>
        </w:rPr>
        <w:t>Algorithm 4.1 provides the complete pseudo-code for LUHPO. The algorithm integrates all four components—LSTM surrogate, user feedback module, modified acquisition function, and online training—into a single cohesive loop.</w:t>
      </w:r>
    </w:p>
    <w:p>
      <w:pPr>
        <w:spacing w:before="160"/>
        <w:jc w:val="center"/>
      </w:pPr>
      <w:r>
        <w:rPr>
          <w:b/>
          <w:i/>
          <w:sz w:val="20"/>
        </w:rPr>
        <w:t>Algorithm 4.1: LUHPO — Complete Pseudo-code with Complexity</w:t>
      </w:r>
    </w:p>
    <w:tbl>
      <w:tblPr>
        <w:tblStyle w:val="TableGrid"/>
        <w:tblW w:type="auto" w:w="0"/>
        <w:tblLook w:firstColumn="1" w:firstRow="1" w:lastColumn="0" w:lastRow="0" w:noHBand="0" w:noVBand="1" w:val="04A0"/>
      </w:tblPr>
      <w:tblGrid>
        <w:gridCol w:w="3120"/>
        <w:gridCol w:w="3120"/>
        <w:gridCol w:w="3120"/>
      </w:tblGrid>
      <w:tr>
        <w:tc>
          <w:tcPr>
            <w:tcW w:type="dxa" w:w="720"/>
            <w:shd w:val="clear" w:color="auto" w:fill="1F497D"/>
          </w:tcPr>
          <w:p>
            <w:r>
              <w:rPr>
                <w:rFonts w:ascii="Times New Roman" w:hAnsi="Times New Roman"/>
                <w:b/>
                <w:color w:val="FFFFFF"/>
                <w:sz w:val="19"/>
              </w:rPr>
              <w:t>Step</w:t>
            </w:r>
          </w:p>
        </w:tc>
        <w:tc>
          <w:tcPr>
            <w:tcW w:type="dxa" w:w="6624"/>
            <w:shd w:val="clear" w:color="auto" w:fill="1F497D"/>
          </w:tcPr>
          <w:p>
            <w:r>
              <w:rPr>
                <w:rFonts w:ascii="Times New Roman" w:hAnsi="Times New Roman"/>
                <w:b/>
                <w:color w:val="FFFFFF"/>
                <w:sz w:val="19"/>
              </w:rPr>
              <w:t>Operation</w:t>
            </w:r>
          </w:p>
        </w:tc>
        <w:tc>
          <w:tcPr>
            <w:tcW w:type="dxa" w:w="2448"/>
            <w:shd w:val="clear" w:color="auto" w:fill="1F497D"/>
          </w:tcPr>
          <w:p>
            <w:r>
              <w:rPr>
                <w:rFonts w:ascii="Times New Roman" w:hAnsi="Times New Roman"/>
                <w:b/>
                <w:color w:val="FFFFFF"/>
                <w:sz w:val="19"/>
              </w:rPr>
              <w:t>Complexity</w:t>
            </w:r>
          </w:p>
        </w:tc>
      </w:tr>
      <w:tr>
        <w:tc>
          <w:tcPr>
            <w:tcW w:type="dxa" w:w="720"/>
            <w:shd w:val="clear" w:color="auto" w:fill="EBF3FB"/>
          </w:tcPr>
          <w:p>
            <w:r>
              <w:rPr>
                <w:rFonts w:ascii="Times New Roman" w:hAnsi="Times New Roman"/>
                <w:sz w:val="19"/>
              </w:rPr>
              <w:t>Input</w:t>
            </w:r>
          </w:p>
        </w:tc>
        <w:tc>
          <w:tcPr>
            <w:tcW w:type="dxa" w:w="6624"/>
            <w:shd w:val="clear" w:color="auto" w:fill="EBF3FB"/>
          </w:tcPr>
          <w:p>
            <w:r>
              <w:rPr>
                <w:rFonts w:ascii="Times New Roman" w:hAnsi="Times New Roman"/>
                <w:sz w:val="19"/>
              </w:rPr>
              <w:t>Space Λ, budget T, warmup n₀, interval K, γ_max, τ_γ</w:t>
            </w:r>
          </w:p>
        </w:tc>
        <w:tc>
          <w:tcPr>
            <w:tcW w:type="dxa" w:w="2448"/>
            <w:shd w:val="clear" w:color="auto" w:fill="EBF3FB"/>
          </w:tcPr>
          <w:p>
            <w:r>
              <w:rPr>
                <w:rFonts w:ascii="Times New Roman" w:hAnsi="Times New Roman"/>
                <w:sz w:val="19"/>
              </w:rPr>
              <w:t>—</w:t>
            </w:r>
          </w:p>
        </w:tc>
      </w:tr>
      <w:tr>
        <w:tc>
          <w:tcPr>
            <w:tcW w:type="dxa" w:w="720"/>
            <w:shd w:val="clear" w:color="auto" w:fill="FFFFFF"/>
          </w:tcPr>
          <w:p>
            <w:r>
              <w:rPr>
                <w:rFonts w:ascii="Times New Roman" w:hAnsi="Times New Roman"/>
                <w:sz w:val="19"/>
              </w:rPr>
              <w:t>Output</w:t>
            </w:r>
          </w:p>
        </w:tc>
        <w:tc>
          <w:tcPr>
            <w:tcW w:type="dxa" w:w="6624"/>
            <w:shd w:val="clear" w:color="auto" w:fill="FFFFFF"/>
          </w:tcPr>
          <w:p>
            <w:r>
              <w:rPr>
                <w:rFonts w:ascii="Times New Roman" w:hAnsi="Times New Roman"/>
                <w:sz w:val="19"/>
              </w:rPr>
              <w:t>Best config λ*, trajectory τ_T</w:t>
            </w:r>
          </w:p>
        </w:tc>
        <w:tc>
          <w:tcPr>
            <w:tcW w:type="dxa" w:w="2448"/>
            <w:shd w:val="clear" w:color="auto" w:fill="FFFFFF"/>
          </w:tcPr>
          <w:p>
            <w:r>
              <w:rPr>
                <w:rFonts w:ascii="Times New Roman" w:hAnsi="Times New Roman"/>
                <w:sz w:val="19"/>
              </w:rPr>
              <w:t>—</w:t>
            </w:r>
          </w:p>
        </w:tc>
      </w:tr>
      <w:tr>
        <w:tc>
          <w:tcPr>
            <w:tcW w:type="dxa" w:w="720"/>
            <w:shd w:val="clear" w:color="auto" w:fill="EBF3FB"/>
          </w:tcPr>
          <w:p>
            <w:r>
              <w:rPr>
                <w:rFonts w:ascii="Times New Roman" w:hAnsi="Times New Roman"/>
                <w:sz w:val="19"/>
              </w:rPr>
              <w:t>1</w:t>
            </w:r>
          </w:p>
        </w:tc>
        <w:tc>
          <w:tcPr>
            <w:tcW w:type="dxa" w:w="6624"/>
            <w:shd w:val="clear" w:color="auto" w:fill="EBF3FB"/>
          </w:tcPr>
          <w:p>
            <w:r>
              <w:rPr>
                <w:rFonts w:ascii="Times New Roman" w:hAnsi="Times New Roman"/>
                <w:sz w:val="19"/>
              </w:rPr>
              <w:t>Initialize LSTM (random weights θ₀), reward model (uniform w)</w:t>
            </w:r>
          </w:p>
        </w:tc>
        <w:tc>
          <w:tcPr>
            <w:tcW w:type="dxa" w:w="2448"/>
            <w:shd w:val="clear" w:color="auto" w:fill="EBF3FB"/>
          </w:tcPr>
          <w:p>
            <w:r>
              <w:rPr>
                <w:rFonts w:ascii="Times New Roman" w:hAnsi="Times New Roman"/>
                <w:sz w:val="19"/>
              </w:rPr>
              <w:t>O(|θ|)</w:t>
            </w:r>
          </w:p>
        </w:tc>
      </w:tr>
      <w:tr>
        <w:tc>
          <w:tcPr>
            <w:tcW w:type="dxa" w:w="720"/>
            <w:shd w:val="clear" w:color="auto" w:fill="FFFFFF"/>
          </w:tcPr>
          <w:p>
            <w:r>
              <w:rPr>
                <w:rFonts w:ascii="Times New Roman" w:hAnsi="Times New Roman"/>
                <w:sz w:val="19"/>
              </w:rPr>
              <w:t>2</w:t>
            </w:r>
          </w:p>
        </w:tc>
        <w:tc>
          <w:tcPr>
            <w:tcW w:type="dxa" w:w="6624"/>
            <w:shd w:val="clear" w:color="auto" w:fill="FFFFFF"/>
          </w:tcPr>
          <w:p>
            <w:r>
              <w:rPr>
                <w:rFonts w:ascii="Times New Roman" w:hAnsi="Times New Roman"/>
                <w:sz w:val="19"/>
              </w:rPr>
              <w:t>for t = 1 to n₀: λ_t ← Uniform(Λ); run A(λ_t); record y_t</w:t>
            </w:r>
          </w:p>
        </w:tc>
        <w:tc>
          <w:tcPr>
            <w:tcW w:type="dxa" w:w="2448"/>
            <w:shd w:val="clear" w:color="auto" w:fill="FFFFFF"/>
          </w:tcPr>
          <w:p>
            <w:r>
              <w:rPr>
                <w:rFonts w:ascii="Times New Roman" w:hAnsi="Times New Roman"/>
                <w:sz w:val="19"/>
              </w:rPr>
              <w:t>O(n₀ · T_eval)</w:t>
            </w:r>
          </w:p>
        </w:tc>
      </w:tr>
      <w:tr>
        <w:tc>
          <w:tcPr>
            <w:tcW w:type="dxa" w:w="720"/>
            <w:shd w:val="clear" w:color="auto" w:fill="EBF3FB"/>
          </w:tcPr>
          <w:p>
            <w:r>
              <w:rPr>
                <w:rFonts w:ascii="Times New Roman" w:hAnsi="Times New Roman"/>
                <w:sz w:val="19"/>
              </w:rPr>
              <w:t>3</w:t>
            </w:r>
          </w:p>
        </w:tc>
        <w:tc>
          <w:tcPr>
            <w:tcW w:type="dxa" w:w="6624"/>
            <w:shd w:val="clear" w:color="auto" w:fill="EBF3FB"/>
          </w:tcPr>
          <w:p>
            <w:r>
              <w:rPr>
                <w:rFonts w:ascii="Times New Roman" w:hAnsi="Times New Roman"/>
                <w:sz w:val="19"/>
              </w:rPr>
              <w:t>Initialize τ_{n₀} = ⟨(λ_1,y_1),...,(λ_{n₀},y_{n₀})⟩</w:t>
            </w:r>
          </w:p>
        </w:tc>
        <w:tc>
          <w:tcPr>
            <w:tcW w:type="dxa" w:w="2448"/>
            <w:shd w:val="clear" w:color="auto" w:fill="EBF3FB"/>
          </w:tcPr>
          <w:p>
            <w:r>
              <w:rPr>
                <w:rFonts w:ascii="Times New Roman" w:hAnsi="Times New Roman"/>
                <w:sz w:val="19"/>
              </w:rPr>
              <w:t>O(n₀)</w:t>
            </w:r>
          </w:p>
        </w:tc>
      </w:tr>
      <w:tr>
        <w:tc>
          <w:tcPr>
            <w:tcW w:type="dxa" w:w="720"/>
            <w:shd w:val="clear" w:color="auto" w:fill="FFFFFF"/>
          </w:tcPr>
          <w:p>
            <w:r>
              <w:rPr>
                <w:rFonts w:ascii="Times New Roman" w:hAnsi="Times New Roman"/>
                <w:sz w:val="19"/>
              </w:rPr>
              <w:t>4</w:t>
            </w:r>
          </w:p>
        </w:tc>
        <w:tc>
          <w:tcPr>
            <w:tcW w:type="dxa" w:w="6624"/>
            <w:shd w:val="clear" w:color="auto" w:fill="FFFFFF"/>
          </w:tcPr>
          <w:p>
            <w:r>
              <w:rPr>
                <w:rFonts w:ascii="Times New Roman" w:hAnsi="Times New Roman"/>
                <w:sz w:val="19"/>
              </w:rPr>
              <w:t>Fine-tune LSTM on τ_{n₀} for 50 gradient steps</w:t>
            </w:r>
          </w:p>
        </w:tc>
        <w:tc>
          <w:tcPr>
            <w:tcW w:type="dxa" w:w="2448"/>
            <w:shd w:val="clear" w:color="auto" w:fill="FFFFFF"/>
          </w:tcPr>
          <w:p>
            <w:r>
              <w:rPr>
                <w:rFonts w:ascii="Times New Roman" w:hAnsi="Times New Roman"/>
                <w:sz w:val="19"/>
              </w:rPr>
              <w:t>O(50·n₀·H²)</w:t>
            </w:r>
          </w:p>
        </w:tc>
      </w:tr>
      <w:tr>
        <w:tc>
          <w:tcPr>
            <w:tcW w:type="dxa" w:w="720"/>
            <w:shd w:val="clear" w:color="auto" w:fill="EBF3FB"/>
          </w:tcPr>
          <w:p>
            <w:r>
              <w:rPr>
                <w:rFonts w:ascii="Times New Roman" w:hAnsi="Times New Roman"/>
                <w:sz w:val="19"/>
              </w:rPr>
              <w:t>5</w:t>
            </w:r>
          </w:p>
        </w:tc>
        <w:tc>
          <w:tcPr>
            <w:tcW w:type="dxa" w:w="6624"/>
            <w:shd w:val="clear" w:color="auto" w:fill="EBF3FB"/>
          </w:tcPr>
          <w:p>
            <w:r>
              <w:rPr>
                <w:rFonts w:ascii="Times New Roman" w:hAnsi="Times New Roman"/>
                <w:sz w:val="19"/>
              </w:rPr>
              <w:t>for t = n₀+1 to T do:</w:t>
            </w:r>
          </w:p>
        </w:tc>
        <w:tc>
          <w:tcPr>
            <w:tcW w:type="dxa" w:w="2448"/>
            <w:shd w:val="clear" w:color="auto" w:fill="EBF3FB"/>
          </w:tcPr>
          <w:p>
            <w:r>
              <w:rPr>
                <w:rFonts w:ascii="Times New Roman" w:hAnsi="Times New Roman"/>
                <w:sz w:val="19"/>
              </w:rPr>
              <w:t>—</w:t>
            </w:r>
          </w:p>
        </w:tc>
      </w:tr>
      <w:tr>
        <w:tc>
          <w:tcPr>
            <w:tcW w:type="dxa" w:w="720"/>
            <w:shd w:val="clear" w:color="auto" w:fill="FFFFFF"/>
          </w:tcPr>
          <w:p>
            <w:r>
              <w:rPr>
                <w:rFonts w:ascii="Times New Roman" w:hAnsi="Times New Roman"/>
                <w:sz w:val="19"/>
              </w:rPr>
              <w:t>6</w:t>
            </w:r>
          </w:p>
        </w:tc>
        <w:tc>
          <w:tcPr>
            <w:tcW w:type="dxa" w:w="6624"/>
            <w:shd w:val="clear" w:color="auto" w:fill="FFFFFF"/>
          </w:tcPr>
          <w:p>
            <w:r>
              <w:rPr>
                <w:rFonts w:ascii="Times New Roman" w:hAnsi="Times New Roman"/>
                <w:sz w:val="19"/>
              </w:rPr>
              <w:t xml:space="preserve">  Compute γ_t ← γ_max · exp(−t/τ_γ)</w:t>
            </w:r>
          </w:p>
        </w:tc>
        <w:tc>
          <w:tcPr>
            <w:tcW w:type="dxa" w:w="2448"/>
            <w:shd w:val="clear" w:color="auto" w:fill="FFFFFF"/>
          </w:tcPr>
          <w:p>
            <w:r>
              <w:rPr>
                <w:rFonts w:ascii="Times New Roman" w:hAnsi="Times New Roman"/>
                <w:sz w:val="19"/>
              </w:rPr>
              <w:t>O(1)</w:t>
            </w:r>
          </w:p>
        </w:tc>
      </w:tr>
      <w:tr>
        <w:tc>
          <w:tcPr>
            <w:tcW w:type="dxa" w:w="720"/>
            <w:shd w:val="clear" w:color="auto" w:fill="EBF3FB"/>
          </w:tcPr>
          <w:p>
            <w:r>
              <w:rPr>
                <w:rFonts w:ascii="Times New Roman" w:hAnsi="Times New Roman"/>
                <w:sz w:val="19"/>
              </w:rPr>
              <w:t>7</w:t>
            </w:r>
          </w:p>
        </w:tc>
        <w:tc>
          <w:tcPr>
            <w:tcW w:type="dxa" w:w="6624"/>
            <w:shd w:val="clear" w:color="auto" w:fill="EBF3FB"/>
          </w:tcPr>
          <w:p>
            <w:r>
              <w:rPr>
                <w:rFonts w:ascii="Times New Roman" w:hAnsi="Times New Roman"/>
                <w:sz w:val="19"/>
              </w:rPr>
              <w:t xml:space="preserve">  for N_rand candidates λ: compute α_UF(λ) = α_EI(λ) + γ_t·r_u(λ)</w:t>
            </w:r>
          </w:p>
        </w:tc>
        <w:tc>
          <w:tcPr>
            <w:tcW w:type="dxa" w:w="2448"/>
            <w:shd w:val="clear" w:color="auto" w:fill="EBF3FB"/>
          </w:tcPr>
          <w:p>
            <w:r>
              <w:rPr>
                <w:rFonts w:ascii="Times New Roman" w:hAnsi="Times New Roman"/>
                <w:sz w:val="19"/>
              </w:rPr>
              <w:t>O(N_rand·H)</w:t>
            </w:r>
          </w:p>
        </w:tc>
      </w:tr>
      <w:tr>
        <w:tc>
          <w:tcPr>
            <w:tcW w:type="dxa" w:w="720"/>
            <w:shd w:val="clear" w:color="auto" w:fill="FFFFFF"/>
          </w:tcPr>
          <w:p>
            <w:r>
              <w:rPr>
                <w:rFonts w:ascii="Times New Roman" w:hAnsi="Times New Roman"/>
                <w:sz w:val="19"/>
              </w:rPr>
              <w:t>8</w:t>
            </w:r>
          </w:p>
        </w:tc>
        <w:tc>
          <w:tcPr>
            <w:tcW w:type="dxa" w:w="6624"/>
            <w:shd w:val="clear" w:color="auto" w:fill="FFFFFF"/>
          </w:tcPr>
          <w:p>
            <w:r>
              <w:rPr>
                <w:rFonts w:ascii="Times New Roman" w:hAnsi="Times New Roman"/>
                <w:sz w:val="19"/>
              </w:rPr>
              <w:t xml:space="preserve">  Refine top-20 candidates via L-BFGS-B on continuous dims</w:t>
            </w:r>
          </w:p>
        </w:tc>
        <w:tc>
          <w:tcPr>
            <w:tcW w:type="dxa" w:w="2448"/>
            <w:shd w:val="clear" w:color="auto" w:fill="FFFFFF"/>
          </w:tcPr>
          <w:p>
            <w:r>
              <w:rPr>
                <w:rFonts w:ascii="Times New Roman" w:hAnsi="Times New Roman"/>
                <w:sz w:val="19"/>
              </w:rPr>
              <w:t>O(20·n_steps·H)</w:t>
            </w:r>
          </w:p>
        </w:tc>
      </w:tr>
      <w:tr>
        <w:tc>
          <w:tcPr>
            <w:tcW w:type="dxa" w:w="720"/>
            <w:shd w:val="clear" w:color="auto" w:fill="EBF3FB"/>
          </w:tcPr>
          <w:p>
            <w:r>
              <w:rPr>
                <w:rFonts w:ascii="Times New Roman" w:hAnsi="Times New Roman"/>
                <w:sz w:val="19"/>
              </w:rPr>
              <w:t>9</w:t>
            </w:r>
          </w:p>
        </w:tc>
        <w:tc>
          <w:tcPr>
            <w:tcW w:type="dxa" w:w="6624"/>
            <w:shd w:val="clear" w:color="auto" w:fill="EBF3FB"/>
          </w:tcPr>
          <w:p>
            <w:r>
              <w:rPr>
                <w:rFonts w:ascii="Times New Roman" w:hAnsi="Times New Roman"/>
                <w:sz w:val="19"/>
              </w:rPr>
              <w:t xml:space="preserve">  Apply hard constraint masking; λ_t ← argmax α_UF</w:t>
            </w:r>
          </w:p>
        </w:tc>
        <w:tc>
          <w:tcPr>
            <w:tcW w:type="dxa" w:w="2448"/>
            <w:shd w:val="clear" w:color="auto" w:fill="EBF3FB"/>
          </w:tcPr>
          <w:p>
            <w:r>
              <w:rPr>
                <w:rFonts w:ascii="Times New Roman" w:hAnsi="Times New Roman"/>
                <w:sz w:val="19"/>
              </w:rPr>
              <w:t>O(N_rand)</w:t>
            </w:r>
          </w:p>
        </w:tc>
      </w:tr>
      <w:tr>
        <w:tc>
          <w:tcPr>
            <w:tcW w:type="dxa" w:w="720"/>
            <w:shd w:val="clear" w:color="auto" w:fill="FFFFFF"/>
          </w:tcPr>
          <w:p>
            <w:r>
              <w:rPr>
                <w:rFonts w:ascii="Times New Roman" w:hAnsi="Times New Roman"/>
                <w:sz w:val="19"/>
              </w:rPr>
              <w:t>10</w:t>
            </w:r>
          </w:p>
        </w:tc>
        <w:tc>
          <w:tcPr>
            <w:tcW w:type="dxa" w:w="6624"/>
            <w:shd w:val="clear" w:color="auto" w:fill="FFFFFF"/>
          </w:tcPr>
          <w:p>
            <w:r>
              <w:rPr>
                <w:rFonts w:ascii="Times New Roman" w:hAnsi="Times New Roman"/>
                <w:sz w:val="19"/>
              </w:rPr>
              <w:t xml:space="preserve"> Run ML training: y_t ← f(λ_t) + ε_t  [expensive!]</w:t>
            </w:r>
          </w:p>
        </w:tc>
        <w:tc>
          <w:tcPr>
            <w:tcW w:type="dxa" w:w="2448"/>
            <w:shd w:val="clear" w:color="auto" w:fill="FFFFFF"/>
          </w:tcPr>
          <w:p>
            <w:r>
              <w:rPr>
                <w:rFonts w:ascii="Times New Roman" w:hAnsi="Times New Roman"/>
                <w:sz w:val="19"/>
              </w:rPr>
              <w:t>O(T_eval)</w:t>
            </w:r>
          </w:p>
        </w:tc>
      </w:tr>
      <w:tr>
        <w:tc>
          <w:tcPr>
            <w:tcW w:type="dxa" w:w="720"/>
            <w:shd w:val="clear" w:color="auto" w:fill="EBF3FB"/>
          </w:tcPr>
          <w:p>
            <w:r>
              <w:rPr>
                <w:rFonts w:ascii="Times New Roman" w:hAnsi="Times New Roman"/>
                <w:sz w:val="19"/>
              </w:rPr>
              <w:t>11</w:t>
            </w:r>
          </w:p>
        </w:tc>
        <w:tc>
          <w:tcPr>
            <w:tcW w:type="dxa" w:w="6624"/>
            <w:shd w:val="clear" w:color="auto" w:fill="EBF3FB"/>
          </w:tcPr>
          <w:p>
            <w:r>
              <w:rPr>
                <w:rFonts w:ascii="Times New Roman" w:hAnsi="Times New Roman"/>
                <w:sz w:val="19"/>
              </w:rPr>
              <w:t xml:space="preserve"> Append (λ_t, y_t) to τ_t; update running stats μ_y, σ_y</w:t>
            </w:r>
          </w:p>
        </w:tc>
        <w:tc>
          <w:tcPr>
            <w:tcW w:type="dxa" w:w="2448"/>
            <w:shd w:val="clear" w:color="auto" w:fill="EBF3FB"/>
          </w:tcPr>
          <w:p>
            <w:r>
              <w:rPr>
                <w:rFonts w:ascii="Times New Roman" w:hAnsi="Times New Roman"/>
                <w:sz w:val="19"/>
              </w:rPr>
              <w:t>O(1)</w:t>
            </w:r>
          </w:p>
        </w:tc>
      </w:tr>
      <w:tr>
        <w:tc>
          <w:tcPr>
            <w:tcW w:type="dxa" w:w="720"/>
            <w:shd w:val="clear" w:color="auto" w:fill="FFFFFF"/>
          </w:tcPr>
          <w:p>
            <w:r>
              <w:rPr>
                <w:rFonts w:ascii="Times New Roman" w:hAnsi="Times New Roman"/>
                <w:sz w:val="19"/>
              </w:rPr>
              <w:t>12</w:t>
            </w:r>
          </w:p>
        </w:tc>
        <w:tc>
          <w:tcPr>
            <w:tcW w:type="dxa" w:w="6624"/>
            <w:shd w:val="clear" w:color="auto" w:fill="FFFFFF"/>
          </w:tcPr>
          <w:p>
            <w:r>
              <w:rPr>
                <w:rFonts w:ascii="Times New Roman" w:hAnsi="Times New Roman"/>
                <w:sz w:val="19"/>
              </w:rPr>
              <w:t xml:space="preserve"> Fine-tune LSTM on τ_t for 10 gradient steps (NLL loss)</w:t>
            </w:r>
          </w:p>
        </w:tc>
        <w:tc>
          <w:tcPr>
            <w:tcW w:type="dxa" w:w="2448"/>
            <w:shd w:val="clear" w:color="auto" w:fill="FFFFFF"/>
          </w:tcPr>
          <w:p>
            <w:r>
              <w:rPr>
                <w:rFonts w:ascii="Times New Roman" w:hAnsi="Times New Roman"/>
                <w:sz w:val="19"/>
              </w:rPr>
              <w:t>O(10·t·H²)</w:t>
            </w:r>
          </w:p>
        </w:tc>
      </w:tr>
      <w:tr>
        <w:tc>
          <w:tcPr>
            <w:tcW w:type="dxa" w:w="720"/>
            <w:shd w:val="clear" w:color="auto" w:fill="EBF3FB"/>
          </w:tcPr>
          <w:p>
            <w:r>
              <w:rPr>
                <w:rFonts w:ascii="Times New Roman" w:hAnsi="Times New Roman"/>
                <w:sz w:val="19"/>
              </w:rPr>
              <w:t>13</w:t>
            </w:r>
          </w:p>
        </w:tc>
        <w:tc>
          <w:tcPr>
            <w:tcW w:type="dxa" w:w="6624"/>
            <w:shd w:val="clear" w:color="auto" w:fill="EBF3FB"/>
          </w:tcPr>
          <w:p>
            <w:r>
              <w:rPr>
                <w:rFonts w:ascii="Times New Roman" w:hAnsi="Times New Roman"/>
                <w:sz w:val="19"/>
              </w:rPr>
              <w:t xml:space="preserve"> if t mod K_t == 0 then:</w:t>
            </w:r>
          </w:p>
        </w:tc>
        <w:tc>
          <w:tcPr>
            <w:tcW w:type="dxa" w:w="2448"/>
            <w:shd w:val="clear" w:color="auto" w:fill="EBF3FB"/>
          </w:tcPr>
          <w:p>
            <w:r>
              <w:rPr>
                <w:rFonts w:ascii="Times New Roman" w:hAnsi="Times New Roman"/>
                <w:sz w:val="19"/>
              </w:rPr>
              <w:t>—</w:t>
            </w:r>
          </w:p>
        </w:tc>
      </w:tr>
      <w:tr>
        <w:tc>
          <w:tcPr>
            <w:tcW w:type="dxa" w:w="720"/>
            <w:shd w:val="clear" w:color="auto" w:fill="FFFFFF"/>
          </w:tcPr>
          <w:p>
            <w:r>
              <w:rPr>
                <w:rFonts w:ascii="Times New Roman" w:hAnsi="Times New Roman"/>
                <w:sz w:val="19"/>
              </w:rPr>
              <w:t>14</w:t>
            </w:r>
          </w:p>
        </w:tc>
        <w:tc>
          <w:tcPr>
            <w:tcW w:type="dxa" w:w="6624"/>
            <w:shd w:val="clear" w:color="auto" w:fill="FFFFFF"/>
          </w:tcPr>
          <w:p>
            <w:r>
              <w:rPr>
                <w:rFonts w:ascii="Times New Roman" w:hAnsi="Times New Roman"/>
                <w:sz w:val="19"/>
              </w:rPr>
              <w:t xml:space="preserve">   Present top-3 configs, learning curves to user</w:t>
            </w:r>
          </w:p>
        </w:tc>
        <w:tc>
          <w:tcPr>
            <w:tcW w:type="dxa" w:w="2448"/>
            <w:shd w:val="clear" w:color="auto" w:fill="FFFFFF"/>
          </w:tcPr>
          <w:p>
            <w:r>
              <w:rPr>
                <w:rFonts w:ascii="Times New Roman" w:hAnsi="Times New Roman"/>
                <w:sz w:val="19"/>
              </w:rPr>
              <w:t>O(K_t)</w:t>
            </w:r>
          </w:p>
        </w:tc>
      </w:tr>
      <w:tr>
        <w:tc>
          <w:tcPr>
            <w:tcW w:type="dxa" w:w="720"/>
            <w:shd w:val="clear" w:color="auto" w:fill="EBF3FB"/>
          </w:tcPr>
          <w:p>
            <w:r>
              <w:rPr>
                <w:rFonts w:ascii="Times New Roman" w:hAnsi="Times New Roman"/>
                <w:sz w:val="19"/>
              </w:rPr>
              <w:t>15</w:t>
            </w:r>
          </w:p>
        </w:tc>
        <w:tc>
          <w:tcPr>
            <w:tcW w:type="dxa" w:w="6624"/>
            <w:shd w:val="clear" w:color="auto" w:fill="EBF3FB"/>
          </w:tcPr>
          <w:p>
            <w:r>
              <w:rPr>
                <w:rFonts w:ascii="Times New Roman" w:hAnsi="Times New Roman"/>
                <w:sz w:val="19"/>
              </w:rPr>
              <w:t xml:space="preserve">   Collect pref., constraint, quality, curve feedback</w:t>
            </w:r>
          </w:p>
        </w:tc>
        <w:tc>
          <w:tcPr>
            <w:tcW w:type="dxa" w:w="2448"/>
            <w:shd w:val="clear" w:color="auto" w:fill="EBF3FB"/>
          </w:tcPr>
          <w:p>
            <w:r>
              <w:rPr>
                <w:rFonts w:ascii="Times New Roman" w:hAnsi="Times New Roman"/>
                <w:sz w:val="19"/>
              </w:rPr>
              <w:t>User: ~2 min</w:t>
            </w:r>
          </w:p>
        </w:tc>
      </w:tr>
      <w:tr>
        <w:tc>
          <w:tcPr>
            <w:tcW w:type="dxa" w:w="720"/>
            <w:shd w:val="clear" w:color="auto" w:fill="FFFFFF"/>
          </w:tcPr>
          <w:p>
            <w:r>
              <w:rPr>
                <w:rFonts w:ascii="Times New Roman" w:hAnsi="Times New Roman"/>
                <w:sz w:val="19"/>
              </w:rPr>
              <w:t>16</w:t>
            </w:r>
          </w:p>
        </w:tc>
        <w:tc>
          <w:tcPr>
            <w:tcW w:type="dxa" w:w="6624"/>
            <w:shd w:val="clear" w:color="auto" w:fill="FFFFFF"/>
          </w:tcPr>
          <w:p>
            <w:r>
              <w:rPr>
                <w:rFonts w:ascii="Times New Roman" w:hAnsi="Times New Roman"/>
                <w:sz w:val="19"/>
              </w:rPr>
              <w:t xml:space="preserve">   Update ψ_1 (pref.), ψ_4 (curve encoder) via gradient descent</w:t>
            </w:r>
          </w:p>
        </w:tc>
        <w:tc>
          <w:tcPr>
            <w:tcW w:type="dxa" w:w="2448"/>
            <w:shd w:val="clear" w:color="auto" w:fill="FFFFFF"/>
          </w:tcPr>
          <w:p>
            <w:r>
              <w:rPr>
                <w:rFonts w:ascii="Times New Roman" w:hAnsi="Times New Roman"/>
                <w:sz w:val="19"/>
              </w:rPr>
              <w:t>O(20·|ψ|)</w:t>
            </w:r>
          </w:p>
        </w:tc>
      </w:tr>
      <w:tr>
        <w:tc>
          <w:tcPr>
            <w:tcW w:type="dxa" w:w="720"/>
            <w:shd w:val="clear" w:color="auto" w:fill="EBF3FB"/>
          </w:tcPr>
          <w:p>
            <w:r>
              <w:rPr>
                <w:rFonts w:ascii="Times New Roman" w:hAnsi="Times New Roman"/>
                <w:sz w:val="19"/>
              </w:rPr>
              <w:t>17</w:t>
            </w:r>
          </w:p>
        </w:tc>
        <w:tc>
          <w:tcPr>
            <w:tcW w:type="dxa" w:w="6624"/>
            <w:shd w:val="clear" w:color="auto" w:fill="EBF3FB"/>
          </w:tcPr>
          <w:p>
            <w:r>
              <w:rPr>
                <w:rFonts w:ascii="Times New Roman" w:hAnsi="Times New Roman"/>
                <w:sz w:val="19"/>
              </w:rPr>
              <w:t xml:space="preserve">   Update weights w via L_fusion (correlation maximization)</w:t>
            </w:r>
          </w:p>
        </w:tc>
        <w:tc>
          <w:tcPr>
            <w:tcW w:type="dxa" w:w="2448"/>
            <w:shd w:val="clear" w:color="auto" w:fill="EBF3FB"/>
          </w:tcPr>
          <w:p>
            <w:r>
              <w:rPr>
                <w:rFonts w:ascii="Times New Roman" w:hAnsi="Times New Roman"/>
                <w:sz w:val="19"/>
              </w:rPr>
              <w:t>O(20·|S_cal|)</w:t>
            </w:r>
          </w:p>
        </w:tc>
      </w:tr>
      <w:tr>
        <w:tc>
          <w:tcPr>
            <w:tcW w:type="dxa" w:w="720"/>
            <w:shd w:val="clear" w:color="auto" w:fill="FFFFFF"/>
          </w:tcPr>
          <w:p>
            <w:r>
              <w:rPr>
                <w:rFonts w:ascii="Times New Roman" w:hAnsi="Times New Roman"/>
                <w:sz w:val="19"/>
              </w:rPr>
              <w:t>18</w:t>
            </w:r>
          </w:p>
        </w:tc>
        <w:tc>
          <w:tcPr>
            <w:tcW w:type="dxa" w:w="6624"/>
            <w:shd w:val="clear" w:color="auto" w:fill="FFFFFF"/>
          </w:tcPr>
          <w:p>
            <w:r>
              <w:rPr>
                <w:rFonts w:ascii="Times New Roman" w:hAnsi="Times New Roman"/>
                <w:sz w:val="19"/>
              </w:rPr>
              <w:t xml:space="preserve">   Update γ_t via Q_FB quality estimate (Eq. 4.46)</w:t>
            </w:r>
          </w:p>
        </w:tc>
        <w:tc>
          <w:tcPr>
            <w:tcW w:type="dxa" w:w="2448"/>
            <w:shd w:val="clear" w:color="auto" w:fill="FFFFFF"/>
          </w:tcPr>
          <w:p>
            <w:r>
              <w:rPr>
                <w:rFonts w:ascii="Times New Roman" w:hAnsi="Times New Roman"/>
                <w:sz w:val="19"/>
              </w:rPr>
              <w:t>O(|S_val|)</w:t>
            </w:r>
          </w:p>
        </w:tc>
      </w:tr>
      <w:tr>
        <w:tc>
          <w:tcPr>
            <w:tcW w:type="dxa" w:w="720"/>
            <w:shd w:val="clear" w:color="auto" w:fill="EBF3FB"/>
          </w:tcPr>
          <w:p>
            <w:r>
              <w:rPr>
                <w:rFonts w:ascii="Times New Roman" w:hAnsi="Times New Roman"/>
                <w:sz w:val="19"/>
              </w:rPr>
              <w:t>19</w:t>
            </w:r>
          </w:p>
        </w:tc>
        <w:tc>
          <w:tcPr>
            <w:tcW w:type="dxa" w:w="6624"/>
            <w:shd w:val="clear" w:color="auto" w:fill="EBF3FB"/>
          </w:tcPr>
          <w:p>
            <w:r>
              <w:rPr>
                <w:rFonts w:ascii="Times New Roman" w:hAnsi="Times New Roman"/>
                <w:sz w:val="19"/>
              </w:rPr>
              <w:t xml:space="preserve"> end if</w:t>
            </w:r>
          </w:p>
        </w:tc>
        <w:tc>
          <w:tcPr>
            <w:tcW w:type="dxa" w:w="2448"/>
            <w:shd w:val="clear" w:color="auto" w:fill="EBF3FB"/>
          </w:tcPr>
          <w:p>
            <w:r>
              <w:rPr>
                <w:rFonts w:ascii="Times New Roman" w:hAnsi="Times New Roman"/>
                <w:sz w:val="19"/>
              </w:rPr>
              <w:t>—</w:t>
            </w:r>
          </w:p>
        </w:tc>
      </w:tr>
      <w:tr>
        <w:tc>
          <w:tcPr>
            <w:tcW w:type="dxa" w:w="720"/>
            <w:shd w:val="clear" w:color="auto" w:fill="FFFFFF"/>
          </w:tcPr>
          <w:p>
            <w:r>
              <w:rPr>
                <w:rFonts w:ascii="Times New Roman" w:hAnsi="Times New Roman"/>
                <w:sz w:val="19"/>
              </w:rPr>
              <w:t>20</w:t>
            </w:r>
          </w:p>
        </w:tc>
        <w:tc>
          <w:tcPr>
            <w:tcW w:type="dxa" w:w="6624"/>
            <w:shd w:val="clear" w:color="auto" w:fill="FFFFFF"/>
          </w:tcPr>
          <w:p>
            <w:r>
              <w:rPr>
                <w:rFonts w:ascii="Times New Roman" w:hAnsi="Times New Roman"/>
                <w:sz w:val="19"/>
              </w:rPr>
              <w:t>end for</w:t>
            </w:r>
          </w:p>
        </w:tc>
        <w:tc>
          <w:tcPr>
            <w:tcW w:type="dxa" w:w="2448"/>
            <w:shd w:val="clear" w:color="auto" w:fill="FFFFFF"/>
          </w:tcPr>
          <w:p>
            <w:r>
              <w:rPr>
                <w:rFonts w:ascii="Times New Roman" w:hAnsi="Times New Roman"/>
                <w:sz w:val="19"/>
              </w:rPr>
              <w:t>—</w:t>
            </w:r>
          </w:p>
        </w:tc>
      </w:tr>
      <w:tr>
        <w:tc>
          <w:tcPr>
            <w:tcW w:type="dxa" w:w="720"/>
            <w:shd w:val="clear" w:color="auto" w:fill="EBF3FB"/>
          </w:tcPr>
          <w:p>
            <w:r>
              <w:rPr>
                <w:rFonts w:ascii="Times New Roman" w:hAnsi="Times New Roman"/>
                <w:sz w:val="19"/>
              </w:rPr>
              <w:t>21</w:t>
            </w:r>
          </w:p>
        </w:tc>
        <w:tc>
          <w:tcPr>
            <w:tcW w:type="dxa" w:w="6624"/>
            <w:shd w:val="clear" w:color="auto" w:fill="EBF3FB"/>
          </w:tcPr>
          <w:p>
            <w:r>
              <w:rPr>
                <w:rFonts w:ascii="Times New Roman" w:hAnsi="Times New Roman"/>
                <w:sz w:val="19"/>
              </w:rPr>
              <w:t>Return λ* = argmin_{t} y_t</w:t>
            </w:r>
          </w:p>
        </w:tc>
        <w:tc>
          <w:tcPr>
            <w:tcW w:type="dxa" w:w="2448"/>
            <w:shd w:val="clear" w:color="auto" w:fill="EBF3FB"/>
          </w:tcPr>
          <w:p>
            <w:r>
              <w:rPr>
                <w:rFonts w:ascii="Times New Roman" w:hAnsi="Times New Roman"/>
                <w:sz w:val="19"/>
              </w:rPr>
              <w:t>O(T)</w:t>
            </w:r>
          </w:p>
        </w:tc>
      </w:tr>
    </w:tbl>
    <w:p/>
    <w:p>
      <w:pPr>
        <w:pStyle w:val="Heading2"/>
      </w:pPr>
      <w:r>
        <w:t>4.7 Implementation Details and Complexity</w:t>
      </w:r>
    </w:p>
    <w:p>
      <w:pPr>
        <w:spacing w:before="40" w:after="100" w:line="320" w:lineRule="exact"/>
        <w:jc w:val="both"/>
      </w:pPr>
      <w:r>
        <w:rPr>
          <w:rFonts w:ascii="Times New Roman" w:hAnsi="Times New Roman"/>
          <w:sz w:val="22"/>
        </w:rPr>
        <w:t>The total computational overhead of LUHPO relative to the baseline HPO cost (dominated by ML training evaluations) is minimal. Table 4.3 summarizes the per-iteration cost of each LUHPO component.</w:t>
      </w:r>
    </w:p>
    <w:p>
      <w:pPr>
        <w:spacing w:before="160"/>
        <w:jc w:val="center"/>
      </w:pPr>
      <w:r>
        <w:rPr>
          <w:b/>
          <w:i/>
          <w:sz w:val="20"/>
        </w:rPr>
        <w:t>Table 4.3: LUHPO Computational Overhead per HPO Iteration</w:t>
      </w:r>
    </w:p>
    <w:tbl>
      <w:tblPr>
        <w:tblStyle w:val="TableGrid"/>
        <w:tblW w:type="auto" w:w="0"/>
        <w:tblLook w:firstColumn="1" w:firstRow="1" w:lastColumn="0" w:lastRow="0" w:noHBand="0" w:noVBand="1" w:val="04A0"/>
      </w:tblPr>
      <w:tblGrid>
        <w:gridCol w:w="2340"/>
        <w:gridCol w:w="2340"/>
        <w:gridCol w:w="2340"/>
        <w:gridCol w:w="2340"/>
      </w:tblGrid>
      <w:tr>
        <w:tc>
          <w:tcPr>
            <w:tcW w:type="dxa" w:w="3168"/>
            <w:shd w:val="clear" w:color="auto" w:fill="1F497D"/>
          </w:tcPr>
          <w:p>
            <w:r>
              <w:rPr>
                <w:rFonts w:ascii="Times New Roman" w:hAnsi="Times New Roman"/>
                <w:b/>
                <w:color w:val="FFFFFF"/>
                <w:sz w:val="19"/>
              </w:rPr>
              <w:t>Component</w:t>
            </w:r>
          </w:p>
        </w:tc>
        <w:tc>
          <w:tcPr>
            <w:tcW w:type="dxa" w:w="2880"/>
            <w:shd w:val="clear" w:color="auto" w:fill="1F497D"/>
          </w:tcPr>
          <w:p>
            <w:r>
              <w:rPr>
                <w:rFonts w:ascii="Times New Roman" w:hAnsi="Times New Roman"/>
                <w:b/>
                <w:color w:val="FFFFFF"/>
                <w:sz w:val="19"/>
              </w:rPr>
              <w:t>Per-Iteration Cost</w:t>
            </w:r>
          </w:p>
        </w:tc>
        <w:tc>
          <w:tcPr>
            <w:tcW w:type="dxa" w:w="2160"/>
            <w:shd w:val="clear" w:color="auto" w:fill="1F497D"/>
          </w:tcPr>
          <w:p>
            <w:r>
              <w:rPr>
                <w:rFonts w:ascii="Times New Roman" w:hAnsi="Times New Roman"/>
                <w:b/>
                <w:color w:val="FFFFFF"/>
                <w:sz w:val="19"/>
              </w:rPr>
              <w:t>Hardware</w:t>
            </w:r>
          </w:p>
        </w:tc>
        <w:tc>
          <w:tcPr>
            <w:tcW w:type="dxa" w:w="1584"/>
            <w:shd w:val="clear" w:color="auto" w:fill="1F497D"/>
          </w:tcPr>
          <w:p>
            <w:r>
              <w:rPr>
                <w:rFonts w:ascii="Times New Roman" w:hAnsi="Times New Roman"/>
                <w:b/>
                <w:color w:val="FFFFFF"/>
                <w:sz w:val="19"/>
              </w:rPr>
              <w:t>Relative to Eval Cost</w:t>
            </w:r>
          </w:p>
        </w:tc>
      </w:tr>
      <w:tr>
        <w:tc>
          <w:tcPr>
            <w:tcW w:type="dxa" w:w="3168"/>
            <w:shd w:val="clear" w:color="auto" w:fill="EBF3FB"/>
          </w:tcPr>
          <w:p>
            <w:r>
              <w:rPr>
                <w:rFonts w:ascii="Times New Roman" w:hAnsi="Times New Roman"/>
                <w:sz w:val="19"/>
              </w:rPr>
              <w:t>ML Training Evaluation</w:t>
            </w:r>
          </w:p>
        </w:tc>
        <w:tc>
          <w:tcPr>
            <w:tcW w:type="dxa" w:w="2880"/>
            <w:shd w:val="clear" w:color="auto" w:fill="EBF3FB"/>
          </w:tcPr>
          <w:p>
            <w:r>
              <w:rPr>
                <w:rFonts w:ascii="Times New Roman" w:hAnsi="Times New Roman"/>
                <w:sz w:val="19"/>
              </w:rPr>
              <w:t>Hours (ResNet-50 on ImageNet)</w:t>
            </w:r>
          </w:p>
        </w:tc>
        <w:tc>
          <w:tcPr>
            <w:tcW w:type="dxa" w:w="2160"/>
            <w:shd w:val="clear" w:color="auto" w:fill="EBF3FB"/>
          </w:tcPr>
          <w:p>
            <w:r>
              <w:rPr>
                <w:rFonts w:ascii="Times New Roman" w:hAnsi="Times New Roman"/>
                <w:sz w:val="19"/>
              </w:rPr>
              <w:t>8× A100 GPU</w:t>
            </w:r>
          </w:p>
        </w:tc>
        <w:tc>
          <w:tcPr>
            <w:tcW w:type="dxa" w:w="1584"/>
            <w:shd w:val="clear" w:color="auto" w:fill="EBF3FB"/>
          </w:tcPr>
          <w:p>
            <w:r>
              <w:rPr>
                <w:rFonts w:ascii="Times New Roman" w:hAnsi="Times New Roman"/>
                <w:sz w:val="19"/>
              </w:rPr>
              <w:t>100% (baseline)</w:t>
            </w:r>
          </w:p>
        </w:tc>
      </w:tr>
      <w:tr>
        <w:tc>
          <w:tcPr>
            <w:tcW w:type="dxa" w:w="3168"/>
            <w:shd w:val="clear" w:color="auto" w:fill="FFFFFF"/>
          </w:tcPr>
          <w:p>
            <w:r>
              <w:rPr>
                <w:rFonts w:ascii="Times New Roman" w:hAnsi="Times New Roman"/>
                <w:sz w:val="19"/>
              </w:rPr>
              <w:t>LSTM Surrogate Update (10 steps)</w:t>
            </w:r>
          </w:p>
        </w:tc>
        <w:tc>
          <w:tcPr>
            <w:tcW w:type="dxa" w:w="2880"/>
            <w:shd w:val="clear" w:color="auto" w:fill="FFFFFF"/>
          </w:tcPr>
          <w:p>
            <w:r>
              <w:rPr>
                <w:rFonts w:ascii="Times New Roman" w:hAnsi="Times New Roman"/>
                <w:sz w:val="19"/>
              </w:rPr>
              <w:t>~0.5–2 seconds</w:t>
            </w:r>
          </w:p>
        </w:tc>
        <w:tc>
          <w:tcPr>
            <w:tcW w:type="dxa" w:w="2160"/>
            <w:shd w:val="clear" w:color="auto" w:fill="FFFFFF"/>
          </w:tcPr>
          <w:p>
            <w:r>
              <w:rPr>
                <w:rFonts w:ascii="Times New Roman" w:hAnsi="Times New Roman"/>
                <w:sz w:val="19"/>
              </w:rPr>
              <w:t>CPU or single GPU</w:t>
            </w:r>
          </w:p>
        </w:tc>
        <w:tc>
          <w:tcPr>
            <w:tcW w:type="dxa" w:w="1584"/>
            <w:shd w:val="clear" w:color="auto" w:fill="FFFFFF"/>
          </w:tcPr>
          <w:p>
            <w:r>
              <w:rPr>
                <w:rFonts w:ascii="Times New Roman" w:hAnsi="Times New Roman"/>
                <w:sz w:val="19"/>
              </w:rPr>
              <w:t>&lt;0.01%</w:t>
            </w:r>
          </w:p>
        </w:tc>
      </w:tr>
      <w:tr>
        <w:tc>
          <w:tcPr>
            <w:tcW w:type="dxa" w:w="3168"/>
            <w:shd w:val="clear" w:color="auto" w:fill="EBF3FB"/>
          </w:tcPr>
          <w:p>
            <w:r>
              <w:rPr>
                <w:rFonts w:ascii="Times New Roman" w:hAnsi="Times New Roman"/>
                <w:sz w:val="19"/>
              </w:rPr>
              <w:t>Acquisition Function Optimization</w:t>
            </w:r>
          </w:p>
        </w:tc>
        <w:tc>
          <w:tcPr>
            <w:tcW w:type="dxa" w:w="2880"/>
            <w:shd w:val="clear" w:color="auto" w:fill="EBF3FB"/>
          </w:tcPr>
          <w:p>
            <w:r>
              <w:rPr>
                <w:rFonts w:ascii="Times New Roman" w:hAnsi="Times New Roman"/>
                <w:sz w:val="19"/>
              </w:rPr>
              <w:t>~5–30 seconds</w:t>
            </w:r>
          </w:p>
        </w:tc>
        <w:tc>
          <w:tcPr>
            <w:tcW w:type="dxa" w:w="2160"/>
            <w:shd w:val="clear" w:color="auto" w:fill="EBF3FB"/>
          </w:tcPr>
          <w:p>
            <w:r>
              <w:rPr>
                <w:rFonts w:ascii="Times New Roman" w:hAnsi="Times New Roman"/>
                <w:sz w:val="19"/>
              </w:rPr>
              <w:t>CPU or single GPU</w:t>
            </w:r>
          </w:p>
        </w:tc>
        <w:tc>
          <w:tcPr>
            <w:tcW w:type="dxa" w:w="1584"/>
            <w:shd w:val="clear" w:color="auto" w:fill="EBF3FB"/>
          </w:tcPr>
          <w:p>
            <w:r>
              <w:rPr>
                <w:rFonts w:ascii="Times New Roman" w:hAnsi="Times New Roman"/>
                <w:sz w:val="19"/>
              </w:rPr>
              <w:t>~0.1%</w:t>
            </w:r>
          </w:p>
        </w:tc>
      </w:tr>
      <w:tr>
        <w:tc>
          <w:tcPr>
            <w:tcW w:type="dxa" w:w="3168"/>
            <w:shd w:val="clear" w:color="auto" w:fill="FFFFFF"/>
          </w:tcPr>
          <w:p>
            <w:r>
              <w:rPr>
                <w:rFonts w:ascii="Times New Roman" w:hAnsi="Times New Roman"/>
                <w:sz w:val="19"/>
              </w:rPr>
              <w:t>User Feedback Elicitation</w:t>
            </w:r>
          </w:p>
        </w:tc>
        <w:tc>
          <w:tcPr>
            <w:tcW w:type="dxa" w:w="2880"/>
            <w:shd w:val="clear" w:color="auto" w:fill="FFFFFF"/>
          </w:tcPr>
          <w:p>
            <w:r>
              <w:rPr>
                <w:rFonts w:ascii="Times New Roman" w:hAnsi="Times New Roman"/>
                <w:sz w:val="19"/>
              </w:rPr>
              <w:t>~1–3 minutes</w:t>
            </w:r>
          </w:p>
        </w:tc>
        <w:tc>
          <w:tcPr>
            <w:tcW w:type="dxa" w:w="2160"/>
            <w:shd w:val="clear" w:color="auto" w:fill="FFFFFF"/>
          </w:tcPr>
          <w:p>
            <w:r>
              <w:rPr>
                <w:rFonts w:ascii="Times New Roman" w:hAnsi="Times New Roman"/>
                <w:sz w:val="19"/>
              </w:rPr>
              <w:t>Human + UI</w:t>
            </w:r>
          </w:p>
        </w:tc>
        <w:tc>
          <w:tcPr>
            <w:tcW w:type="dxa" w:w="1584"/>
            <w:shd w:val="clear" w:color="auto" w:fill="FFFFFF"/>
          </w:tcPr>
          <w:p>
            <w:r>
              <w:rPr>
                <w:rFonts w:ascii="Times New Roman" w:hAnsi="Times New Roman"/>
                <w:sz w:val="19"/>
              </w:rPr>
              <w:t>~1–3% of total</w:t>
            </w:r>
          </w:p>
        </w:tc>
      </w:tr>
      <w:tr>
        <w:tc>
          <w:tcPr>
            <w:tcW w:type="dxa" w:w="3168"/>
            <w:shd w:val="clear" w:color="auto" w:fill="EBF3FB"/>
          </w:tcPr>
          <w:p>
            <w:r>
              <w:rPr>
                <w:rFonts w:ascii="Times New Roman" w:hAnsi="Times New Roman"/>
                <w:sz w:val="19"/>
              </w:rPr>
              <w:t>Reward Model Update (20 steps)</w:t>
            </w:r>
          </w:p>
        </w:tc>
        <w:tc>
          <w:tcPr>
            <w:tcW w:type="dxa" w:w="2880"/>
            <w:shd w:val="clear" w:color="auto" w:fill="EBF3FB"/>
          </w:tcPr>
          <w:p>
            <w:r>
              <w:rPr>
                <w:rFonts w:ascii="Times New Roman" w:hAnsi="Times New Roman"/>
                <w:sz w:val="19"/>
              </w:rPr>
              <w:t>~0.1–0.5 seconds</w:t>
            </w:r>
          </w:p>
        </w:tc>
        <w:tc>
          <w:tcPr>
            <w:tcW w:type="dxa" w:w="2160"/>
            <w:shd w:val="clear" w:color="auto" w:fill="EBF3FB"/>
          </w:tcPr>
          <w:p>
            <w:r>
              <w:rPr>
                <w:rFonts w:ascii="Times New Roman" w:hAnsi="Times New Roman"/>
                <w:sz w:val="19"/>
              </w:rPr>
              <w:t>CPU or single GPU</w:t>
            </w:r>
          </w:p>
        </w:tc>
        <w:tc>
          <w:tcPr>
            <w:tcW w:type="dxa" w:w="1584"/>
            <w:shd w:val="clear" w:color="auto" w:fill="EBF3FB"/>
          </w:tcPr>
          <w:p>
            <w:r>
              <w:rPr>
                <w:rFonts w:ascii="Times New Roman" w:hAnsi="Times New Roman"/>
                <w:sz w:val="19"/>
              </w:rPr>
              <w:t>&lt;0.005%</w:t>
            </w:r>
          </w:p>
        </w:tc>
      </w:tr>
      <w:tr>
        <w:tc>
          <w:tcPr>
            <w:tcW w:type="dxa" w:w="3168"/>
            <w:shd w:val="clear" w:color="auto" w:fill="FFFFFF"/>
          </w:tcPr>
          <w:p>
            <w:r>
              <w:rPr>
                <w:rFonts w:ascii="Times New Roman" w:hAnsi="Times New Roman"/>
                <w:sz w:val="19"/>
              </w:rPr>
              <w:t>Total LUHPO Overhead</w:t>
            </w:r>
          </w:p>
        </w:tc>
        <w:tc>
          <w:tcPr>
            <w:tcW w:type="dxa" w:w="2880"/>
            <w:shd w:val="clear" w:color="auto" w:fill="FFFFFF"/>
          </w:tcPr>
          <w:p>
            <w:r>
              <w:rPr>
                <w:rFonts w:ascii="Times New Roman" w:hAnsi="Times New Roman"/>
                <w:sz w:val="19"/>
              </w:rPr>
              <w:t>~2–5 minutes per iteration</w:t>
            </w:r>
          </w:p>
        </w:tc>
        <w:tc>
          <w:tcPr>
            <w:tcW w:type="dxa" w:w="2160"/>
            <w:shd w:val="clear" w:color="auto" w:fill="FFFFFF"/>
          </w:tcPr>
          <w:p>
            <w:r>
              <w:rPr>
                <w:rFonts w:ascii="Times New Roman" w:hAnsi="Times New Roman"/>
                <w:sz w:val="19"/>
              </w:rPr>
              <w:t>CPU/human</w:t>
            </w:r>
          </w:p>
        </w:tc>
        <w:tc>
          <w:tcPr>
            <w:tcW w:type="dxa" w:w="1584"/>
            <w:shd w:val="clear" w:color="auto" w:fill="FFFFFF"/>
          </w:tcPr>
          <w:p>
            <w:r>
              <w:rPr>
                <w:rFonts w:ascii="Times New Roman" w:hAnsi="Times New Roman"/>
                <w:sz w:val="19"/>
              </w:rPr>
              <w:t>&lt;5% of total</w:t>
            </w:r>
          </w:p>
        </w:tc>
      </w:tr>
    </w:tbl>
    <w:p/>
    <w:p>
      <w:pPr>
        <w:spacing w:before="40" w:after="100" w:line="320" w:lineRule="exact"/>
        <w:jc w:val="both"/>
      </w:pPr>
      <w:r>
        <w:rPr>
          <w:rFonts w:ascii="Times New Roman" w:hAnsi="Times New Roman"/>
          <w:sz w:val="22"/>
        </w:rPr>
        <w:t>The LSTM surrogate has O(L · H² · (d + 1)) parameters, which evaluates to approximately 200K parameters for our default configuration (L=2, H=128, d=50). This is several orders of magnitude smaller than the ML models being tuned, so surrogate training and inference are negligible in the overall compute budget.</w:t>
      </w:r>
    </w:p>
    <w:p>
      <w:pPr>
        <w:spacing w:before="40" w:after="100" w:line="320" w:lineRule="exact"/>
        <w:jc w:val="both"/>
      </w:pPr>
      <w:r>
        <w:rPr>
          <w:rFonts w:ascii="Times New Roman" w:hAnsi="Times New Roman"/>
          <w:sz w:val="22"/>
        </w:rPr>
        <w:t>Memory complexity: The LSTM surrogate requires O(t · H) memory for the trajectory hidden states, growing linearly with the number of evaluations t. For typical HPO budgets (t ≤ 200), this is less than 5MB—negligible compared to the ML model being tuned. The full LUHPO codebase is implemented in PyTorch and is compatible with the HuggingFace Transformers, Optuna, and Ray Tune libraries.</w:t>
      </w:r>
    </w:p>
    <w:p>
      <w:r>
        <w:br w:type="page"/>
      </w:r>
    </w:p>
    <w:p>
      <w:pPr>
        <w:pBdr>
          <w:bottom w:val="single" w:sz="6" w:space="1" w:color="2E74B5"/>
        </w:pBdr>
        <w:spacing w:before="40" w:after="40"/>
      </w:pPr>
    </w:p>
    <w:p>
      <w:pPr>
        <w:spacing w:before="40" w:after="100" w:line="320" w:lineRule="exact"/>
        <w:jc w:val="center"/>
      </w:pPr>
      <w:r>
        <w:rPr>
          <w:rFonts w:ascii="Times New Roman" w:hAnsi="Times New Roman"/>
          <w:b w:val="0"/>
          <w:i/>
          <w:color w:val="646464"/>
          <w:sz w:val="20"/>
        </w:rPr>
        <w:t>End of Sections 1–4   ·   Draft v1.0   ·   Sections 5–7 (Experiments, Discussion, Conclusion) to follow</w:t>
      </w:r>
    </w:p>
    <w:p>
      <w:pPr>
        <w:pBdr>
          <w:bottom w:val="single" w:sz="6" w:space="1" w:color="2E74B5"/>
        </w:pBdr>
        <w:spacing w:before="40" w:after="40"/>
      </w:pPr>
    </w:p>
    <w:sectPr w:rsidR="00FC693F" w:rsidRPr="0006063C" w:rsidSect="00034616">
      <w:pgSz w:w="12240" w:h="15840"/>
      <w:pgMar w:top="1512" w:right="1440" w:bottom="151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100"/>
    </w:pPr>
    <w:rPr>
      <w:rFonts w:ascii="Times New Roman" w:hAnsi="Times New Roman"/>
      <w:b w:val="0"/>
      <w:i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Times New Roman" w:hAnsi="Times New Roman"/>
      <w:b/>
      <w:bCs/>
      <w:color w:val="1F497D"/>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i/>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