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pBdr>
          <w:bottom w:val="single" w:color="1A4731" w:sz="20" w:space="2"/>
        </w:pBdr>
        <w:spacing w:after="80" w:before="0"/>
        <w:jc w:val="center"/>
      </w:pPr>
      <w:r>
        <w:rPr>
          <w:rFonts w:ascii="Calibri" w:cs="Calibri" w:eastAsia="Calibri" w:hAnsi="Calibri"/>
          <w:b/>
          <w:bCs/>
          <w:color w:val="2E8B57"/>
          <w:sz w:val="20"/>
          <w:szCs w:val="20"/>
        </w:rPr>
        <w:t xml:space="preserve">RESEARCH &amp; IMPLEMENTATION DRAFT</w:t>
      </w:r>
    </w:p>
    <w:p>
      <w:pPr>
        <w:spacing w:after="30" w:before="30"/>
      </w:pPr>
      <w:r>
        <w:t xml:space="preserve"/>
      </w:r>
    </w:p>
    <w:p>
      <w:pPr>
        <w:spacing w:after="30" w:before="60"/>
        <w:jc w:val="center"/>
      </w:pPr>
      <w:r>
        <w:rPr>
          <w:rFonts w:ascii="Calibri" w:cs="Calibri" w:eastAsia="Calibri" w:hAnsi="Calibri"/>
          <w:b/>
          <w:bCs/>
          <w:color w:val="1A4731"/>
          <w:sz w:val="60"/>
          <w:szCs w:val="60"/>
        </w:rPr>
        <w:t xml:space="preserve">Children Growth Prediction</w:t>
      </w:r>
    </w:p>
    <w:p>
      <w:pPr>
        <w:spacing w:after="30" w:before="0"/>
        <w:jc w:val="center"/>
      </w:pPr>
      <w:r>
        <w:rPr>
          <w:rFonts w:ascii="Calibri" w:cs="Calibri" w:eastAsia="Calibri" w:hAnsi="Calibri"/>
          <w:b/>
          <w:bCs/>
          <w:color w:val="1D6A40"/>
          <w:sz w:val="32"/>
          <w:szCs w:val="32"/>
        </w:rPr>
        <w:t xml:space="preserve">Using a Wizard-Mode &amp; Auto-Code-Generation ML Platform</w:t>
      </w:r>
    </w:p>
    <w:p>
      <w:pPr>
        <w:spacing w:after="260" w:before="0"/>
        <w:jc w:val="center"/>
      </w:pPr>
      <w:r>
        <w:rPr>
          <w:rFonts w:ascii="Calibri" w:cs="Calibri" w:eastAsia="Calibri" w:hAnsi="Calibri"/>
          <w:i/>
          <w:iCs/>
          <w:color w:val="555555"/>
          <w:sz w:val="22"/>
          <w:szCs w:val="22"/>
        </w:rPr>
        <w:t xml:space="preserve">Clinical Machine Learning  ·  Longitudinal Modelling  ·  WHO/CDC Standards  ·  Platform Integration</w:t>
      </w:r>
    </w:p>
    <w:p>
      <w:pPr>
        <w:pBdr>
          <w:top w:val="single" w:color="1D6A40" w:sz="6" w:space="4"/>
          <w:bottom w:val="single" w:color="1D6A40" w:sz="6" w:space="4"/>
        </w:pBdr>
        <w:spacing w:after="60" w:before="60"/>
        <w:jc w:val="center"/>
      </w:pPr>
      <w:r>
        <w:rPr>
          <w:rFonts w:ascii="Calibri" w:cs="Calibri" w:eastAsia="Calibri" w:hAnsi="Calibri"/>
          <w:color w:val="444444"/>
          <w:sz w:val="20"/>
          <w:szCs w:val="20"/>
        </w:rPr>
        <w:t xml:space="preserve">Healthcare AI Division  |  Version 1.0  |  May 2026</w:t>
      </w:r>
    </w:p>
    <w:p>
      <w:pPr>
        <w:spacing w:after="30" w:before="30"/>
      </w:pPr>
      <w:r>
        <w:t xml:space="preserve"/>
      </w:r>
    </w:p>
    <w:p>
      <w:pPr>
        <w:spacing w:after="30" w:before="30"/>
      </w:pPr>
      <w:r>
        <w:t xml:space="preserve"/>
      </w:r>
    </w:p>
    <w:p>
      <w:pPr>
        <w:spacing w:after="40" w:before="60"/>
        <w:jc w:val="center"/>
      </w:pPr>
      <w:r>
        <w:rPr>
          <w:rFonts w:ascii="Calibri" w:cs="Calibri" w:eastAsia="Calibri" w:hAnsi="Calibri"/>
          <w:b/>
          <w:bCs/>
          <w:color w:val="8B0000"/>
          <w:sz w:val="20"/>
          <w:szCs w:val="20"/>
        </w:rPr>
        <w:t xml:space="preserve">IMPORTANT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14"/>
              <w:bottom w:val="single" w:color="CCCCCC" w:sz="2"/>
              <w:right w:val="single" w:color="CCCCCC" w:sz="2"/>
            </w:tcBorders>
            <w:shd w:fill="FDECEA" w:val="clear"/>
            <w:tcMar>
              <w:top w:type="dxa" w:w="120"/>
              <w:left w:type="dxa" w:w="220"/>
              <w:bottom w:type="dxa" w:w="120"/>
              <w:right w:type="dxa" w:w="220"/>
            </w:tcMar>
          </w:tcPr>
          <w:p>
            <w:pPr>
              <w:spacing w:after="22" w:before="22" w:line="260"/>
            </w:pPr>
            <w:r>
              <w:rPr>
                <w:rFonts w:ascii="Calibri" w:cs="Calibri" w:eastAsia="Calibri" w:hAnsi="Calibri"/>
                <w:color w:val="1A1A1A"/>
                <w:sz w:val="19"/>
                <w:szCs w:val="19"/>
              </w:rPr>
              <w:t xml:space="preserve">This document describes a machine learning research and development draft for a pediatric growth</w:t>
            </w:r>
          </w:p>
          <w:p>
            <w:pPr>
              <w:spacing w:after="22" w:before="22" w:line="260"/>
            </w:pPr>
            <w:r>
              <w:rPr>
                <w:rFonts w:ascii="Calibri" w:cs="Calibri" w:eastAsia="Calibri" w:hAnsi="Calibri"/>
                <w:color w:val="1A1A1A"/>
                <w:sz w:val="19"/>
                <w:szCs w:val="19"/>
              </w:rPr>
              <w:t xml:space="preserve">prediction system. Clinical deployment of any model described herein requires regulatory approval,</w:t>
            </w:r>
          </w:p>
          <w:p>
            <w:pPr>
              <w:spacing w:after="22" w:before="22" w:line="260"/>
            </w:pPr>
            <w:r>
              <w:rPr>
                <w:rFonts w:ascii="Calibri" w:cs="Calibri" w:eastAsia="Calibri" w:hAnsi="Calibri"/>
                <w:color w:val="1A1A1A"/>
                <w:sz w:val="19"/>
                <w:szCs w:val="19"/>
              </w:rPr>
              <w:t xml:space="preserve">prospective validation, and oversight by qualified pediatric healthcare professionals.</w:t>
            </w:r>
          </w:p>
          <w:p>
            <w:pPr>
              <w:spacing w:after="22" w:before="22" w:line="260"/>
            </w:pPr>
            <w:r>
              <w:rPr>
                <w:rFonts w:ascii="Calibri" w:cs="Calibri" w:eastAsia="Calibri" w:hAnsi="Calibri"/>
                <w:color w:val="1A1A1A"/>
                <w:sz w:val="19"/>
                <w:szCs w:val="19"/>
              </w:rPr>
              <w:t xml:space="preserve">This system is intended as a clinical decision SUPPORT tool — not a replacement for clinical judgment.</w:t>
            </w:r>
          </w:p>
        </w:tc>
      </w:tr>
    </w:tbl>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r>
        <w:br w:type="page"/>
      </w:r>
    </w:p>
    <w:p>
      <w:pPr>
        <w:pStyle w:val="Heading1"/>
      </w:pPr>
      <w:r>
        <w:rPr>
          <w:rFonts w:ascii="Calibri" w:cs="Calibri" w:eastAsia="Calibri" w:hAnsi="Calibri"/>
          <w:b/>
          <w:bCs/>
        </w:rPr>
        <w:t xml:space="preserve">Executive Summary</w:t>
      </w:r>
    </w:p>
    <w:p>
      <w:pPr>
        <w:spacing w:after="80" w:before="80" w:line="308"/>
        <w:jc w:val="both"/>
      </w:pPr>
      <w:r>
        <w:rPr>
          <w:rFonts w:ascii="Calibri" w:cs="Calibri" w:eastAsia="Calibri" w:hAnsi="Calibri"/>
          <w:sz w:val="22"/>
          <w:szCs w:val="22"/>
        </w:rPr>
        <w:t xml:space="preserve">Monitoring children's growth is one of the most fundamental and globally practiced activities in preventive healthcare. Height, weight, head circumference, and body mass index (BMI) measured against age and sex provide powerful early indicators of nutritional status, systemic disease, endocrine disorders, developmental delays, and long-term health trajectories. Yet the analysis of growth data — comparing measurements to reference standards, computing z-scores and percentiles, detecting growth faltering, and forecasting future growth — remains largely manual, time-intensive, and inconsistently applied across healthcare settings worldwide.</w:t>
      </w:r>
    </w:p>
    <w:p>
      <w:pPr>
        <w:spacing w:after="80" w:before="80" w:line="308"/>
        <w:jc w:val="both"/>
      </w:pPr>
      <w:r>
        <w:rPr>
          <w:rFonts w:ascii="Calibri" w:cs="Calibri" w:eastAsia="Calibri" w:hAnsi="Calibri"/>
          <w:sz w:val="22"/>
          <w:szCs w:val="22"/>
        </w:rPr>
        <w:t xml:space="preserve">This draft proposes the design and implementation of a Children Growth Prediction system built on our wizard-mode, auto-code-generation ML platform. The system leverages longitudinal growth data — sequential measurements of height, weight, and related anthropometric variables collected over time — together with contextual factors (gestational age, nutritional status, parental anthropometrics, socioeconomic indicators, and clinical history) to: (1) accurately estimate growth z-scores and percentiles at each measurement occasion; (2) predict short-term growth trajectories (3-month, 6-month, and 12-month horizons); (3) detect growth faltering, stunting, wasting, and overweight risk with early warning capability; and (4) generate growth monitoring reports with explanations accessible to both clinicians and caregivers.</w:t>
      </w:r>
    </w:p>
    <w:p>
      <w:pPr>
        <w:spacing w:after="80" w:before="80" w:line="308"/>
        <w:jc w:val="both"/>
      </w:pPr>
      <w:r>
        <w:rPr>
          <w:rFonts w:ascii="Calibri" w:cs="Calibri" w:eastAsia="Calibri" w:hAnsi="Calibri"/>
          <w:sz w:val="22"/>
          <w:szCs w:val="22"/>
        </w:rPr>
        <w:t xml:space="preserve">The system integrates WHO Multicentre Growth Reference Study (MGRS) standards and CDC 2000 growth charts as normative reference databases and employs a model ensemble spanning linear mixed-effects models, gradient boosted trees, and LSTM-based deep learning models, each appropriate for different prediction horizons and data richness scenarios. The wizard-mode interface guides clinical users (pediatricians, nurses, nutritionists) through data entry and prediction configuration without requiring ML expertise. The auto-code-generation module produces fully documented Python pipelines for research use, reproducibility, and integration with hospital information systems.</w:t>
      </w:r>
    </w:p>
    <w:p>
      <w:pPr>
        <w:spacing w:after="80" w:before="80" w:line="308"/>
        <w:jc w:val="both"/>
      </w:pPr>
      <w:r>
        <w:rPr>
          <w:rFonts w:ascii="Calibri" w:cs="Calibri" w:eastAsia="Calibri" w:hAnsi="Calibri"/>
          <w:sz w:val="22"/>
          <w:szCs w:val="22"/>
        </w:rPr>
        <w:t xml:space="preserve">Key clinical targets include: early identification of stunting (Height-for-Age Z-score &lt; −2), wasting (Weight-for-Height Z-score &lt; −2), underweight (Weight-for-Age Z-score &lt; −2), and overweight (BMI-for-Age Z-score &gt; +2), alongside prediction of adult height from childhood measurements and detection of abnormal growth velocity patterns suggestive of growth hormone deficiency, hypothyroidism, or constitutional delay.</w:t>
      </w:r>
    </w:p>
    <w:p>
      <w:r>
        <w:br w:type="page"/>
      </w:r>
    </w:p>
    <w:p>
      <w:pPr>
        <w:pStyle w:val="Heading1"/>
      </w:pPr>
      <w:r>
        <w:rPr>
          <w:rFonts w:ascii="Calibri" w:cs="Calibri" w:eastAsia="Calibri" w:hAnsi="Calibri"/>
          <w:b/>
          <w:bCs/>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Calibri" w:cs="Calibri" w:eastAsia="Calibri" w:hAnsi="Calibri"/>
                <w:sz w:val="20"/>
                <w:szCs w:val="20"/>
              </w:rPr>
              <w:t xml:space="preserve">Executive Summary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w:t>
            </w:r>
          </w:p>
        </w:tc>
      </w:tr>
      <w:tr>
        <w:tc>
          <w:tcPr>
            <w:tcW w:type="dxa" w:w="7800"/>
            <w:tcBorders>
              <w:top w:val="none"/>
              <w:left w:val="none"/>
              <w:bottom w:val="none"/>
              <w:right w:val="none"/>
            </w:tcBorders>
          </w:tcPr>
          <w:p>
            <w:r>
              <w:rPr>
                <w:rFonts w:ascii="Calibri" w:cs="Calibri" w:eastAsia="Calibri" w:hAnsi="Calibri"/>
                <w:sz w:val="20"/>
                <w:szCs w:val="20"/>
              </w:rPr>
              <w:t xml:space="preserve">1. Medical Background and Clinical Context</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1.1 Growth as a Clinical Biomarker</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1.2 WHO Growth Standards and CDC Growth Charts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1.3 Z-Scores, Percentiles, and Growth Velocity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   1.4 Clinical Growth Disorders and Warning Signs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5</w:t>
            </w:r>
          </w:p>
        </w:tc>
      </w:tr>
      <w:tr>
        <w:tc>
          <w:tcPr>
            <w:tcW w:type="dxa" w:w="7800"/>
            <w:tcBorders>
              <w:top w:val="none"/>
              <w:left w:val="none"/>
              <w:bottom w:val="none"/>
              <w:right w:val="none"/>
            </w:tcBorders>
          </w:tcPr>
          <w:p>
            <w:r>
              <w:rPr>
                <w:rFonts w:ascii="Calibri" w:cs="Calibri" w:eastAsia="Calibri" w:hAnsi="Calibri"/>
                <w:sz w:val="20"/>
                <w:szCs w:val="20"/>
              </w:rPr>
              <w:t xml:space="preserve">2. Problem Formulation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   2.1 Mathematical Definition of Prediction Targets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   2.2 Longitudinal Data Structure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7</w:t>
            </w:r>
          </w:p>
        </w:tc>
      </w:tr>
      <w:tr>
        <w:tc>
          <w:tcPr>
            <w:tcW w:type="dxa" w:w="7800"/>
            <w:tcBorders>
              <w:top w:val="none"/>
              <w:left w:val="none"/>
              <w:bottom w:val="none"/>
              <w:right w:val="none"/>
            </w:tcBorders>
          </w:tcPr>
          <w:p>
            <w:r>
              <w:rPr>
                <w:rFonts w:ascii="Calibri" w:cs="Calibri" w:eastAsia="Calibri" w:hAnsi="Calibri"/>
                <w:sz w:val="20"/>
                <w:szCs w:val="20"/>
              </w:rPr>
              <w:t xml:space="preserve">   2.3 Short-Term vs. Long-Term Prediction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7</w:t>
            </w:r>
          </w:p>
        </w:tc>
      </w:tr>
      <w:tr>
        <w:tc>
          <w:tcPr>
            <w:tcW w:type="dxa" w:w="7800"/>
            <w:tcBorders>
              <w:top w:val="none"/>
              <w:left w:val="none"/>
              <w:bottom w:val="none"/>
              <w:right w:val="none"/>
            </w:tcBorders>
          </w:tcPr>
          <w:p>
            <w:r>
              <w:rPr>
                <w:rFonts w:ascii="Calibri" w:cs="Calibri" w:eastAsia="Calibri" w:hAnsi="Calibri"/>
                <w:sz w:val="20"/>
                <w:szCs w:val="20"/>
              </w:rPr>
              <w:t xml:space="preserve">3. Data Sources and Collection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8</w:t>
            </w:r>
          </w:p>
        </w:tc>
      </w:tr>
      <w:tr>
        <w:tc>
          <w:tcPr>
            <w:tcW w:type="dxa" w:w="7800"/>
            <w:tcBorders>
              <w:top w:val="none"/>
              <w:left w:val="none"/>
              <w:bottom w:val="none"/>
              <w:right w:val="none"/>
            </w:tcBorders>
          </w:tcPr>
          <w:p>
            <w:r>
              <w:rPr>
                <w:rFonts w:ascii="Calibri" w:cs="Calibri" w:eastAsia="Calibri" w:hAnsi="Calibri"/>
                <w:sz w:val="20"/>
                <w:szCs w:val="20"/>
              </w:rPr>
              <w:t xml:space="preserve">   3.1 Primary Data Sources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8</w:t>
            </w:r>
          </w:p>
        </w:tc>
      </w:tr>
      <w:tr>
        <w:tc>
          <w:tcPr>
            <w:tcW w:type="dxa" w:w="7800"/>
            <w:tcBorders>
              <w:top w:val="none"/>
              <w:left w:val="none"/>
              <w:bottom w:val="none"/>
              <w:right w:val="none"/>
            </w:tcBorders>
          </w:tcPr>
          <w:p>
            <w:r>
              <w:rPr>
                <w:rFonts w:ascii="Calibri" w:cs="Calibri" w:eastAsia="Calibri" w:hAnsi="Calibri"/>
                <w:sz w:val="20"/>
                <w:szCs w:val="20"/>
              </w:rPr>
              <w:t xml:space="preserve">   3.2 Data Schema and Variable Dictionary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   3.3 Data Quality and Preprocessing Challenges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10</w:t>
            </w:r>
          </w:p>
        </w:tc>
      </w:tr>
      <w:tr>
        <w:tc>
          <w:tcPr>
            <w:tcW w:type="dxa" w:w="7800"/>
            <w:tcBorders>
              <w:top w:val="none"/>
              <w:left w:val="none"/>
              <w:bottom w:val="none"/>
              <w:right w:val="none"/>
            </w:tcBorders>
          </w:tcPr>
          <w:p>
            <w:r>
              <w:rPr>
                <w:rFonts w:ascii="Calibri" w:cs="Calibri" w:eastAsia="Calibri" w:hAnsi="Calibri"/>
                <w:sz w:val="20"/>
                <w:szCs w:val="20"/>
              </w:rPr>
              <w:t xml:space="preserve">4. Feature Engineering</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   4.1 Anthropometric Features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   4.2 Longitudinal / Temporal Features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   4.3 Clinical and Contextual Features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   4.4 Reference Standard Features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5. Machine Learning Models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   5.1 Linear Mixed-Effects Model (LME)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   5.2 Bayesian Hierarchical Growth Model</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15</w:t>
            </w:r>
          </w:p>
        </w:tc>
      </w:tr>
      <w:tr>
        <w:tc>
          <w:tcPr>
            <w:tcW w:type="dxa" w:w="7800"/>
            <w:tcBorders>
              <w:top w:val="none"/>
              <w:left w:val="none"/>
              <w:bottom w:val="none"/>
              <w:right w:val="none"/>
            </w:tcBorders>
          </w:tcPr>
          <w:p>
            <w:r>
              <w:rPr>
                <w:rFonts w:ascii="Calibri" w:cs="Calibri" w:eastAsia="Calibri" w:hAnsi="Calibri"/>
                <w:sz w:val="20"/>
                <w:szCs w:val="20"/>
              </w:rPr>
              <w:t xml:space="preserve">   5.3 Gradient Boosted Trees (XGBoost/LightGBM)</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16</w:t>
            </w:r>
          </w:p>
        </w:tc>
      </w:tr>
      <w:tr>
        <w:tc>
          <w:tcPr>
            <w:tcW w:type="dxa" w:w="7800"/>
            <w:tcBorders>
              <w:top w:val="none"/>
              <w:left w:val="none"/>
              <w:bottom w:val="none"/>
              <w:right w:val="none"/>
            </w:tcBorders>
          </w:tcPr>
          <w:p>
            <w:r>
              <w:rPr>
                <w:rFonts w:ascii="Calibri" w:cs="Calibri" w:eastAsia="Calibri" w:hAnsi="Calibri"/>
                <w:sz w:val="20"/>
                <w:szCs w:val="20"/>
              </w:rPr>
              <w:t xml:space="preserve">   5.4 LSTM-Based Longitudinal Predictor</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17</w:t>
            </w:r>
          </w:p>
        </w:tc>
      </w:tr>
      <w:tr>
        <w:tc>
          <w:tcPr>
            <w:tcW w:type="dxa" w:w="7800"/>
            <w:tcBorders>
              <w:top w:val="none"/>
              <w:left w:val="none"/>
              <w:bottom w:val="none"/>
              <w:right w:val="none"/>
            </w:tcBorders>
          </w:tcPr>
          <w:p>
            <w:r>
              <w:rPr>
                <w:rFonts w:ascii="Calibri" w:cs="Calibri" w:eastAsia="Calibri" w:hAnsi="Calibri"/>
                <w:sz w:val="20"/>
                <w:szCs w:val="20"/>
              </w:rPr>
              <w:t xml:space="preserve">   5.5 Transformer for Growth Sequences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18</w:t>
            </w:r>
          </w:p>
        </w:tc>
      </w:tr>
      <w:tr>
        <w:tc>
          <w:tcPr>
            <w:tcW w:type="dxa" w:w="7800"/>
            <w:tcBorders>
              <w:top w:val="none"/>
              <w:left w:val="none"/>
              <w:bottom w:val="none"/>
              <w:right w:val="none"/>
            </w:tcBorders>
          </w:tcPr>
          <w:p>
            <w:r>
              <w:rPr>
                <w:rFonts w:ascii="Calibri" w:cs="Calibri" w:eastAsia="Calibri" w:hAnsi="Calibri"/>
                <w:sz w:val="20"/>
                <w:szCs w:val="20"/>
              </w:rPr>
              <w:t xml:space="preserve">   5.6 Ensemble Strategy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19</w:t>
            </w:r>
          </w:p>
        </w:tc>
      </w:tr>
      <w:tr>
        <w:tc>
          <w:tcPr>
            <w:tcW w:type="dxa" w:w="7800"/>
            <w:tcBorders>
              <w:top w:val="none"/>
              <w:left w:val="none"/>
              <w:bottom w:val="none"/>
              <w:right w:val="none"/>
            </w:tcBorders>
          </w:tcPr>
          <w:p>
            <w:r>
              <w:rPr>
                <w:rFonts w:ascii="Calibri" w:cs="Calibri" w:eastAsia="Calibri" w:hAnsi="Calibri"/>
                <w:sz w:val="20"/>
                <w:szCs w:val="20"/>
              </w:rPr>
              <w:t xml:space="preserve">6. Model Evaluation and Clinical Validation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20</w:t>
            </w:r>
          </w:p>
        </w:tc>
      </w:tr>
      <w:tr>
        <w:tc>
          <w:tcPr>
            <w:tcW w:type="dxa" w:w="7800"/>
            <w:tcBorders>
              <w:top w:val="none"/>
              <w:left w:val="none"/>
              <w:bottom w:val="none"/>
              <w:right w:val="none"/>
            </w:tcBorders>
          </w:tcPr>
          <w:p>
            <w:r>
              <w:rPr>
                <w:rFonts w:ascii="Calibri" w:cs="Calibri" w:eastAsia="Calibri" w:hAnsi="Calibri"/>
                <w:sz w:val="20"/>
                <w:szCs w:val="20"/>
              </w:rPr>
              <w:t xml:space="preserve">   6.1 Evaluation Metrics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20</w:t>
            </w:r>
          </w:p>
        </w:tc>
      </w:tr>
      <w:tr>
        <w:tc>
          <w:tcPr>
            <w:tcW w:type="dxa" w:w="7800"/>
            <w:tcBorders>
              <w:top w:val="none"/>
              <w:left w:val="none"/>
              <w:bottom w:val="none"/>
              <w:right w:val="none"/>
            </w:tcBorders>
          </w:tcPr>
          <w:p>
            <w:r>
              <w:rPr>
                <w:rFonts w:ascii="Calibri" w:cs="Calibri" w:eastAsia="Calibri" w:hAnsi="Calibri"/>
                <w:sz w:val="20"/>
                <w:szCs w:val="20"/>
              </w:rPr>
              <w:t xml:space="preserve">   6.2 Cross-Validation for Longitudinal Data</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21</w:t>
            </w:r>
          </w:p>
        </w:tc>
      </w:tr>
      <w:tr>
        <w:tc>
          <w:tcPr>
            <w:tcW w:type="dxa" w:w="7800"/>
            <w:tcBorders>
              <w:top w:val="none"/>
              <w:left w:val="none"/>
              <w:bottom w:val="none"/>
              <w:right w:val="none"/>
            </w:tcBorders>
          </w:tcPr>
          <w:p>
            <w:r>
              <w:rPr>
                <w:rFonts w:ascii="Calibri" w:cs="Calibri" w:eastAsia="Calibri" w:hAnsi="Calibri"/>
                <w:sz w:val="20"/>
                <w:szCs w:val="20"/>
              </w:rPr>
              <w:t xml:space="preserve">   6.3 Clinical Validation Protocol</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21</w:t>
            </w:r>
          </w:p>
        </w:tc>
      </w:tr>
      <w:tr>
        <w:tc>
          <w:tcPr>
            <w:tcW w:type="dxa" w:w="7800"/>
            <w:tcBorders>
              <w:top w:val="none"/>
              <w:left w:val="none"/>
              <w:bottom w:val="none"/>
              <w:right w:val="none"/>
            </w:tcBorders>
          </w:tcPr>
          <w:p>
            <w:r>
              <w:rPr>
                <w:rFonts w:ascii="Calibri" w:cs="Calibri" w:eastAsia="Calibri" w:hAnsi="Calibri"/>
                <w:sz w:val="20"/>
                <w:szCs w:val="20"/>
              </w:rPr>
              <w:t xml:space="preserve">7. Wizard-Mode Platform Integration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22</w:t>
            </w:r>
          </w:p>
        </w:tc>
      </w:tr>
      <w:tr>
        <w:tc>
          <w:tcPr>
            <w:tcW w:type="dxa" w:w="7800"/>
            <w:tcBorders>
              <w:top w:val="none"/>
              <w:left w:val="none"/>
              <w:bottom w:val="none"/>
              <w:right w:val="none"/>
            </w:tcBorders>
          </w:tcPr>
          <w:p>
            <w:r>
              <w:rPr>
                <w:rFonts w:ascii="Calibri" w:cs="Calibri" w:eastAsia="Calibri" w:hAnsi="Calibri"/>
                <w:sz w:val="20"/>
                <w:szCs w:val="20"/>
              </w:rPr>
              <w:t xml:space="preserve">   7.1 Wizard Step Design for Growth Prediction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22</w:t>
            </w:r>
          </w:p>
        </w:tc>
      </w:tr>
      <w:tr>
        <w:tc>
          <w:tcPr>
            <w:tcW w:type="dxa" w:w="7800"/>
            <w:tcBorders>
              <w:top w:val="none"/>
              <w:left w:val="none"/>
              <w:bottom w:val="none"/>
              <w:right w:val="none"/>
            </w:tcBorders>
          </w:tcPr>
          <w:p>
            <w:r>
              <w:rPr>
                <w:rFonts w:ascii="Calibri" w:cs="Calibri" w:eastAsia="Calibri" w:hAnsi="Calibri"/>
                <w:sz w:val="20"/>
                <w:szCs w:val="20"/>
              </w:rPr>
              <w:t xml:space="preserve">   7.2 Hyperparameter Strategy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24</w:t>
            </w:r>
          </w:p>
        </w:tc>
      </w:tr>
      <w:tr>
        <w:tc>
          <w:tcPr>
            <w:tcW w:type="dxa" w:w="7800"/>
            <w:tcBorders>
              <w:top w:val="none"/>
              <w:left w:val="none"/>
              <w:bottom w:val="none"/>
              <w:right w:val="none"/>
            </w:tcBorders>
          </w:tcPr>
          <w:p>
            <w:r>
              <w:rPr>
                <w:rFonts w:ascii="Calibri" w:cs="Calibri" w:eastAsia="Calibri" w:hAnsi="Calibri"/>
                <w:sz w:val="20"/>
                <w:szCs w:val="20"/>
              </w:rPr>
              <w:t xml:space="preserve">8. Auto Code Generation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25</w:t>
            </w:r>
          </w:p>
        </w:tc>
      </w:tr>
      <w:tr>
        <w:tc>
          <w:tcPr>
            <w:tcW w:type="dxa" w:w="7800"/>
            <w:tcBorders>
              <w:top w:val="none"/>
              <w:left w:val="none"/>
              <w:bottom w:val="none"/>
              <w:right w:val="none"/>
            </w:tcBorders>
          </w:tcPr>
          <w:p>
            <w:r>
              <w:rPr>
                <w:rFonts w:ascii="Calibri" w:cs="Calibri" w:eastAsia="Calibri" w:hAnsi="Calibri"/>
                <w:sz w:val="20"/>
                <w:szCs w:val="20"/>
              </w:rPr>
              <w:t xml:space="preserve">9. Deployment and Clinical Integration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27</w:t>
            </w:r>
          </w:p>
        </w:tc>
      </w:tr>
      <w:tr>
        <w:tc>
          <w:tcPr>
            <w:tcW w:type="dxa" w:w="7800"/>
            <w:tcBorders>
              <w:top w:val="none"/>
              <w:left w:val="none"/>
              <w:bottom w:val="none"/>
              <w:right w:val="none"/>
            </w:tcBorders>
          </w:tcPr>
          <w:p>
            <w:r>
              <w:rPr>
                <w:rFonts w:ascii="Calibri" w:cs="Calibri" w:eastAsia="Calibri" w:hAnsi="Calibri"/>
                <w:sz w:val="20"/>
                <w:szCs w:val="20"/>
              </w:rPr>
              <w:t xml:space="preserve">10. Ethical, Privacy, and Regulatory Considerations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28</w:t>
            </w:r>
          </w:p>
        </w:tc>
      </w:tr>
      <w:tr>
        <w:tc>
          <w:tcPr>
            <w:tcW w:type="dxa" w:w="7800"/>
            <w:tcBorders>
              <w:top w:val="none"/>
              <w:left w:val="none"/>
              <w:bottom w:val="none"/>
              <w:right w:val="none"/>
            </w:tcBorders>
          </w:tcPr>
          <w:p>
            <w:r>
              <w:rPr>
                <w:rFonts w:ascii="Calibri" w:cs="Calibri" w:eastAsia="Calibri" w:hAnsi="Calibri"/>
                <w:sz w:val="20"/>
                <w:szCs w:val="20"/>
              </w:rPr>
              <w:t xml:space="preserve">11. Implementation Roadmap</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29</w:t>
            </w:r>
          </w:p>
        </w:tc>
      </w:tr>
      <w:tr>
        <w:tc>
          <w:tcPr>
            <w:tcW w:type="dxa" w:w="7800"/>
            <w:tcBorders>
              <w:top w:val="none"/>
              <w:left w:val="none"/>
              <w:bottom w:val="none"/>
              <w:right w:val="none"/>
            </w:tcBorders>
          </w:tcPr>
          <w:p>
            <w:r>
              <w:rPr>
                <w:rFonts w:ascii="Calibri" w:cs="Calibri" w:eastAsia="Calibri" w:hAnsi="Calibri"/>
                <w:sz w:val="20"/>
                <w:szCs w:val="20"/>
              </w:rPr>
              <w:t xml:space="preserve">12. Conclusion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30</w:t>
            </w:r>
          </w:p>
        </w:tc>
      </w:tr>
      <w:tr>
        <w:tc>
          <w:tcPr>
            <w:tcW w:type="dxa" w:w="7800"/>
            <w:tcBorders>
              <w:top w:val="none"/>
              <w:left w:val="none"/>
              <w:bottom w:val="none"/>
              <w:right w:val="none"/>
            </w:tcBorders>
          </w:tcPr>
          <w:p>
            <w:r>
              <w:rPr>
                <w:rFonts w:ascii="Calibri" w:cs="Calibri" w:eastAsia="Calibri" w:hAnsi="Calibri"/>
                <w:sz w:val="20"/>
                <w:szCs w:val="20"/>
              </w:rPr>
              <w:t xml:space="preserve">References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31</w:t>
            </w:r>
          </w:p>
        </w:tc>
      </w:tr>
    </w:tbl>
    <w:p>
      <w:r>
        <w:br w:type="page"/>
      </w:r>
    </w:p>
    <w:p>
      <w:pPr>
        <w:pStyle w:val="Heading1"/>
      </w:pPr>
      <w:r>
        <w:rPr>
          <w:rFonts w:ascii="Calibri" w:cs="Calibri" w:eastAsia="Calibri" w:hAnsi="Calibri"/>
          <w:b/>
          <w:bCs/>
        </w:rPr>
        <w:t xml:space="preserve">1. Medical Background and Clinical Context</w:t>
      </w:r>
    </w:p>
    <w:p>
      <w:pPr>
        <w:pStyle w:val="Heading2"/>
      </w:pPr>
      <w:r>
        <w:rPr>
          <w:rFonts w:ascii="Calibri" w:cs="Calibri" w:eastAsia="Calibri" w:hAnsi="Calibri"/>
          <w:b/>
          <w:bCs/>
        </w:rPr>
        <w:t xml:space="preserve">1.1 Growth as a Clinical Biomarker</w:t>
      </w:r>
    </w:p>
    <w:p>
      <w:pPr>
        <w:spacing w:after="80" w:before="80" w:line="308"/>
        <w:jc w:val="both"/>
      </w:pPr>
      <w:r>
        <w:rPr>
          <w:rFonts w:ascii="Calibri" w:cs="Calibri" w:eastAsia="Calibri" w:hAnsi="Calibri"/>
          <w:sz w:val="22"/>
          <w:szCs w:val="22"/>
        </w:rPr>
        <w:t xml:space="preserve">Child growth is universally recognized as the most sensitive composite indicator of child wellbeing. Growth reflects the cumulative effect of nutrition, infection burden, psychosocial stimulation, and underlying genetic potential. The World Health Organization states that 'children who are well nourished and healthy tend to grow along their expected growth trajectory,' making deviation from that trajectory the primary clinical signal for intervention.</w:t>
      </w:r>
    </w:p>
    <w:p>
      <w:pPr>
        <w:spacing w:after="80" w:before="80" w:line="308"/>
        <w:jc w:val="both"/>
      </w:pPr>
      <w:r>
        <w:rPr>
          <w:rFonts w:ascii="Calibri" w:cs="Calibri" w:eastAsia="Calibri" w:hAnsi="Calibri"/>
          <w:sz w:val="22"/>
          <w:szCs w:val="22"/>
        </w:rPr>
        <w:t xml:space="preserve">Growth monitoring is performed globally at regular intervals: monthly in the first year of life, quarterly in the second year, and annually thereafter until the end of puberty. At each visit, anthropometric measurements — length/height, weight, head circumference (in children under 2), mid-upper arm circumference (MUAC), and sometimes waist circumference — are recorded and compared to age- and sex-specific reference distributions. The resulting z-scores and percentiles are the primary outputs of standard growth monitoring and the inputs to clinical decision-making.</w:t>
      </w:r>
    </w:p>
    <w:p>
      <w:pPr>
        <w:spacing w:after="80" w:before="80" w:line="308"/>
        <w:jc w:val="both"/>
      </w:pPr>
      <w:r>
        <w:rPr>
          <w:rFonts w:ascii="Calibri" w:cs="Calibri" w:eastAsia="Calibri" w:hAnsi="Calibri"/>
          <w:sz w:val="22"/>
          <w:szCs w:val="22"/>
        </w:rPr>
        <w:t xml:space="preserve">The global burden of growth faltering is enormous. The 2023 UNICEF-WHO-World Bank Joint Malnutrition Estimates report that 148 million children under 5 are stunted (low height-for-age), 45 million are wasted (low weight-for-height), and 37 million are overweight. In developed countries, obesity, growth hormone deficiency, and constitutional growth delay are the primary growth concerns. Machine learning systems that can detect abnormal growth patterns earlier, predict trajectories more accurately, and support clinical decisions more effectively have the potential to improve outcomes for hundreds of millions of children worldwide.</w:t>
      </w:r>
    </w:p>
    <w:p>
      <w:pPr>
        <w:pStyle w:val="Heading2"/>
      </w:pPr>
      <w:r>
        <w:rPr>
          <w:rFonts w:ascii="Calibri" w:cs="Calibri" w:eastAsia="Calibri" w:hAnsi="Calibri"/>
          <w:b/>
          <w:bCs/>
        </w:rPr>
        <w:t xml:space="preserve">1.2 WHO Growth Standards and CDC Growth Charts</w:t>
      </w:r>
    </w:p>
    <w:p>
      <w:pPr>
        <w:spacing w:after="80" w:before="80" w:line="308"/>
        <w:jc w:val="both"/>
      </w:pPr>
      <w:r>
        <w:rPr>
          <w:rFonts w:ascii="Calibri" w:cs="Calibri" w:eastAsia="Calibri" w:hAnsi="Calibri"/>
          <w:sz w:val="22"/>
          <w:szCs w:val="22"/>
        </w:rPr>
        <w:t xml:space="preserve">Two authoritative normative reference systems are used globally: the WHO Multicentre Growth Reference Study (MGRS) standards (2006) and the CDC 2000 growth charts. Understanding their differences is essential for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Dimension</w:t>
            </w:r>
          </w:p>
        </w:tc>
        <w:tc>
          <w:tcPr>
            <w:tcW w:type="dxa" w:w="348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WHO MGRS Standards (2006)</w:t>
            </w:r>
          </w:p>
        </w:tc>
        <w:tc>
          <w:tcPr>
            <w:tcW w:type="dxa" w:w="368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CDC 2000 Growth Charts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Philosophy</w:t>
            </w:r>
          </w:p>
        </w:tc>
        <w:tc>
          <w:tcPr>
            <w:tcW w:type="dxa" w:w="34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Prescriptive: describes how children SHOULD grow under optimal conditions</w:t>
            </w:r>
          </w:p>
        </w:tc>
        <w:tc>
          <w:tcPr>
            <w:tcW w:type="dxa" w:w="36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Descriptive: describes how a US reference population DID grow</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Age Range</w:t>
            </w:r>
          </w:p>
        </w:tc>
        <w:tc>
          <w:tcPr>
            <w:tcW w:type="dxa" w:w="34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 years (extended to 19 yrs via WHO 2007)</w:t>
            </w:r>
          </w:p>
        </w:tc>
        <w:tc>
          <w:tcPr>
            <w:tcW w:type="dxa" w:w="36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0–20 years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Study Design</w:t>
            </w:r>
          </w:p>
        </w:tc>
        <w:tc>
          <w:tcPr>
            <w:tcW w:type="dxa" w:w="34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Longitudinal cohort, 6 countries, optimal conditions</w:t>
            </w:r>
          </w:p>
        </w:tc>
        <w:tc>
          <w:tcPr>
            <w:tcW w:type="dxa" w:w="36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NHANES cross-sectional surveys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Breastfeeding</w:t>
            </w:r>
          </w:p>
        </w:tc>
        <w:tc>
          <w:tcPr>
            <w:tcW w:type="dxa" w:w="34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Minimum 4 months exclusive breastfeeding required</w:t>
            </w:r>
          </w:p>
        </w:tc>
        <w:tc>
          <w:tcPr>
            <w:tcW w:type="dxa" w:w="36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Mixed feeding</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Global Applicability</w:t>
            </w:r>
          </w:p>
        </w:tc>
        <w:tc>
          <w:tcPr>
            <w:tcW w:type="dxa" w:w="34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Recommended globally by WHO, UNICEF</w:t>
            </w:r>
          </w:p>
        </w:tc>
        <w:tc>
          <w:tcPr>
            <w:tcW w:type="dxa" w:w="36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Primarily USA; used in many countries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BMI Reference</w:t>
            </w:r>
          </w:p>
        </w:tc>
        <w:tc>
          <w:tcPr>
            <w:tcW w:type="dxa" w:w="34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Included (0–5 yrs, extended to 19 yrs)</w:t>
            </w:r>
          </w:p>
        </w:tc>
        <w:tc>
          <w:tcPr>
            <w:tcW w:type="dxa" w:w="36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Included (2–20 yrs)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Key Advantage</w:t>
            </w:r>
          </w:p>
        </w:tc>
        <w:tc>
          <w:tcPr>
            <w:tcW w:type="dxa" w:w="34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True reference for all children worldwide</w:t>
            </w:r>
          </w:p>
        </w:tc>
        <w:tc>
          <w:tcPr>
            <w:tcW w:type="dxa" w:w="368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Higher specificity for US populations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System Use</w:t>
            </w:r>
          </w:p>
        </w:tc>
        <w:tc>
          <w:tcPr>
            <w:tcW w:type="dxa" w:w="34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Primary reference: 0–5 yrs; research globally</w:t>
            </w:r>
          </w:p>
        </w:tc>
        <w:tc>
          <w:tcPr>
            <w:tcW w:type="dxa" w:w="368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Secondary reference; USA deployments</w:t>
            </w:r>
          </w:p>
        </w:tc>
      </w:tr>
    </w:tbl>
    <w:p>
      <w:pPr>
        <w:spacing w:after="180" w:before="60"/>
        <w:jc w:val="center"/>
      </w:pPr>
      <w:r>
        <w:rPr>
          <w:rFonts w:ascii="Calibri" w:cs="Calibri" w:eastAsia="Calibri" w:hAnsi="Calibri"/>
          <w:i/>
          <w:iCs/>
          <w:color w:val="555555"/>
          <w:sz w:val="19"/>
          <w:szCs w:val="19"/>
        </w:rPr>
        <w:t xml:space="preserve">Table 1.1: Comparison of WHO MGRS Standards and CDC 2000 Growth Charts.</w:t>
      </w:r>
    </w:p>
    <w:p>
      <w:pPr>
        <w:spacing w:after="80" w:before="80" w:line="308"/>
        <w:jc w:val="both"/>
      </w:pPr>
      <w:r>
        <w:rPr>
          <w:rFonts w:ascii="Calibri" w:cs="Calibri" w:eastAsia="Calibri" w:hAnsi="Calibri"/>
          <w:sz w:val="22"/>
          <w:szCs w:val="22"/>
        </w:rPr>
        <w:t xml:space="preserve">The system supports both reference systems with user-selectable reference population, and automatically applies WHO standards for children under 5 and WHO 2007 (or CDC 2000) for children 5–19 based on configurable jurisdiction defaults.</w:t>
      </w:r>
    </w:p>
    <w:p>
      <w:pPr>
        <w:pStyle w:val="Heading2"/>
      </w:pPr>
      <w:r>
        <w:rPr>
          <w:rFonts w:ascii="Calibri" w:cs="Calibri" w:eastAsia="Calibri" w:hAnsi="Calibri"/>
          <w:b/>
          <w:bCs/>
        </w:rPr>
        <w:t xml:space="preserve">1.3 Z-Scores, Percentiles, and Growth Velocity</w:t>
      </w:r>
    </w:p>
    <w:p>
      <w:pPr>
        <w:spacing w:after="80" w:before="80" w:line="308"/>
        <w:jc w:val="both"/>
      </w:pPr>
      <w:r>
        <w:rPr>
          <w:rFonts w:ascii="Calibri" w:cs="Calibri" w:eastAsia="Calibri" w:hAnsi="Calibri"/>
          <w:sz w:val="22"/>
          <w:szCs w:val="22"/>
        </w:rPr>
        <w:t xml:space="preserve">The z-score (also called the standard deviation score, SDS) expresses a child's measurement as the number of standard deviations above or below the median for children of the same age and sex. For a measurement X in a child of age a and sex s:</w:t>
      </w:r>
    </w:p>
    <w:p>
      <w:pPr>
        <w:spacing w:after="140" w:before="140"/>
        <w:jc w:val="center"/>
      </w:pPr>
      <w:r>
        <w:rPr>
          <w:rFonts w:ascii="Cambria Math" w:cs="Cambria Math" w:eastAsia="Cambria Math" w:hAnsi="Cambria Math"/>
          <w:i/>
          <w:iCs/>
          <w:sz w:val="22"/>
          <w:szCs w:val="22"/>
        </w:rPr>
        <w:t xml:space="preserve">Z = (X − M(a,s)) / S(a,s)</w:t>
      </w:r>
      <w:r>
        <w:rPr>
          <w:rFonts w:ascii="Calibri" w:cs="Calibri" w:eastAsia="Calibri" w:hAnsi="Calibri"/>
          <w:color w:val="666666"/>
          <w:sz w:val="19"/>
          <w:szCs w:val="19"/>
        </w:rPr>
        <w:t xml:space="preserve">   (1.1)</w:t>
      </w:r>
    </w:p>
    <w:p>
      <w:pPr>
        <w:spacing w:after="80" w:before="80" w:line="308"/>
        <w:jc w:val="both"/>
      </w:pPr>
      <w:r>
        <w:rPr>
          <w:rFonts w:ascii="Calibri" w:cs="Calibri" w:eastAsia="Calibri" w:hAnsi="Calibri"/>
          <w:sz w:val="22"/>
          <w:szCs w:val="22"/>
        </w:rPr>
        <w:t xml:space="preserve">where M(a,s) is the median and S(a,s) is the standard deviation from the reference population at age a and sex s. Because growth measurement distributions are often slightly skewed (particularly weight), the WHO reference uses the LMS (Lambda-Mu-Sigma) method of Cole &amp; Green (1992) to transform measurements to normality before computing z-scores:</w:t>
      </w:r>
    </w:p>
    <w:p>
      <w:pPr>
        <w:spacing w:after="140" w:before="140"/>
        <w:jc w:val="center"/>
      </w:pPr>
      <w:r>
        <w:rPr>
          <w:rFonts w:ascii="Cambria Math" w:cs="Cambria Math" w:eastAsia="Cambria Math" w:hAnsi="Cambria Math"/>
          <w:i/>
          <w:iCs/>
          <w:sz w:val="22"/>
          <w:szCs w:val="22"/>
        </w:rPr>
        <w:t xml:space="preserve">Z_LMS = [ (X/M)^L − 1 ] / (L × S)</w:t>
      </w:r>
      <w:r>
        <w:rPr>
          <w:rFonts w:ascii="Calibri" w:cs="Calibri" w:eastAsia="Calibri" w:hAnsi="Calibri"/>
          <w:color w:val="666666"/>
          <w:sz w:val="19"/>
          <w:szCs w:val="19"/>
        </w:rPr>
        <w:t xml:space="preserve">   (1.2)</w:t>
      </w:r>
    </w:p>
    <w:p>
      <w:pPr>
        <w:spacing w:after="80" w:before="80" w:line="308"/>
        <w:jc w:val="both"/>
      </w:pPr>
      <w:r>
        <w:rPr>
          <w:rFonts w:ascii="Calibri" w:cs="Calibri" w:eastAsia="Calibri" w:hAnsi="Calibri"/>
          <w:sz w:val="22"/>
          <w:szCs w:val="22"/>
        </w:rPr>
        <w:t xml:space="preserve">where L is the Box-Cox power parameter for skewness correction, M is the median, and S is the generalized coefficient of variation, all tabulated as functions of age and sex. For |Z| &gt; 3 (extreme values), the WHO uses a modified formula to avoid non-physical extrapolation:</w:t>
      </w:r>
    </w:p>
    <w:p>
      <w:pPr>
        <w:spacing w:after="140" w:before="140"/>
        <w:jc w:val="center"/>
      </w:pPr>
      <w:r>
        <w:rPr>
          <w:rFonts w:ascii="Cambria Math" w:cs="Cambria Math" w:eastAsia="Cambria Math" w:hAnsi="Cambria Math"/>
          <w:i/>
          <w:iCs/>
          <w:sz w:val="22"/>
          <w:szCs w:val="22"/>
        </w:rPr>
        <w:t xml:space="preserve">Z_adj = Z₃ + (X − SD3) / SD23  for X &gt; SD3 (or equivalent for X &lt; −SD3)</w:t>
      </w:r>
      <w:r>
        <w:rPr>
          <w:rFonts w:ascii="Calibri" w:cs="Calibri" w:eastAsia="Calibri" w:hAnsi="Calibri"/>
          <w:color w:val="666666"/>
          <w:sz w:val="19"/>
          <w:szCs w:val="19"/>
        </w:rPr>
        <w:t xml:space="preserve">   (1.3)</w:t>
      </w:r>
    </w:p>
    <w:p>
      <w:pPr>
        <w:spacing w:after="80" w:before="80" w:line="308"/>
        <w:jc w:val="both"/>
      </w:pPr>
      <w:r>
        <w:rPr>
          <w:rFonts w:ascii="Calibri" w:cs="Calibri" w:eastAsia="Calibri" w:hAnsi="Calibri"/>
          <w:sz w:val="22"/>
          <w:szCs w:val="22"/>
        </w:rPr>
        <w:t xml:space="preserve">where SD3 and SD23 are the distances between the 3rd and 2nd standard deviation lines, respectively, at that age.</w:t>
      </w:r>
    </w:p>
    <w:p>
      <w:pPr>
        <w:spacing w:after="80" w:before="80" w:line="308"/>
        <w:jc w:val="both"/>
      </w:pPr>
      <w:r>
        <w:rPr>
          <w:rFonts w:ascii="Calibri" w:cs="Calibri" w:eastAsia="Calibri" w:hAnsi="Calibri"/>
          <w:sz w:val="22"/>
          <w:szCs w:val="22"/>
        </w:rPr>
        <w:t xml:space="preserve">Percentiles are related to z-scores through the standard normal CDF Φ:</w:t>
      </w:r>
    </w:p>
    <w:p>
      <w:pPr>
        <w:spacing w:after="140" w:before="140"/>
        <w:jc w:val="center"/>
      </w:pPr>
      <w:r>
        <w:rPr>
          <w:rFonts w:ascii="Cambria Math" w:cs="Cambria Math" w:eastAsia="Cambria Math" w:hAnsi="Cambria Math"/>
          <w:i/>
          <w:iCs/>
          <w:sz w:val="22"/>
          <w:szCs w:val="22"/>
        </w:rPr>
        <w:t xml:space="preserve">Percentile = 100 × Φ(Z_LMS)</w:t>
      </w:r>
      <w:r>
        <w:rPr>
          <w:rFonts w:ascii="Calibri" w:cs="Calibri" w:eastAsia="Calibri" w:hAnsi="Calibri"/>
          <w:color w:val="666666"/>
          <w:sz w:val="19"/>
          <w:szCs w:val="19"/>
        </w:rPr>
        <w:t xml:space="preserve">   (1.4)</w:t>
      </w:r>
    </w:p>
    <w:p>
      <w:pPr>
        <w:spacing w:after="80" w:before="80" w:line="308"/>
        <w:jc w:val="both"/>
      </w:pPr>
      <w:r>
        <w:rPr>
          <w:rFonts w:ascii="Calibri" w:cs="Calibri" w:eastAsia="Calibri" w:hAnsi="Calibri"/>
          <w:sz w:val="22"/>
          <w:szCs w:val="22"/>
        </w:rPr>
        <w:t xml:space="preserve">Growth velocity is the rate of change of a measurement over time, typically expressed in cm/month (height) or kg/month (weight). It provides a longitudinally sensitive indicator that can detect growth faltering earlier than a single cross-sectional z-score:</w:t>
      </w:r>
    </w:p>
    <w:p>
      <w:pPr>
        <w:spacing w:after="140" w:before="140"/>
        <w:jc w:val="center"/>
      </w:pPr>
      <w:r>
        <w:rPr>
          <w:rFonts w:ascii="Cambria Math" w:cs="Cambria Math" w:eastAsia="Cambria Math" w:hAnsi="Cambria Math"/>
          <w:i/>
          <w:iCs/>
          <w:sz w:val="22"/>
          <w:szCs w:val="22"/>
        </w:rPr>
        <w:t xml:space="preserve">GV_height(t₁,t₂) = [H(t₂) − H(t₁)] / (t₂ − t₁)  [cm/month]</w:t>
      </w:r>
      <w:r>
        <w:rPr>
          <w:rFonts w:ascii="Calibri" w:cs="Calibri" w:eastAsia="Calibri" w:hAnsi="Calibri"/>
          <w:color w:val="666666"/>
          <w:sz w:val="19"/>
          <w:szCs w:val="19"/>
        </w:rPr>
        <w:t xml:space="preserve">   (1.5)</w:t>
      </w:r>
    </w:p>
    <w:p>
      <w:pPr>
        <w:spacing w:after="140" w:before="140"/>
        <w:jc w:val="center"/>
      </w:pPr>
      <w:r>
        <w:rPr>
          <w:rFonts w:ascii="Cambria Math" w:cs="Cambria Math" w:eastAsia="Cambria Math" w:hAnsi="Cambria Math"/>
          <w:i/>
          <w:iCs/>
          <w:sz w:val="22"/>
          <w:szCs w:val="22"/>
        </w:rPr>
        <w:t xml:space="preserve">GV_weight(t₁,t₂) = [W(t₂) − W(t₁)] / (t₂ − t₁)  [kg/month]</w:t>
      </w:r>
      <w:r>
        <w:rPr>
          <w:rFonts w:ascii="Calibri" w:cs="Calibri" w:eastAsia="Calibri" w:hAnsi="Calibri"/>
          <w:color w:val="666666"/>
          <w:sz w:val="19"/>
          <w:szCs w:val="19"/>
        </w:rPr>
        <w:t xml:space="preserve">   (1.6)</w:t>
      </w:r>
    </w:p>
    <w:p>
      <w:pPr>
        <w:spacing w:after="80" w:before="80" w:line="308"/>
        <w:jc w:val="both"/>
      </w:pPr>
      <w:r>
        <w:rPr>
          <w:rFonts w:ascii="Calibri" w:cs="Calibri" w:eastAsia="Calibri" w:hAnsi="Calibri"/>
          <w:sz w:val="22"/>
          <w:szCs w:val="22"/>
        </w:rPr>
        <w:t xml:space="preserve">Normal height velocity reference values (approximate): 0-3 months: 3.5 cm/month; 3-6 months: 2.0 cm/month; 6-12 months: 1.2 cm/month; 1-2 years: 0.8 cm/month; 2-4 years: 0.6 cm/month; 4-puberty: 0.4-0.5 cm/month; pubertal peak: 0.7-0.9 cm/month.</w:t>
      </w:r>
    </w:p>
    <w:p>
      <w:pPr>
        <w:pStyle w:val="Heading2"/>
      </w:pPr>
      <w:r>
        <w:rPr>
          <w:rFonts w:ascii="Calibri" w:cs="Calibri" w:eastAsia="Calibri" w:hAnsi="Calibri"/>
          <w:b/>
          <w:bCs/>
        </w:rPr>
        <w:t xml:space="preserve">1.4 Clinical Growth Disorders and Warning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Condition</w:t>
            </w:r>
          </w:p>
        </w:tc>
        <w:tc>
          <w:tcPr>
            <w:tcW w:type="dxa" w:w="2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Z-score Criterion</w:t>
            </w:r>
          </w:p>
        </w:tc>
        <w:tc>
          <w:tcPr>
            <w:tcW w:type="dxa" w:w="3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Significance</w:t>
            </w:r>
          </w:p>
        </w:tc>
        <w:tc>
          <w:tcPr>
            <w:tcW w:type="dxa" w:w="19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Prevalence (Global U5)</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Severe Stunting</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 &lt; −3</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Chronic undernutrition; long-term cognitive impairment</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5.8% (≈39M children)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Moderate Stunting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 ≤ HAZ &lt; −2</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Chronic nutritional deficit; increased morbidity</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14.3% (≈148M total)</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Severe Wasting</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WHZ &lt; −3</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Acute severe malnutrition; mortality risk</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1.9% (≈13M children)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Moderate Wasting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 ≤ WHZ &lt; −2</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Acute malnutrition; intervention required</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 (≈45M total)</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Underweight (severe)</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WAZ &lt; −3</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Combined chronic + acute</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Overweight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BAZ &gt; +2 (or BMI &gt; +2)</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Obesity risk; metabolic syndrome</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5.6% (≈37M children)</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Obese</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BAZ &gt; +3</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 metabolic and cardiovascular risk</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Hormone Deficiency</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HV &lt; −2 SDS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 velocity below normal range; endocrine referral</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1:4000–10000</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Constitutional Delay</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Delayed bone age; HAZ −2 to −3</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Variant of normal; watchful waiting</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Common (2-5%)</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Small-for-Gestational-Age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 weight/length &lt; −2 SDS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Increased risk of stunting and metabolic disease</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 of births</w:t>
            </w:r>
          </w:p>
        </w:tc>
      </w:tr>
    </w:tbl>
    <w:p>
      <w:pPr>
        <w:spacing w:after="180" w:before="60"/>
        <w:jc w:val="center"/>
      </w:pPr>
      <w:r>
        <w:rPr>
          <w:rFonts w:ascii="Calibri" w:cs="Calibri" w:eastAsia="Calibri" w:hAnsi="Calibri"/>
          <w:i/>
          <w:iCs/>
          <w:color w:val="555555"/>
          <w:sz w:val="19"/>
          <w:szCs w:val="19"/>
        </w:rPr>
        <w:t xml:space="preserve">Table 1.2: Clinical growth disorders with z-score criteria and global prevalence. HAZ=Height-for-Age Z-score, WHZ=Weight-for-Height Z-score, WAZ=Weight-for-Age Z-score, BAZ=BMI-for-Age Z-score, HV=Height Velocity.</w:t>
      </w:r>
    </w:p>
    <w:p>
      <w:r>
        <w:br w:type="page"/>
      </w:r>
    </w:p>
    <w:p>
      <w:pPr>
        <w:pStyle w:val="Heading1"/>
      </w:pPr>
      <w:r>
        <w:rPr>
          <w:rFonts w:ascii="Calibri" w:cs="Calibri" w:eastAsia="Calibri" w:hAnsi="Calibri"/>
          <w:b/>
          <w:bCs/>
        </w:rPr>
        <w:t xml:space="preserve">2. Problem Formulation</w:t>
      </w:r>
    </w:p>
    <w:p>
      <w:pPr>
        <w:pStyle w:val="Heading2"/>
      </w:pPr>
      <w:r>
        <w:rPr>
          <w:rFonts w:ascii="Calibri" w:cs="Calibri" w:eastAsia="Calibri" w:hAnsi="Calibri"/>
          <w:b/>
          <w:bCs/>
        </w:rPr>
        <w:t xml:space="preserve">2.1 Mathematical Definition of Prediction Targets</w:t>
      </w:r>
    </w:p>
    <w:p>
      <w:pPr>
        <w:spacing w:after="80" w:before="80" w:line="308"/>
        <w:jc w:val="both"/>
      </w:pPr>
      <w:r>
        <w:rPr>
          <w:rFonts w:ascii="Calibri" w:cs="Calibri" w:eastAsia="Calibri" w:hAnsi="Calibri"/>
          <w:sz w:val="22"/>
          <w:szCs w:val="22"/>
        </w:rPr>
        <w:t xml:space="preserve">The Children Growth Prediction system addresses four distinct but interrelated prediction tasks, each with different clinical use cases, time horizons, and appropriate ML approaches:</w:t>
      </w:r>
    </w:p>
    <w:p>
      <w:pPr>
        <w:spacing w:after="80" w:before="80" w:line="308"/>
        <w:jc w:val="both"/>
      </w:pPr>
      <w:r>
        <w:rPr>
          <w:rFonts w:ascii="Calibri" w:cs="Calibri" w:eastAsia="Calibri" w:hAnsi="Calibri"/>
          <w:sz w:val="22"/>
          <w:szCs w:val="22"/>
        </w:rPr>
        <w:t xml:space="preserve">Task 1 — Z-Score Estimation (Cross-Sectional): Given a single measurement (height H, weight W, age a, sex s), compute the z-scores using the LMS method. This is deterministic given a reference table but requires careful handling of edge cases (extreme values, gestational age correction for preterm infants, measurement uncertainty).</w:t>
      </w:r>
    </w:p>
    <w:p>
      <w:pPr>
        <w:spacing w:after="140" w:before="140"/>
        <w:jc w:val="center"/>
      </w:pPr>
      <w:r>
        <w:rPr>
          <w:rFonts w:ascii="Cambria Math" w:cs="Cambria Math" w:eastAsia="Cambria Math" w:hAnsi="Cambria Math"/>
          <w:i/>
          <w:iCs/>
          <w:sz w:val="22"/>
          <w:szCs w:val="22"/>
        </w:rPr>
        <w:t xml:space="preserve">Ẑ(H, W, a, s) = LMS_transform(H, W, a, s | θ_WHO)</w:t>
      </w:r>
      <w:r>
        <w:rPr>
          <w:rFonts w:ascii="Calibri" w:cs="Calibri" w:eastAsia="Calibri" w:hAnsi="Calibri"/>
          <w:color w:val="666666"/>
          <w:sz w:val="19"/>
          <w:szCs w:val="19"/>
        </w:rPr>
        <w:t xml:space="preserve">   (2.1)</w:t>
      </w:r>
    </w:p>
    <w:p>
      <w:pPr>
        <w:spacing w:after="80" w:before="80" w:line="308"/>
        <w:jc w:val="both"/>
      </w:pPr>
      <w:r>
        <w:rPr>
          <w:rFonts w:ascii="Calibri" w:cs="Calibri" w:eastAsia="Calibri" w:hAnsi="Calibri"/>
          <w:sz w:val="22"/>
          <w:szCs w:val="22"/>
        </w:rPr>
        <w:t xml:space="preserve">Task 2 — Trajectory Prediction (Longitudinal): Given a sequence of n past measurements {(Hᵢ, Wᵢ, aᵢ)}ᵢ₌₁ⁿ with associated features xᵢ, predict the next-k measurements at future time points {aᵢ + Δt}:</w:t>
      </w:r>
    </w:p>
    <w:p>
      <w:pPr>
        <w:spacing w:after="140" w:before="140"/>
        <w:jc w:val="center"/>
      </w:pPr>
      <w:r>
        <w:rPr>
          <w:rFonts w:ascii="Cambria Math" w:cs="Cambria Math" w:eastAsia="Cambria Math" w:hAnsi="Cambria Math"/>
          <w:i/>
          <w:iCs/>
          <w:sz w:val="22"/>
          <w:szCs w:val="22"/>
        </w:rPr>
        <w:t xml:space="preserve">P̂(H_{n+k}, W_{n+k} | H₁:ₙ, W₁:ₙ, a₁:ₙ, x₁:ₙ, a_{n+k}) = f_θ(·)</w:t>
      </w:r>
      <w:r>
        <w:rPr>
          <w:rFonts w:ascii="Calibri" w:cs="Calibri" w:eastAsia="Calibri" w:hAnsi="Calibri"/>
          <w:color w:val="666666"/>
          <w:sz w:val="19"/>
          <w:szCs w:val="19"/>
        </w:rPr>
        <w:t xml:space="preserve">   (2.2)</w:t>
      </w:r>
    </w:p>
    <w:p>
      <w:pPr>
        <w:spacing w:after="80" w:before="80" w:line="308"/>
        <w:jc w:val="both"/>
      </w:pPr>
      <w:r>
        <w:rPr>
          <w:rFonts w:ascii="Calibri" w:cs="Calibri" w:eastAsia="Calibri" w:hAnsi="Calibri"/>
          <w:sz w:val="22"/>
          <w:szCs w:val="22"/>
        </w:rPr>
        <w:t xml:space="preserve">where Δt ∈ {1, 3, 6, 12} months and f_θ is a trained longitudinal model.</w:t>
      </w:r>
    </w:p>
    <w:p>
      <w:pPr>
        <w:spacing w:after="80" w:before="80" w:line="308"/>
        <w:jc w:val="both"/>
      </w:pPr>
      <w:r>
        <w:rPr>
          <w:rFonts w:ascii="Calibri" w:cs="Calibri" w:eastAsia="Calibri" w:hAnsi="Calibri"/>
          <w:sz w:val="22"/>
          <w:szCs w:val="22"/>
        </w:rPr>
        <w:t xml:space="preserve">Task 3 — Faltering Detection (Binary Classification): Given trajectory history, predict the probability that a child will develop growth faltering (z-score crossing a clinical threshold) within the next Δt months:</w:t>
      </w:r>
    </w:p>
    <w:p>
      <w:pPr>
        <w:spacing w:after="140" w:before="140"/>
        <w:jc w:val="center"/>
      </w:pPr>
      <w:r>
        <w:rPr>
          <w:rFonts w:ascii="Cambria Math" w:cs="Cambria Math" w:eastAsia="Cambria Math" w:hAnsi="Cambria Math"/>
          <w:i/>
          <w:iCs/>
          <w:sz w:val="22"/>
          <w:szCs w:val="22"/>
        </w:rPr>
        <w:t xml:space="preserve">P̂(faltering | trajectory₁:ₙ, features) = σ(g_φ(·))</w:t>
      </w:r>
      <w:r>
        <w:rPr>
          <w:rFonts w:ascii="Calibri" w:cs="Calibri" w:eastAsia="Calibri" w:hAnsi="Calibri"/>
          <w:color w:val="666666"/>
          <w:sz w:val="19"/>
          <w:szCs w:val="19"/>
        </w:rPr>
        <w:t xml:space="preserve">   (2.3)</w:t>
      </w:r>
    </w:p>
    <w:p>
      <w:pPr>
        <w:spacing w:after="80" w:before="80" w:line="308"/>
        <w:jc w:val="both"/>
      </w:pPr>
      <w:r>
        <w:rPr>
          <w:rFonts w:ascii="Calibri" w:cs="Calibri" w:eastAsia="Calibri" w:hAnsi="Calibri"/>
          <w:sz w:val="22"/>
          <w:szCs w:val="22"/>
        </w:rPr>
        <w:t xml:space="preserve">where faltering is defined as a sustained drop of ≥ 1 z-score unit in HAZ or WHZ over the prediction horizon, or crossing a clinical threshold (HAZ &lt; −2).</w:t>
      </w:r>
    </w:p>
    <w:p>
      <w:pPr>
        <w:spacing w:after="80" w:before="80" w:line="308"/>
        <w:jc w:val="both"/>
      </w:pPr>
      <w:r>
        <w:rPr>
          <w:rFonts w:ascii="Calibri" w:cs="Calibri" w:eastAsia="Calibri" w:hAnsi="Calibri"/>
          <w:sz w:val="22"/>
          <w:szCs w:val="22"/>
        </w:rPr>
        <w:t xml:space="preserve">Task 4 — Adult Height Prediction: Given childhood measurements and parental heights, predict adult height using a combination of the mid-parental height formula and trajectory-conditioned regression:</w:t>
      </w:r>
    </w:p>
    <w:p>
      <w:pPr>
        <w:spacing w:after="140" w:before="140"/>
        <w:jc w:val="center"/>
      </w:pPr>
      <w:r>
        <w:rPr>
          <w:rFonts w:ascii="Cambria Math" w:cs="Cambria Math" w:eastAsia="Cambria Math" w:hAnsi="Cambria Math"/>
          <w:i/>
          <w:iCs/>
          <w:sz w:val="22"/>
          <w:szCs w:val="22"/>
        </w:rPr>
        <w:t xml:space="preserve">H_adult = MPH + Correction(z-score trajectory, bone_age, puberty_stage)</w:t>
      </w:r>
      <w:r>
        <w:rPr>
          <w:rFonts w:ascii="Calibri" w:cs="Calibri" w:eastAsia="Calibri" w:hAnsi="Calibri"/>
          <w:color w:val="666666"/>
          <w:sz w:val="19"/>
          <w:szCs w:val="19"/>
        </w:rPr>
        <w:t xml:space="preserve">   (2.4)</w:t>
      </w:r>
    </w:p>
    <w:p>
      <w:pPr>
        <w:spacing w:after="140" w:before="140"/>
        <w:jc w:val="center"/>
      </w:pPr>
      <w:r>
        <w:rPr>
          <w:rFonts w:ascii="Cambria Math" w:cs="Cambria Math" w:eastAsia="Cambria Math" w:hAnsi="Cambria Math"/>
          <w:i/>
          <w:iCs/>
          <w:sz w:val="22"/>
          <w:szCs w:val="22"/>
        </w:rPr>
        <w:t xml:space="preserve">MPH_boys = (H_father + H_mother + 13) / 2;   MPH_girls = (H_father + H_mother − 13) / 2</w:t>
      </w:r>
      <w:r>
        <w:rPr>
          <w:rFonts w:ascii="Calibri" w:cs="Calibri" w:eastAsia="Calibri" w:hAnsi="Calibri"/>
          <w:color w:val="666666"/>
          <w:sz w:val="19"/>
          <w:szCs w:val="19"/>
        </w:rPr>
        <w:t xml:space="preserve">   (2.5)</w:t>
      </w:r>
    </w:p>
    <w:p>
      <w:pPr>
        <w:pStyle w:val="Heading2"/>
      </w:pPr>
      <w:r>
        <w:rPr>
          <w:rFonts w:ascii="Calibri" w:cs="Calibri" w:eastAsia="Calibri" w:hAnsi="Calibri"/>
          <w:b/>
          <w:bCs/>
        </w:rPr>
        <w:t xml:space="preserve">2.2 Longitudinal Data Structure</w:t>
      </w:r>
    </w:p>
    <w:p>
      <w:pPr>
        <w:spacing w:after="80" w:before="80" w:line="308"/>
        <w:jc w:val="both"/>
      </w:pPr>
      <w:r>
        <w:rPr>
          <w:rFonts w:ascii="Calibri" w:cs="Calibri" w:eastAsia="Calibri" w:hAnsi="Calibri"/>
          <w:sz w:val="22"/>
          <w:szCs w:val="22"/>
        </w:rPr>
        <w:t xml:space="preserve">Children growth data is inherently longitudinal — multiple measurements per child over time. This creates a hierarchical data structure: measurements are nested within visits, visits are nested within children, children within families (sharing genetic factors), and families within communities (sharing environmental and socioeconomic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E8F5EE" w:val="clear"/>
            <w:tcMar>
              <w:top w:type="dxa" w:w="120"/>
              <w:left w:type="dxa" w:w="220"/>
              <w:bottom w:type="dxa" w:w="120"/>
              <w:right w:type="dxa" w:w="220"/>
            </w:tcMar>
          </w:tcPr>
          <w:p>
            <w:pPr>
              <w:spacing w:after="22" w:before="22" w:line="260"/>
            </w:pPr>
            <w:r>
              <w:rPr>
                <w:rFonts w:ascii="Calibri" w:cs="Calibri" w:eastAsia="Calibri" w:hAnsi="Calibri"/>
                <w:color w:val="1A1A1A"/>
                <w:sz w:val="19"/>
                <w:szCs w:val="19"/>
              </w:rPr>
              <w:t xml:space="preserve">Data Hierarchy (Three-Level Nested Structure):</w:t>
            </w:r>
          </w:p>
          <w:p>
            <w:pPr>
              <w:spacing w:after="22" w:before="22" w:line="260"/>
            </w:pPr>
            <w:r>
              <w:rPr>
                <w:rFonts w:ascii="Calibri" w:cs="Calibri" w:eastAsia="Calibri" w:hAnsi="Calibri"/>
                <w:color w:val="1A1A1A"/>
                <w:sz w:val="19"/>
                <w:szCs w:val="19"/>
              </w:rPr>
              <w:t xml:space="preserve"/>
            </w:r>
          </w:p>
          <w:p>
            <w:pPr>
              <w:spacing w:after="22" w:before="22" w:line="260"/>
            </w:pPr>
            <w:r>
              <w:rPr>
                <w:rFonts w:ascii="Calibri" w:cs="Calibri" w:eastAsia="Calibri" w:hAnsi="Calibri"/>
                <w:color w:val="1A1A1A"/>
                <w:sz w:val="19"/>
                <w:szCs w:val="19"/>
              </w:rPr>
              <w:t xml:space="preserve">  Level 3 (Community): {community demographics, food security, water/sanitation}</w:t>
            </w:r>
          </w:p>
          <w:p>
            <w:pPr>
              <w:spacing w:after="22" w:before="22" w:line="260"/>
            </w:pPr>
            <w:r>
              <w:rPr>
                <w:rFonts w:ascii="Calibri" w:cs="Calibri" w:eastAsia="Calibri" w:hAnsi="Calibri"/>
                <w:color w:val="1A1A1A"/>
                <w:sz w:val="19"/>
                <w:szCs w:val="19"/>
              </w:rPr>
              <w:t xml:space="preserve">  └── Level 2 (Child/Family): {child_id, sex, gestational_age, birth_weight,</w:t>
            </w:r>
          </w:p>
          <w:p>
            <w:pPr>
              <w:spacing w:after="22" w:before="22" w:line="260"/>
            </w:pPr>
            <w:r>
              <w:rPr>
                <w:rFonts w:ascii="Courier New" w:cs="Courier New" w:eastAsia="Courier New" w:hAnsi="Courier New"/>
                <w:color w:val="1A1A1A"/>
                <w:sz w:val="19"/>
                <w:szCs w:val="19"/>
              </w:rPr>
              <w:t xml:space="preserve">                                parent_heights, SES_index, genetic_variants}</w:t>
            </w:r>
          </w:p>
          <w:p>
            <w:pPr>
              <w:spacing w:after="22" w:before="22" w:line="260"/>
            </w:pPr>
            <w:r>
              <w:rPr>
                <w:rFonts w:ascii="Courier New" w:cs="Courier New" w:eastAsia="Courier New" w:hAnsi="Courier New"/>
                <w:color w:val="1A1A1A"/>
                <w:sz w:val="19"/>
                <w:szCs w:val="19"/>
              </w:rPr>
              <w:t xml:space="preserve">       └── Level 1 (Visit/Measurement): {visit_date, age_months, height_cm,</w:t>
            </w:r>
          </w:p>
          <w:p>
            <w:pPr>
              <w:spacing w:after="22" w:before="22" w:line="260"/>
            </w:pPr>
            <w:r>
              <w:rPr>
                <w:rFonts w:ascii="Courier New" w:cs="Courier New" w:eastAsia="Courier New" w:hAnsi="Courier New"/>
                <w:color w:val="1A1A1A"/>
                <w:sz w:val="19"/>
                <w:szCs w:val="19"/>
              </w:rPr>
              <w:t xml:space="preserve">                                          weight_kg, HC_cm, MUAC_cm,</w:t>
            </w:r>
          </w:p>
          <w:p>
            <w:pPr>
              <w:spacing w:after="22" w:before="22" w:line="260"/>
            </w:pPr>
            <w:r>
              <w:rPr>
                <w:rFonts w:ascii="Courier New" w:cs="Courier New" w:eastAsia="Courier New" w:hAnsi="Courier New"/>
                <w:color w:val="1A1A1A"/>
                <w:sz w:val="19"/>
                <w:szCs w:val="19"/>
              </w:rPr>
              <w:t xml:space="preserve">                                          illness_since_last_visit, vaccinations}</w:t>
            </w:r>
          </w:p>
          <w:p>
            <w:pPr>
              <w:spacing w:after="22" w:before="22" w:line="260"/>
            </w:pPr>
            <w:r>
              <w:rPr>
                <w:rFonts w:ascii="Calibri" w:cs="Calibri" w:eastAsia="Calibri" w:hAnsi="Calibri"/>
                <w:color w:val="1A1A1A"/>
                <w:sz w:val="19"/>
                <w:szCs w:val="19"/>
              </w:rPr>
              <w:t xml:space="preserve"/>
            </w:r>
          </w:p>
          <w:p>
            <w:pPr>
              <w:spacing w:after="22" w:before="22" w:line="260"/>
            </w:pPr>
            <w:r>
              <w:rPr>
                <w:rFonts w:ascii="Calibri" w:cs="Calibri" w:eastAsia="Calibri" w:hAnsi="Calibri"/>
                <w:color w:val="1A1A1A"/>
                <w:sz w:val="19"/>
                <w:szCs w:val="19"/>
              </w:rPr>
              <w:t xml:space="preserve">  Measurement occasions per child: 8–30 (well-resourced settings)</w:t>
            </w:r>
          </w:p>
          <w:p>
            <w:pPr>
              <w:spacing w:after="22" w:before="22" w:line="260"/>
            </w:pPr>
            <w:r>
              <w:rPr>
                <w:rFonts w:ascii="Courier New" w:cs="Courier New" w:eastAsia="Courier New" w:hAnsi="Courier New"/>
                <w:color w:val="1A1A1A"/>
                <w:sz w:val="19"/>
                <w:szCs w:val="19"/>
              </w:rPr>
              <w:t xml:space="preserve">                                    2–8 (resource-limited settings)</w:t>
            </w:r>
          </w:p>
          <w:p>
            <w:pPr>
              <w:spacing w:after="22" w:before="22" w:line="260"/>
            </w:pPr>
            <w:r>
              <w:rPr>
                <w:rFonts w:ascii="Calibri" w:cs="Calibri" w:eastAsia="Calibri" w:hAnsi="Calibri"/>
                <w:color w:val="1A1A1A"/>
                <w:sz w:val="19"/>
                <w:szCs w:val="19"/>
              </w:rPr>
              <w:t xml:space="preserve">  Typical observation window: Birth to 60 months (5 years), extended to 216 months (18 years)</w:t>
            </w:r>
          </w:p>
          <w:p>
            <w:pPr>
              <w:spacing w:after="22" w:before="22" w:line="260"/>
            </w:pPr>
            <w:r>
              <w:rPr>
                <w:rFonts w:ascii="Calibri" w:cs="Calibri" w:eastAsia="Calibri" w:hAnsi="Calibri"/>
                <w:color w:val="1A1A1A"/>
                <w:sz w:val="19"/>
                <w:szCs w:val="19"/>
              </w:rPr>
              <w:t xml:space="preserve">  Missing data rate: 15–40% in real-world datasets (irregular visit schedules)</w:t>
            </w:r>
          </w:p>
        </w:tc>
      </w:tr>
    </w:tbl>
    <w:p>
      <w:pPr>
        <w:spacing w:after="180" w:before="60"/>
        <w:jc w:val="center"/>
      </w:pPr>
      <w:r>
        <w:rPr>
          <w:rFonts w:ascii="Calibri" w:cs="Calibri" w:eastAsia="Calibri" w:hAnsi="Calibri"/>
          <w:i/>
          <w:iCs/>
          <w:color w:val="555555"/>
          <w:sz w:val="19"/>
          <w:szCs w:val="19"/>
        </w:rPr>
        <w:t xml:space="preserve">Figure 2.1: Three-level hierarchical data structure for children growth data.</w:t>
      </w:r>
    </w:p>
    <w:p>
      <w:pPr>
        <w:pStyle w:val="Heading2"/>
      </w:pPr>
      <w:r>
        <w:rPr>
          <w:rFonts w:ascii="Calibri" w:cs="Calibri" w:eastAsia="Calibri" w:hAnsi="Calibri"/>
          <w:b/>
          <w:bCs/>
        </w:rPr>
        <w:t xml:space="preserve">2.3 Short-Term vs. Long-Term Prediction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1900"/>
        <w:gridCol w:w="1260"/>
      </w:tblGrid>
      <w:tr>
        <w:tc>
          <w:tcPr>
            <w:tcW w:type="dxa" w:w="17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Horizon</w:t>
            </w:r>
          </w:p>
        </w:tc>
        <w:tc>
          <w:tcPr>
            <w:tcW w:type="dxa" w:w="2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Model Type</w:t>
            </w:r>
          </w:p>
        </w:tc>
        <w:tc>
          <w:tcPr>
            <w:tcW w:type="dxa" w:w="28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Primary Features</w:t>
            </w:r>
          </w:p>
        </w:tc>
        <w:tc>
          <w:tcPr>
            <w:tcW w:type="dxa" w:w="19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Use</w:t>
            </w:r>
          </w:p>
        </w:tc>
        <w:tc>
          <w:tcPr>
            <w:tcW w:type="dxa" w:w="12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Evaluation</w:t>
            </w:r>
          </w:p>
        </w:tc>
      </w:tr>
      <w:tr>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Next visit (1-3 months)</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 / GBM</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Recent trajectory, velocity</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monitoring alert</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z-score error</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Medium-term (3-6 months)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Bayesian hierarchical</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Full trajectory, nutrition</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Intervention planning</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faltering sensitivity</w:t>
            </w:r>
          </w:p>
        </w:tc>
      </w:tr>
      <w:tr>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Long-term (6-12 months)</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 + GBM</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features + puberty</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Nutritional programme eval</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drift in z-score</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Adult height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Khamis-Roche / ML</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 heights, bone age</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disorder diagnosis</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vs. adult measurement</w:t>
            </w:r>
          </w:p>
        </w:tc>
      </w:tr>
    </w:tbl>
    <w:p>
      <w:pPr>
        <w:spacing w:after="180" w:before="60"/>
        <w:jc w:val="center"/>
      </w:pPr>
      <w:r>
        <w:rPr>
          <w:rFonts w:ascii="Calibri" w:cs="Calibri" w:eastAsia="Calibri" w:hAnsi="Calibri"/>
          <w:i/>
          <w:iCs/>
          <w:color w:val="555555"/>
          <w:sz w:val="19"/>
          <w:szCs w:val="19"/>
        </w:rPr>
        <w:t xml:space="preserve">Table 2.1: Prediction horizons, appropriate models, and clinical use cases.</w:t>
      </w:r>
    </w:p>
    <w:p>
      <w:r>
        <w:br w:type="page"/>
      </w:r>
    </w:p>
    <w:p>
      <w:pPr>
        <w:pStyle w:val="Heading1"/>
      </w:pPr>
      <w:r>
        <w:rPr>
          <w:rFonts w:ascii="Calibri" w:cs="Calibri" w:eastAsia="Calibri" w:hAnsi="Calibri"/>
          <w:b/>
          <w:bCs/>
        </w:rPr>
        <w:t xml:space="preserve">3. Data Sources and Collection</w:t>
      </w:r>
    </w:p>
    <w:p>
      <w:pPr>
        <w:pStyle w:val="Heading2"/>
      </w:pPr>
      <w:r>
        <w:rPr>
          <w:rFonts w:ascii="Calibri" w:cs="Calibri" w:eastAsia="Calibri" w:hAnsi="Calibri"/>
          <w:b/>
          <w:bCs/>
        </w:rPr>
        <w:t xml:space="preserve">3.1 Primary Data Sources</w:t>
      </w:r>
    </w:p>
    <w:p>
      <w:pPr>
        <w:spacing w:after="80" w:before="80" w:line="308"/>
        <w:jc w:val="both"/>
      </w:pPr>
      <w:r>
        <w:rPr>
          <w:rFonts w:ascii="Calibri" w:cs="Calibri" w:eastAsia="Calibri" w:hAnsi="Calibri"/>
          <w:sz w:val="22"/>
          <w:szCs w:val="22"/>
        </w:rPr>
        <w:t xml:space="preserve">The system can be trained and deployed on data from the following categories of sources, each with different richness, coverage, and access requirements:</w:t>
      </w:r>
    </w:p>
    <w:p>
      <w:pPr>
        <w:pStyle w:val="Heading3"/>
      </w:pPr>
      <w:r>
        <w:rPr>
          <w:rFonts w:ascii="Calibri" w:cs="Calibri" w:eastAsia="Calibri" w:hAnsi="Calibri"/>
          <w:b/>
          <w:bCs/>
          <w:i/>
          <w:iCs/>
        </w:rPr>
        <w:t xml:space="preserve">3.1.1 Public Research Databases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2800"/>
        <w:gridCol w:w="1260"/>
      </w:tblGrid>
      <w:tr>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Dataset</w:t>
            </w:r>
          </w:p>
        </w:tc>
        <w:tc>
          <w:tcPr>
            <w:tcW w:type="dxa" w:w="15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 Children</w:t>
            </w:r>
          </w:p>
        </w:tc>
        <w:tc>
          <w:tcPr>
            <w:tcW w:type="dxa" w:w="1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Age Range</w:t>
            </w:r>
          </w:p>
        </w:tc>
        <w:tc>
          <w:tcPr>
            <w:tcW w:type="dxa" w:w="28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Key Features</w:t>
            </w:r>
          </w:p>
        </w:tc>
        <w:tc>
          <w:tcPr>
            <w:tcW w:type="dxa" w:w="12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Access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 MGRS (2006)</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8,440</w:t>
            </w:r>
          </w:p>
        </w:tc>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 months</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 countries, optimal nutrition, detailed longitudinal</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Public (aggregated); individual data restricted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NHANES (USA)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~5,000/wave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0–20 years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Representative USA sample; health, labs, diet</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Public (de-identified)</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GEMS (Global Enteric)</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22,568</w:t>
            </w:r>
          </w:p>
        </w:tc>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0–59 months</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illness + growth; 7 countries</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Restricted (data request)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COHORTS Consortium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~7,000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Birth–18 yrs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Brazil, Guatemala, India, Philippines, South Africa</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Restricted</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MAL-ED Study</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2,145</w:t>
            </w:r>
          </w:p>
        </w:tc>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0–60 months</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 LMIC sites; nutrition, infection, gut function</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Restricted (collaboration)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UK Millennium Cohort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19,517</w:t>
            </w:r>
          </w:p>
        </w:tc>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Birth–17 yrs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Comprehensive biopsychosocial; UK-representative</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Restricted (UK Data Service)</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Project Viva (USA)</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2,128</w:t>
            </w:r>
          </w:p>
        </w:tc>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Prenatal–18 yrs</w:t>
            </w:r>
          </w:p>
        </w:tc>
        <w:tc>
          <w:tcPr>
            <w:tcW w:type="dxa" w:w="2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Mother-child dyad; detailed prenatal + longitudinal</w:t>
            </w:r>
          </w:p>
        </w:tc>
        <w:tc>
          <w:tcPr>
            <w:tcW w:type="dxa" w:w="1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Restricted (application)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EHR Data (Hospital)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Variable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ages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Real-world clinical; irregular; rich comorbidities</w:t>
            </w:r>
          </w:p>
        </w:tc>
        <w:tc>
          <w:tcPr>
            <w:tcW w:type="dxa" w:w="1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IRB required; federated</w:t>
            </w:r>
          </w:p>
        </w:tc>
      </w:tr>
    </w:tbl>
    <w:p>
      <w:pPr>
        <w:spacing w:after="180" w:before="60"/>
        <w:jc w:val="center"/>
      </w:pPr>
      <w:r>
        <w:rPr>
          <w:rFonts w:ascii="Calibri" w:cs="Calibri" w:eastAsia="Calibri" w:hAnsi="Calibri"/>
          <w:i/>
          <w:iCs/>
          <w:color w:val="555555"/>
          <w:sz w:val="19"/>
          <w:szCs w:val="19"/>
        </w:rPr>
        <w:t xml:space="preserve">Table 3.1: Primary data sources for children growth prediction model training.</w:t>
      </w:r>
    </w:p>
    <w:p>
      <w:pPr>
        <w:pStyle w:val="Heading3"/>
      </w:pPr>
      <w:r>
        <w:rPr>
          <w:rFonts w:ascii="Calibri" w:cs="Calibri" w:eastAsia="Calibri" w:hAnsi="Calibri"/>
          <w:b/>
          <w:bCs/>
          <w:i/>
          <w:iCs/>
        </w:rPr>
        <w:t xml:space="preserve">3.1.2 Electronic Health Record Integration</w:t>
      </w:r>
    </w:p>
    <w:p>
      <w:pPr>
        <w:spacing w:after="80" w:before="80" w:line="308"/>
        <w:jc w:val="both"/>
      </w:pPr>
      <w:r>
        <w:rPr>
          <w:rFonts w:ascii="Calibri" w:cs="Calibri" w:eastAsia="Calibri" w:hAnsi="Calibri"/>
          <w:sz w:val="22"/>
          <w:szCs w:val="22"/>
        </w:rPr>
        <w:t xml:space="preserve">For real-world deployment, the primary data source is the hospital or clinic's Electronic Health Record (EHR) system. EHR integration requires HL7 FHIR (Fast Healthcare Interoperability Resources) compliance. The system exposes a FHIR R4 API endpoint that ingests Patient, Observation (growth measurements), and Condition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 FHIR R4 Observation resource — height measurement</w:t>
            </w:r>
          </w:p>
          <w:p>
            <w:pPr>
              <w:spacing w:after="22" w:before="22" w:line="260"/>
            </w:pPr>
            <w:r>
              <w:rPr>
                <w:rFonts w:ascii="Calibri" w:cs="Calibri" w:eastAsia="Calibri" w:hAnsi="Calibri"/>
                <w:color w:val="1A1A1A"/>
                <w:sz w:val="19"/>
                <w:szCs w:val="19"/>
              </w:rPr>
              <w:t xml:space="preserve">{</w:t>
            </w:r>
          </w:p>
          <w:p>
            <w:pPr>
              <w:spacing w:after="22" w:before="22" w:line="260"/>
            </w:pPr>
            <w:r>
              <w:rPr>
                <w:rFonts w:ascii="Calibri" w:cs="Calibri" w:eastAsia="Calibri" w:hAnsi="Calibri"/>
                <w:color w:val="1A1A1A"/>
                <w:sz w:val="19"/>
                <w:szCs w:val="19"/>
              </w:rPr>
              <w:t xml:space="preserve">  "resourceType": "Observation",</w:t>
            </w:r>
          </w:p>
          <w:p>
            <w:pPr>
              <w:spacing w:after="22" w:before="22" w:line="260"/>
            </w:pPr>
            <w:r>
              <w:rPr>
                <w:rFonts w:ascii="Calibri" w:cs="Calibri" w:eastAsia="Calibri" w:hAnsi="Calibri"/>
                <w:color w:val="1A1A1A"/>
                <w:sz w:val="19"/>
                <w:szCs w:val="19"/>
              </w:rPr>
              <w:t xml:space="preserve">  "status": "final",</w:t>
            </w:r>
          </w:p>
          <w:p>
            <w:pPr>
              <w:spacing w:after="22" w:before="22" w:line="260"/>
            </w:pPr>
            <w:r>
              <w:rPr>
                <w:rFonts w:ascii="Calibri" w:cs="Calibri" w:eastAsia="Calibri" w:hAnsi="Calibri"/>
                <w:color w:val="1A1A1A"/>
                <w:sz w:val="19"/>
                <w:szCs w:val="19"/>
              </w:rPr>
              <w:t xml:space="preserve">  "category": [{"coding": [{"code": "vital-signs"}]}],</w:t>
            </w:r>
          </w:p>
          <w:p>
            <w:pPr>
              <w:spacing w:after="22" w:before="22" w:line="260"/>
            </w:pPr>
            <w:r>
              <w:rPr>
                <w:rFonts w:ascii="Calibri" w:cs="Calibri" w:eastAsia="Calibri" w:hAnsi="Calibri"/>
                <w:color w:val="1A1A1A"/>
                <w:sz w:val="19"/>
                <w:szCs w:val="19"/>
              </w:rPr>
              <w:t xml:space="preserve">  "code": {"coding": [{"system": "http://loinc.org", "code": "8302-2",</w:t>
            </w:r>
          </w:p>
          <w:p>
            <w:pPr>
              <w:spacing w:after="22" w:before="22" w:line="260"/>
            </w:pPr>
            <w:r>
              <w:rPr>
                <w:rFonts w:ascii="Courier New" w:cs="Courier New" w:eastAsia="Courier New" w:hAnsi="Courier New"/>
                <w:color w:val="1A1A1A"/>
                <w:sz w:val="19"/>
                <w:szCs w:val="19"/>
              </w:rPr>
              <w:t xml:space="preserve">                        "display": "Body height"}]},</w:t>
            </w:r>
          </w:p>
          <w:p>
            <w:pPr>
              <w:spacing w:after="22" w:before="22" w:line="260"/>
            </w:pPr>
            <w:r>
              <w:rPr>
                <w:rFonts w:ascii="Calibri" w:cs="Calibri" w:eastAsia="Calibri" w:hAnsi="Calibri"/>
                <w:color w:val="1A1A1A"/>
                <w:sz w:val="19"/>
                <w:szCs w:val="19"/>
              </w:rPr>
              <w:t xml:space="preserve">  "subject": {"reference": "Patient/child-001"},</w:t>
            </w:r>
          </w:p>
          <w:p>
            <w:pPr>
              <w:spacing w:after="22" w:before="22" w:line="260"/>
            </w:pPr>
            <w:r>
              <w:rPr>
                <w:rFonts w:ascii="Calibri" w:cs="Calibri" w:eastAsia="Calibri" w:hAnsi="Calibri"/>
                <w:color w:val="1A1A1A"/>
                <w:sz w:val="19"/>
                <w:szCs w:val="19"/>
              </w:rPr>
              <w:t xml:space="preserve">  "effectiveDateTime": "2026-02-15",</w:t>
            </w:r>
          </w:p>
          <w:p>
            <w:pPr>
              <w:spacing w:after="22" w:before="22" w:line="260"/>
            </w:pPr>
            <w:r>
              <w:rPr>
                <w:rFonts w:ascii="Calibri" w:cs="Calibri" w:eastAsia="Calibri" w:hAnsi="Calibri"/>
                <w:color w:val="1A1A1A"/>
                <w:sz w:val="19"/>
                <w:szCs w:val="19"/>
              </w:rPr>
              <w:t xml:space="preserve">  "valueQuantity": {"value": 87.3, "unit": "cm",</w:t>
            </w:r>
          </w:p>
          <w:p>
            <w:pPr>
              <w:spacing w:after="22" w:before="22" w:line="260"/>
            </w:pPr>
            <w:r>
              <w:rPr>
                <w:rFonts w:ascii="Courier New" w:cs="Courier New" w:eastAsia="Courier New" w:hAnsi="Courier New"/>
                <w:color w:val="1A1A1A"/>
                <w:sz w:val="19"/>
                <w:szCs w:val="19"/>
              </w:rPr>
              <w:t xml:space="preserve">                    "system": "http://unitsofmeasure.org", "code": "cm"}</w:t>
            </w:r>
          </w:p>
          <w:p>
            <w:pPr>
              <w:spacing w:after="22" w:before="22" w:line="260"/>
            </w:pPr>
            <w:r>
              <w:rPr>
                <w:rFonts w:ascii="Calibri" w:cs="Calibri" w:eastAsia="Calibri" w:hAnsi="Calibri"/>
                <w:color w:val="1A1A1A"/>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3.1: FHIR R4 Observation resource for height measurement ingestion.</w:t>
      </w:r>
    </w:p>
    <w:p>
      <w:pPr>
        <w:pStyle w:val="Heading2"/>
      </w:pPr>
      <w:r>
        <w:rPr>
          <w:rFonts w:ascii="Calibri" w:cs="Calibri" w:eastAsia="Calibri" w:hAnsi="Calibri"/>
          <w:b/>
          <w:bCs/>
        </w:rPr>
        <w:t xml:space="preserve">3.2 Data Schema and Variable Dictionary</w:t>
      </w:r>
    </w:p>
    <w:p>
      <w:pPr>
        <w:spacing w:after="80" w:before="80" w:line="308"/>
        <w:jc w:val="both"/>
      </w:pPr>
      <w:r>
        <w:rPr>
          <w:rFonts w:ascii="Calibri" w:cs="Calibri" w:eastAsia="Calibri" w:hAnsi="Calibri"/>
          <w:sz w:val="22"/>
          <w:szCs w:val="22"/>
        </w:rPr>
        <w:t xml:space="preserve">The canonical data schema for the Children Growth Prediction system includes 47 variables across six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100"/>
        <w:gridCol w:w="2200"/>
        <w:gridCol w:w="2260"/>
      </w:tblGrid>
      <w:tr>
        <w:tc>
          <w:tcPr>
            <w:tcW w:type="dxa" w:w="16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Domain</w:t>
            </w:r>
          </w:p>
        </w:tc>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Variable</w:t>
            </w:r>
          </w:p>
        </w:tc>
        <w:tc>
          <w:tcPr>
            <w:tcW w:type="dxa" w:w="11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Range / Categories</w:t>
            </w:r>
          </w:p>
        </w:tc>
        <w:tc>
          <w:tcPr>
            <w:tcW w:type="dxa" w:w="22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Missing Rate (typical)</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Identity</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child_id</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String</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Unique anonymized ID</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Identity</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sex</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Binary</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 / F</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0.5%</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Identity</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ethnic_group</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Categorical</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 WHO regions</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15–30%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gestational_age_weeks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24–44 weeks</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birth_weight_kg</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0.5–5.5 kg</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birth_length_cm</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30–60 cm</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birth_hc_cm</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25–40 cm</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delivery_mode</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Categorical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Vaginal / C-section</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Birth</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plurality</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Categorical</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Singleton/Twin/Higher</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age_months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0–216 months</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height_cm</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45–200 cm</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weight_kg</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1.5–120 kg</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head_circ_cm</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30–60 cm (0–36 mo)</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muac_cm</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9–30 cm</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Measurement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bmi</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Computed</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mother_height_cm</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140–185 cm</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father_height_cm</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155–200 cm</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mid_parental_height_cm</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Computed</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Nutrition</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breastfeeding_months</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 months</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Nutrition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diet_diversity_score</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0–10</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Nutrition</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stunting_at_prev_visit</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Binary</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 / 1</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illness_days_prev_month</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0–30</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diarrhea_episodes_prev_month</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0–15</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hospitalizations_prev_year</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0–10</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Socioeconomic</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wealth_index_quintile</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Socioeconomic</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maternal_education_years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Float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0–20</w:t>
            </w:r>
          </w:p>
        </w:tc>
        <w:tc>
          <w:tcPr>
            <w:tcW w:type="dxa" w:w="2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w:t>
            </w:r>
          </w:p>
        </w:tc>
      </w:tr>
      <w:tr>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Socioeconomic</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food_security_score</w:t>
            </w:r>
          </w:p>
        </w:tc>
        <w:tc>
          <w:tcPr>
            <w:tcW w:type="dxa" w:w="11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Integer</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0–12</w:t>
            </w:r>
          </w:p>
        </w:tc>
        <w:tc>
          <w:tcPr>
            <w:tcW w:type="dxa" w:w="2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45%</w:t>
            </w:r>
          </w:p>
        </w:tc>
      </w:tr>
    </w:tbl>
    <w:p>
      <w:pPr>
        <w:spacing w:after="180" w:before="60"/>
        <w:jc w:val="center"/>
      </w:pPr>
      <w:r>
        <w:rPr>
          <w:rFonts w:ascii="Calibri" w:cs="Calibri" w:eastAsia="Calibri" w:hAnsi="Calibri"/>
          <w:i/>
          <w:iCs/>
          <w:color w:val="555555"/>
          <w:sz w:val="19"/>
          <w:szCs w:val="19"/>
        </w:rPr>
        <w:t xml:space="preserve">Table 3.2: Canonical variable dictionary for the Children Growth Prediction system (selected variables).</w:t>
      </w:r>
    </w:p>
    <w:p>
      <w:pPr>
        <w:pStyle w:val="Heading2"/>
      </w:pPr>
      <w:r>
        <w:rPr>
          <w:rFonts w:ascii="Calibri" w:cs="Calibri" w:eastAsia="Calibri" w:hAnsi="Calibri"/>
          <w:b/>
          <w:bCs/>
        </w:rPr>
        <w:t xml:space="preserve">3.3 Data Quality and Preprocessing Challenges</w:t>
      </w:r>
    </w:p>
    <w:p>
      <w:pPr>
        <w:spacing w:after="80" w:before="80" w:line="308"/>
        <w:jc w:val="both"/>
      </w:pPr>
      <w:r>
        <w:rPr>
          <w:rFonts w:ascii="Calibri" w:cs="Calibri" w:eastAsia="Calibri" w:hAnsi="Calibri"/>
          <w:sz w:val="22"/>
          <w:szCs w:val="22"/>
        </w:rPr>
        <w:t xml:space="preserve">Growth data collected in real-world settings contains several characteristic quality issues that require domain-specific handling:</w:t>
      </w:r>
    </w:p>
    <w:p>
      <w:pPr>
        <w:pStyle w:val="ListParagraph"/>
        <w:numPr>
          <w:ilvl w:val="0"/>
          <w:numId w:val="2"/>
        </w:numPr>
        <w:spacing w:after="55" w:before="55" w:line="280"/>
      </w:pPr>
      <w:r>
        <w:rPr>
          <w:rFonts w:ascii="Calibri" w:cs="Calibri" w:eastAsia="Calibri" w:hAnsi="Calibri"/>
          <w:sz w:val="22"/>
          <w:szCs w:val="22"/>
        </w:rPr>
        <w:t xml:space="preserve">Biologically impossible values ('outliers'): Heights or weights that are physiologically implausible (e.g., height decreasing by &gt; 2 cm between visits in a child &gt; 2 years old) indicate measurement error. These must be flagged and excluded rather than imputed, as imputation of measurement errors can introduce systematic bias.</w:t>
      </w:r>
    </w:p>
    <w:p>
      <w:pPr>
        <w:pStyle w:val="ListParagraph"/>
        <w:numPr>
          <w:ilvl w:val="0"/>
          <w:numId w:val="2"/>
        </w:numPr>
        <w:spacing w:after="55" w:before="55" w:line="280"/>
      </w:pPr>
      <w:r>
        <w:rPr>
          <w:rFonts w:ascii="Calibri" w:cs="Calibri" w:eastAsia="Calibri" w:hAnsi="Calibri"/>
          <w:sz w:val="22"/>
          <w:szCs w:val="22"/>
        </w:rPr>
        <w:t xml:space="preserve">Irregular visit spacing: Children are measured at different ages across visits due to illness, missed appointments, or irregular clinic schedules. Models must explicitly handle unequal time intervals.</w:t>
      </w:r>
    </w:p>
    <w:p>
      <w:pPr>
        <w:pStyle w:val="ListParagraph"/>
        <w:numPr>
          <w:ilvl w:val="0"/>
          <w:numId w:val="2"/>
        </w:numPr>
        <w:spacing w:after="55" w:before="55" w:line="280"/>
      </w:pPr>
      <w:r>
        <w:rPr>
          <w:rFonts w:ascii="Calibri" w:cs="Calibri" w:eastAsia="Calibri" w:hAnsi="Calibri"/>
          <w:sz w:val="22"/>
          <w:szCs w:val="22"/>
        </w:rPr>
        <w:t xml:space="preserve">Age heaping: Reported ages are often rounded to the nearest month or year in low-resource settings, creating artificial clustering at integer values. This requires age-heaping adjustment using Whipple's or Myers' indices.</w:t>
      </w:r>
    </w:p>
    <w:p>
      <w:pPr>
        <w:pStyle w:val="ListParagraph"/>
        <w:numPr>
          <w:ilvl w:val="0"/>
          <w:numId w:val="2"/>
        </w:numPr>
        <w:spacing w:after="55" w:before="55" w:line="280"/>
      </w:pPr>
      <w:r>
        <w:rPr>
          <w:rFonts w:ascii="Calibri" w:cs="Calibri" w:eastAsia="Calibri" w:hAnsi="Calibri"/>
          <w:sz w:val="22"/>
          <w:szCs w:val="22"/>
        </w:rPr>
        <w:t xml:space="preserve">Sex misclassification: Rare but impactful since reference standards are sex-specific. Cross-validation checks (e.g., height-for-age z-score bimodal distribution within a supposedly single-sex group) can detect batch errors.</w:t>
      </w:r>
    </w:p>
    <w:p>
      <w:pPr>
        <w:pStyle w:val="ListParagraph"/>
        <w:numPr>
          <w:ilvl w:val="0"/>
          <w:numId w:val="2"/>
        </w:numPr>
        <w:spacing w:after="55" w:before="55" w:line="280"/>
      </w:pPr>
      <w:r>
        <w:rPr>
          <w:rFonts w:ascii="Calibri" w:cs="Calibri" w:eastAsia="Calibri" w:hAnsi="Calibri"/>
          <w:sz w:val="22"/>
          <w:szCs w:val="22"/>
        </w:rPr>
        <w:t xml:space="preserve">Unit ambiguity: Height reported in cm vs. inches, weight in kg vs. lbs — common in EHR exports from multi-national systems. Unit detection rules and range-based validation are essential.</w:t>
      </w:r>
    </w:p>
    <w:p>
      <w:pPr>
        <w:pStyle w:val="ListParagraph"/>
        <w:numPr>
          <w:ilvl w:val="0"/>
          <w:numId w:val="2"/>
        </w:numPr>
        <w:spacing w:after="55" w:before="55" w:line="280"/>
      </w:pPr>
      <w:r>
        <w:rPr>
          <w:rFonts w:ascii="Calibri" w:cs="Calibri" w:eastAsia="Calibri" w:hAnsi="Calibri"/>
          <w:sz w:val="22"/>
          <w:szCs w:val="22"/>
        </w:rPr>
        <w:t xml:space="preserve">Missing data mechanisms: Missingness in growth data is typically Missing Not At Random (MNAR) — children who miss visits are often sicker or from more disadvantaged families, making complete-case analysis severely biased. Multiple imputation using chained equations (MICE) conditioned on all available growth and contextual variables is required.</w:t>
      </w:r>
    </w:p>
    <w:p>
      <w:r>
        <w:br w:type="page"/>
      </w:r>
    </w:p>
    <w:p>
      <w:pPr>
        <w:pStyle w:val="Heading1"/>
      </w:pPr>
      <w:r>
        <w:rPr>
          <w:rFonts w:ascii="Calibri" w:cs="Calibri" w:eastAsia="Calibri" w:hAnsi="Calibri"/>
          <w:b/>
          <w:bCs/>
        </w:rPr>
        <w:t xml:space="preserve">4. Feature Engineering</w:t>
      </w:r>
    </w:p>
    <w:p>
      <w:pPr>
        <w:pStyle w:val="Heading2"/>
      </w:pPr>
      <w:r>
        <w:rPr>
          <w:rFonts w:ascii="Calibri" w:cs="Calibri" w:eastAsia="Calibri" w:hAnsi="Calibri"/>
          <w:b/>
          <w:bCs/>
        </w:rPr>
        <w:t xml:space="preserve">4.1 Anthropometric Features</w:t>
      </w:r>
    </w:p>
    <w:p>
      <w:pPr>
        <w:spacing w:after="80" w:before="80" w:line="308"/>
        <w:jc w:val="both"/>
      </w:pPr>
      <w:r>
        <w:rPr>
          <w:rFonts w:ascii="Calibri" w:cs="Calibri" w:eastAsia="Calibri" w:hAnsi="Calibri"/>
          <w:sz w:val="22"/>
          <w:szCs w:val="22"/>
        </w:rPr>
        <w:t xml:space="preserve">Raw measurements are transformed into a rich set of derived features that capture growth status, velocity, and trajectory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Feature</w:t>
            </w:r>
          </w:p>
        </w:tc>
        <w:tc>
          <w:tcPr>
            <w:tcW w:type="dxa" w:w="27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Formula / Definition</w:t>
            </w:r>
          </w:p>
        </w:tc>
        <w:tc>
          <w:tcPr>
            <w:tcW w:type="dxa" w:w="4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Meaning</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z-score(H, age, sex | WHO)</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Height-for-Age z-score: chronic nutritional status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WAZ</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z-score(W, age, sex | WHO)</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Weight-for-Age z-score: overall growth</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WHZ</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z-score(W, H, sex | WHO)</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Weight-for-Height z-score: acute malnutrition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BMIZ</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z-score(BMI, age, sex | WHO)</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BMI-for-Age z-score: body composition</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HCZ</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z-score(HC, age, sex | WHO)</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Head Circ z-score: brain growth (&lt; 3 years)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ΔHAZ (1-visit)</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HAZ(t) − HAZ(t−1)</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Z-score change: short-term faltering signal</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ΔHAZ (3-visit)</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HAZ(t) − HAZ(t−3)</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Z-score change: medium-term trajectory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H_velocity</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(H(t)−H(t−1)) / Δt_months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 velocity cm/month</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W_velocity</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(W(t)−W(t−1)) / Δt_months</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 velocity kg/month</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H_velocity_z</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z-score(H_velocity | age, sex)</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Velocity z-score vs. reference norms</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Height_SDS_slope</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OLS slope of HAZ over last 3 visits</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Trajectory direction and rate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Weight_for_height_ratio</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 expected_W_for_H(t)</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Proportionality index</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MUAC_for_age_z</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LMS z-score(MUAC, age, sex)</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Arm muscle + fat reserve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BMI_trajectory_slope</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OLS slope of BMIZ over last 3 visits</w:t>
            </w:r>
          </w:p>
        </w:tc>
        <w:tc>
          <w:tcPr>
            <w:tcW w:type="dxa" w:w="4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Obesity trend</w:t>
            </w:r>
          </w:p>
        </w:tc>
      </w:tr>
      <w:tr>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Catch-up_indicator</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 improving AND &lt; −1 AND Δage &lt; 24m</w:t>
            </w:r>
          </w:p>
        </w:tc>
        <w:tc>
          <w:tcPr>
            <w:tcW w:type="dxa" w:w="4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Catch-up growth binary flag</w:t>
            </w:r>
          </w:p>
        </w:tc>
      </w:tr>
    </w:tbl>
    <w:p>
      <w:pPr>
        <w:spacing w:after="180" w:before="60"/>
        <w:jc w:val="center"/>
      </w:pPr>
      <w:r>
        <w:rPr>
          <w:rFonts w:ascii="Calibri" w:cs="Calibri" w:eastAsia="Calibri" w:hAnsi="Calibri"/>
          <w:i/>
          <w:iCs/>
          <w:color w:val="555555"/>
          <w:sz w:val="19"/>
          <w:szCs w:val="19"/>
        </w:rPr>
        <w:t xml:space="preserve">Table 4.1: Anthropometric feature engineering for the Children Growth Prediction system.</w:t>
      </w:r>
    </w:p>
    <w:p>
      <w:pPr>
        <w:pStyle w:val="Heading2"/>
      </w:pPr>
      <w:r>
        <w:rPr>
          <w:rFonts w:ascii="Calibri" w:cs="Calibri" w:eastAsia="Calibri" w:hAnsi="Calibri"/>
          <w:b/>
          <w:bCs/>
        </w:rPr>
        <w:t xml:space="preserve">4.2 Longitudinal / Temporal Features</w:t>
      </w:r>
    </w:p>
    <w:p>
      <w:pPr>
        <w:spacing w:after="80" w:before="80" w:line="308"/>
        <w:jc w:val="both"/>
      </w:pPr>
      <w:r>
        <w:rPr>
          <w:rFonts w:ascii="Calibri" w:cs="Calibri" w:eastAsia="Calibri" w:hAnsi="Calibri"/>
          <w:sz w:val="22"/>
          <w:szCs w:val="22"/>
        </w:rPr>
        <w:t xml:space="preserve">The longitudinal nature of growth data creates a rich temporal feature space. For a child with n visits, we construct a visit-level feature vector that encodes both the current observation and the historical context:</w:t>
      </w:r>
    </w:p>
    <w:p>
      <w:pPr>
        <w:spacing w:after="140" w:before="140"/>
        <w:jc w:val="center"/>
      </w:pPr>
      <w:r>
        <w:rPr>
          <w:rFonts w:ascii="Cambria Math" w:cs="Cambria Math" w:eastAsia="Cambria Math" w:hAnsi="Cambria Math"/>
          <w:i/>
          <w:iCs/>
          <w:sz w:val="22"/>
          <w:szCs w:val="22"/>
        </w:rPr>
        <w:t xml:space="preserve">x_visit = [z_current, Δz_1, Δz_3, GV_H, GV_W, slope_3, slope_all, n_visits, age_at_first, gap_months]</w:t>
      </w:r>
      <w:r>
        <w:rPr>
          <w:rFonts w:ascii="Calibri" w:cs="Calibri" w:eastAsia="Calibri" w:hAnsi="Calibri"/>
          <w:color w:val="666666"/>
          <w:sz w:val="19"/>
          <w:szCs w:val="19"/>
        </w:rPr>
        <w:t xml:space="preserve">   (4.1)</w:t>
      </w:r>
    </w:p>
    <w:p>
      <w:pPr>
        <w:spacing w:after="80" w:before="80" w:line="308"/>
        <w:jc w:val="both"/>
      </w:pPr>
      <w:r>
        <w:rPr>
          <w:rFonts w:ascii="Calibri" w:cs="Calibri" w:eastAsia="Calibri" w:hAnsi="Calibri"/>
          <w:sz w:val="22"/>
          <w:szCs w:val="22"/>
        </w:rPr>
        <w:t xml:space="preserve">where z_current is the vector of current z-scores, Δz_k is the z-score change over the last k visits, GV is growth velocity, slope_k is the ordinary least-squares slope of the z-score trajectory over the last k visits, n_visits is the number of previous measurements, age_at_first is the age at enrollment, and gap_months is the time since the last visit.</w:t>
      </w:r>
    </w:p>
    <w:p>
      <w:pPr>
        <w:spacing w:after="80" w:before="80" w:line="308"/>
        <w:jc w:val="both"/>
      </w:pPr>
      <w:r>
        <w:rPr>
          <w:rFonts w:ascii="Calibri" w:cs="Calibri" w:eastAsia="Calibri" w:hAnsi="Calibri"/>
          <w:sz w:val="22"/>
          <w:szCs w:val="22"/>
        </w:rPr>
        <w:t xml:space="preserve">For deep learning models (LSTM, Transformer), the input is a sequence of visit vectors ordered chronologically. Missing visits are handled by including the time gap as an explicit feature and using masking in the attention mechanism rather than imputation, preserving the information that a visit was missed.</w:t>
      </w:r>
    </w:p>
    <w:p>
      <w:pPr>
        <w:spacing w:after="80" w:before="80" w:line="308"/>
        <w:jc w:val="both"/>
      </w:pPr>
      <w:r>
        <w:rPr>
          <w:rFonts w:ascii="Calibri" w:cs="Calibri" w:eastAsia="Calibri" w:hAnsi="Calibri"/>
          <w:sz w:val="22"/>
          <w:szCs w:val="22"/>
        </w:rPr>
        <w:t xml:space="preserve">Age normalization is critical: raw age in months grows monotonically and would dominate linear models. We use two complementary age representations: (1) fractional age (age_months / 60 for under-5 models) for continuous models, and (2) age-band indicators (0–6m, 6–12m, 12–24m, 24–36m, 36–60m, and so on) as categorical features for tree-based models.</w:t>
      </w:r>
    </w:p>
    <w:p>
      <w:pPr>
        <w:pStyle w:val="Heading2"/>
      </w:pPr>
      <w:r>
        <w:rPr>
          <w:rFonts w:ascii="Calibri" w:cs="Calibri" w:eastAsia="Calibri" w:hAnsi="Calibri"/>
          <w:b/>
          <w:bCs/>
        </w:rPr>
        <w:t xml:space="preserve">4.3 Clinical and Contextual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00"/>
        <w:gridCol w:w="2460"/>
      </w:tblGrid>
      <w:tr>
        <w:tc>
          <w:tcPr>
            <w:tcW w:type="dxa" w:w="18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Feature Group</w:t>
            </w:r>
          </w:p>
        </w:tc>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Key Variables</w:t>
            </w:r>
          </w:p>
        </w:tc>
        <w:tc>
          <w:tcPr>
            <w:tcW w:type="dxa" w:w="29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Engineering Approach</w:t>
            </w:r>
          </w:p>
        </w:tc>
        <w:tc>
          <w:tcPr>
            <w:tcW w:type="dxa" w:w="24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Typical Predictive Power</w:t>
            </w:r>
          </w:p>
        </w:tc>
      </w:tr>
      <w:tr>
        <w:tc>
          <w:tcPr>
            <w:tcW w:type="dxa" w:w="1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Gestational</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Gest. age weeks, SGA status, birth weight z-score</w:t>
            </w:r>
          </w:p>
        </w:tc>
        <w:tc>
          <w:tcPr>
            <w:tcW w:type="dxa" w:w="2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Preterm correction: subtract (40−GA)/4 months from age</w:t>
            </w:r>
          </w:p>
        </w:tc>
        <w:tc>
          <w:tcPr>
            <w:tcW w:type="dxa" w:w="24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Very High (0–24 months)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Illness burden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Diarrhea episodes, fever days, hospitalizations</w:t>
            </w:r>
          </w:p>
        </w:tc>
        <w:tc>
          <w:tcPr>
            <w:tcW w:type="dxa" w:w="2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Cumulative illness score; 30-day illness rate</w:t>
            </w:r>
          </w:p>
        </w:tc>
        <w:tc>
          <w:tcPr>
            <w:tcW w:type="dxa" w:w="24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 (wasting models)</w:t>
            </w:r>
          </w:p>
        </w:tc>
      </w:tr>
      <w:tr>
        <w:tc>
          <w:tcPr>
            <w:tcW w:type="dxa" w:w="1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Nutrition</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Breastfeeding duration, diet diversity, supplementation</w:t>
            </w:r>
          </w:p>
        </w:tc>
        <w:tc>
          <w:tcPr>
            <w:tcW w:type="dxa" w:w="2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IYCF score (WHO Infant &amp; Young Child Feeding)</w:t>
            </w:r>
          </w:p>
        </w:tc>
        <w:tc>
          <w:tcPr>
            <w:tcW w:type="dxa" w:w="24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 (stunting models)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MPH, mother education, father occupation</w:t>
            </w:r>
          </w:p>
        </w:tc>
        <w:tc>
          <w:tcPr>
            <w:tcW w:type="dxa" w:w="2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 genetic potential ratio: H/MPH</w:t>
            </w:r>
          </w:p>
        </w:tc>
        <w:tc>
          <w:tcPr>
            <w:tcW w:type="dxa" w:w="24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Very High (adult height)</w:t>
            </w:r>
          </w:p>
        </w:tc>
      </w:tr>
      <w:tr>
        <w:tc>
          <w:tcPr>
            <w:tcW w:type="dxa" w:w="1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Socioeconomic</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Wealth index, food security, water access</w:t>
            </w:r>
          </w:p>
        </w:tc>
        <w:tc>
          <w:tcPr>
            <w:tcW w:type="dxa" w:w="2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Composite SES score (PCA of 8 indicators)</w:t>
            </w:r>
          </w:p>
        </w:tc>
        <w:tc>
          <w:tcPr>
            <w:tcW w:type="dxa" w:w="24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Moderate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Pubertal</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Puberty stage (Tanner), menarche age</w:t>
            </w:r>
          </w:p>
        </w:tc>
        <w:tc>
          <w:tcPr>
            <w:tcW w:type="dxa" w:w="2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Pubertal timing z-score; peak height velocity age</w:t>
            </w:r>
          </w:p>
        </w:tc>
        <w:tc>
          <w:tcPr>
            <w:tcW w:type="dxa" w:w="24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Very High (age 8–18)</w:t>
            </w:r>
          </w:p>
        </w:tc>
      </w:tr>
      <w:tr>
        <w:tc>
          <w:tcPr>
            <w:tcW w:type="dxa" w:w="18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Comorbidity</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Chronic illness, disability, medications</w:t>
            </w:r>
          </w:p>
        </w:tc>
        <w:tc>
          <w:tcPr>
            <w:tcW w:type="dxa" w:w="2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ICD-10 comorbidity index; steroid use flag</w:t>
            </w:r>
          </w:p>
        </w:tc>
        <w:tc>
          <w:tcPr>
            <w:tcW w:type="dxa" w:w="24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 (specific subgroups)</w:t>
            </w:r>
          </w:p>
        </w:tc>
      </w:tr>
    </w:tbl>
    <w:p>
      <w:pPr>
        <w:spacing w:after="180" w:before="60"/>
        <w:jc w:val="center"/>
      </w:pPr>
      <w:r>
        <w:rPr>
          <w:rFonts w:ascii="Calibri" w:cs="Calibri" w:eastAsia="Calibri" w:hAnsi="Calibri"/>
          <w:i/>
          <w:iCs/>
          <w:color w:val="555555"/>
          <w:sz w:val="19"/>
          <w:szCs w:val="19"/>
        </w:rPr>
        <w:t xml:space="preserve">Table 4.2: Clinical and contextual feature groups with engineering approach.</w:t>
      </w:r>
    </w:p>
    <w:p>
      <w:pPr>
        <w:pStyle w:val="Heading2"/>
      </w:pPr>
      <w:r>
        <w:rPr>
          <w:rFonts w:ascii="Calibri" w:cs="Calibri" w:eastAsia="Calibri" w:hAnsi="Calibri"/>
          <w:b/>
          <w:bCs/>
        </w:rPr>
        <w:t xml:space="preserve">4.4 Reference Standard Features</w:t>
      </w:r>
    </w:p>
    <w:p>
      <w:pPr>
        <w:spacing w:after="80" w:before="80" w:line="308"/>
        <w:jc w:val="both"/>
      </w:pPr>
      <w:r>
        <w:rPr>
          <w:rFonts w:ascii="Calibri" w:cs="Calibri" w:eastAsia="Calibri" w:hAnsi="Calibri"/>
          <w:sz w:val="22"/>
          <w:szCs w:val="22"/>
        </w:rPr>
        <w:t xml:space="preserve">A key innovation in the feature engineering pipeline is the explicit inclusion of reference standard derived features. Rather than using raw measurements, we always transform to z-scores relative to the WHO/CDC reference before any downstream ML step. This provides scale-invariance across age groups, sex, and measurement occasions, and aligns the feature space with clinical interpretation.</w:t>
      </w:r>
    </w:p>
    <w:p>
      <w:pPr>
        <w:spacing w:after="80" w:before="80" w:line="308"/>
        <w:jc w:val="both"/>
      </w:pPr>
      <w:r>
        <w:rPr>
          <w:rFonts w:ascii="Calibri" w:cs="Calibri" w:eastAsia="Calibri" w:hAnsi="Calibri"/>
          <w:sz w:val="22"/>
          <w:szCs w:val="22"/>
        </w:rPr>
        <w:t xml:space="preserve">Additionally, we include derived 'distance to threshold' features that quantify how far a child is from clinical cutoffs, providing the ML model with a clinically semantically meaningful measure of risk proximity:</w:t>
      </w:r>
    </w:p>
    <w:p>
      <w:pPr>
        <w:spacing w:after="140" w:before="140"/>
        <w:jc w:val="center"/>
      </w:pPr>
      <w:r>
        <w:rPr>
          <w:rFonts w:ascii="Cambria Math" w:cs="Cambria Math" w:eastAsia="Cambria Math" w:hAnsi="Cambria Math"/>
          <w:i/>
          <w:iCs/>
          <w:sz w:val="22"/>
          <w:szCs w:val="22"/>
        </w:rPr>
        <w:t xml:space="preserve">dist_stunting(t) = HAZ(t) − (−2)  [positive = above threshold, negative = below]</w:t>
      </w:r>
      <w:r>
        <w:rPr>
          <w:rFonts w:ascii="Calibri" w:cs="Calibri" w:eastAsia="Calibri" w:hAnsi="Calibri"/>
          <w:color w:val="666666"/>
          <w:sz w:val="19"/>
          <w:szCs w:val="19"/>
        </w:rPr>
        <w:t xml:space="preserve">   (4.2)</w:t>
      </w:r>
    </w:p>
    <w:p>
      <w:pPr>
        <w:spacing w:after="140" w:before="140"/>
        <w:jc w:val="center"/>
      </w:pPr>
      <w:r>
        <w:rPr>
          <w:rFonts w:ascii="Cambria Math" w:cs="Cambria Math" w:eastAsia="Cambria Math" w:hAnsi="Cambria Math"/>
          <w:i/>
          <w:iCs/>
          <w:sz w:val="22"/>
          <w:szCs w:val="22"/>
        </w:rPr>
        <w:t xml:space="preserve">faltering_risk_score(t) = −min(0, ΔHAZ(last_3_visits)) × (2 − max(−2, HAZ(t)))</w:t>
      </w:r>
      <w:r>
        <w:rPr>
          <w:rFonts w:ascii="Calibri" w:cs="Calibri" w:eastAsia="Calibri" w:hAnsi="Calibri"/>
          <w:color w:val="666666"/>
          <w:sz w:val="19"/>
          <w:szCs w:val="19"/>
        </w:rPr>
        <w:t xml:space="preserve">   (4.3)</w:t>
      </w:r>
    </w:p>
    <w:p>
      <w:r>
        <w:br w:type="page"/>
      </w:r>
    </w:p>
    <w:p>
      <w:pPr>
        <w:pStyle w:val="Heading1"/>
      </w:pPr>
      <w:r>
        <w:rPr>
          <w:rFonts w:ascii="Calibri" w:cs="Calibri" w:eastAsia="Calibri" w:hAnsi="Calibri"/>
          <w:b/>
          <w:bCs/>
        </w:rPr>
        <w:t xml:space="preserve">5. Machine Learning Models</w:t>
      </w:r>
    </w:p>
    <w:p>
      <w:pPr>
        <w:spacing w:after="80" w:before="80" w:line="308"/>
        <w:jc w:val="both"/>
      </w:pPr>
      <w:r>
        <w:rPr>
          <w:rFonts w:ascii="Calibri" w:cs="Calibri" w:eastAsia="Calibri" w:hAnsi="Calibri"/>
          <w:sz w:val="22"/>
          <w:szCs w:val="22"/>
        </w:rPr>
        <w:t xml:space="preserve">The system implements a multi-model ensemble where each component model is selected for a specific prediction task and data richness scenario. The Wizard interface guides users to the appropriate model(s) based on their data availability and prediction objective.</w:t>
      </w:r>
    </w:p>
    <w:p>
      <w:pPr>
        <w:pStyle w:val="Heading2"/>
      </w:pPr>
      <w:r>
        <w:rPr>
          <w:rFonts w:ascii="Calibri" w:cs="Calibri" w:eastAsia="Calibri" w:hAnsi="Calibri"/>
          <w:b/>
          <w:bCs/>
        </w:rPr>
        <w:t xml:space="preserve">5.1 Linear Mixed-Effects Model (LME)</w:t>
      </w:r>
    </w:p>
    <w:p>
      <w:pPr>
        <w:spacing w:after="80" w:before="80" w:line="308"/>
        <w:jc w:val="both"/>
      </w:pPr>
      <w:r>
        <w:rPr>
          <w:rFonts w:ascii="Calibri" w:cs="Calibri" w:eastAsia="Calibri" w:hAnsi="Calibri"/>
          <w:sz w:val="22"/>
          <w:szCs w:val="22"/>
        </w:rPr>
        <w:t xml:space="preserve">The Linear Mixed-Effects model is the statistical workhorse for longitudinal growth data. It explicitly models the two-level data structure (measurements within children) and provides interpretable, clinically defensible parameter estimates. The general form for growth trajectory modelling is:</w:t>
      </w:r>
    </w:p>
    <w:p>
      <w:pPr>
        <w:spacing w:after="140" w:before="140"/>
        <w:jc w:val="center"/>
      </w:pPr>
      <w:r>
        <w:rPr>
          <w:rFonts w:ascii="Cambria Math" w:cs="Cambria Math" w:eastAsia="Cambria Math" w:hAnsi="Cambria Math"/>
          <w:i/>
          <w:iCs/>
          <w:sz w:val="22"/>
          <w:szCs w:val="22"/>
        </w:rPr>
        <w:t xml:space="preserve">y_ij = (β₀ + b₀ᵢ) + (β₁ + b₁ᵢ) × age_ij + β₂ × age_ij² + Σₖ βₖ xₖᵢⱼ + εᵢⱼ</w:t>
      </w:r>
      <w:r>
        <w:rPr>
          <w:rFonts w:ascii="Calibri" w:cs="Calibri" w:eastAsia="Calibri" w:hAnsi="Calibri"/>
          <w:color w:val="666666"/>
          <w:sz w:val="19"/>
          <w:szCs w:val="19"/>
        </w:rPr>
        <w:t xml:space="preserve">   (5.1)</w:t>
      </w:r>
    </w:p>
    <w:p>
      <w:pPr>
        <w:spacing w:after="80" w:before="80" w:line="308"/>
        <w:jc w:val="both"/>
      </w:pPr>
      <w:r>
        <w:rPr>
          <w:rFonts w:ascii="Calibri" w:cs="Calibri" w:eastAsia="Calibri" w:hAnsi="Calibri"/>
          <w:sz w:val="22"/>
          <w:szCs w:val="22"/>
        </w:rPr>
        <w:t xml:space="preserve">where y_ij is the z-score for child i at visit j; β₀ and β₁ are the fixed effects for intercept and age slope (population-average trajectory); b₀ᵢ ~ N(0,σ²_b0) and b₁ᵢ ~ N(0,σ²_b1) are child-specific random intercepts and slopes (capturing individual growth trajectories); βₖ xₖᵢⱼ are fixed effects for measured covariates; and εᵢⱼ ~ N(0,σ²) is the residual error.</w:t>
      </w:r>
    </w:p>
    <w:p>
      <w:pPr>
        <w:spacing w:after="80" w:before="80" w:line="308"/>
        <w:jc w:val="both"/>
      </w:pPr>
      <w:r>
        <w:rPr>
          <w:rFonts w:ascii="Calibri" w:cs="Calibri" w:eastAsia="Calibri" w:hAnsi="Calibri"/>
          <w:sz w:val="22"/>
          <w:szCs w:val="22"/>
        </w:rPr>
        <w:t xml:space="preserve">The random effects distribution is:</w:t>
      </w:r>
    </w:p>
    <w:p>
      <w:pPr>
        <w:spacing w:after="140" w:before="140"/>
        <w:jc w:val="center"/>
      </w:pPr>
      <w:r>
        <w:rPr>
          <w:rFonts w:ascii="Cambria Math" w:cs="Cambria Math" w:eastAsia="Cambria Math" w:hAnsi="Cambria Math"/>
          <w:i/>
          <w:iCs/>
          <w:sz w:val="22"/>
          <w:szCs w:val="22"/>
        </w:rPr>
        <w:t xml:space="preserve">b_i = (b₀ᵢ, b₁ᵢ) ~ N(0, Ψ) with Ψ = [[σ²_b0, σ_b01], [σ_b01, σ²_b1]]</w:t>
      </w:r>
      <w:r>
        <w:rPr>
          <w:rFonts w:ascii="Calibri" w:cs="Calibri" w:eastAsia="Calibri" w:hAnsi="Calibri"/>
          <w:color w:val="666666"/>
          <w:sz w:val="19"/>
          <w:szCs w:val="19"/>
        </w:rPr>
        <w:t xml:space="preserve">   (5.2)</w:t>
      </w:r>
    </w:p>
    <w:p>
      <w:pPr>
        <w:spacing w:after="80" w:before="80" w:line="308"/>
        <w:jc w:val="both"/>
      </w:pPr>
      <w:r>
        <w:rPr>
          <w:rFonts w:ascii="Calibri" w:cs="Calibri" w:eastAsia="Calibri" w:hAnsi="Calibri"/>
          <w:sz w:val="22"/>
          <w:szCs w:val="22"/>
        </w:rPr>
        <w:t xml:space="preserve">The covariance structure Ψ captures the correlation between individual growth starting points and individual growth rates — a child who starts above average tends to remain above average. Parameters are estimated by Restricted Maximum Likelihood (REML). For prediction, the Best Linear Unbiased Predictor (BLUP) combines the population-average trend with the child-specific random effect estimated from the child's observed trajectory:</w:t>
      </w:r>
    </w:p>
    <w:p>
      <w:pPr>
        <w:spacing w:after="140" w:before="140"/>
        <w:jc w:val="center"/>
      </w:pPr>
      <w:r>
        <w:rPr>
          <w:rFonts w:ascii="Cambria Math" w:cs="Cambria Math" w:eastAsia="Cambria Math" w:hAnsi="Cambria Math"/>
          <w:i/>
          <w:iCs/>
          <w:sz w:val="22"/>
          <w:szCs w:val="22"/>
        </w:rPr>
        <w:t xml:space="preserve">ŷ_{i,n+k} = β̂₀ + b̂₀ᵢ + (β̂₁ + b̂₁ᵢ)(age_{n+k}) + ...</w:t>
      </w:r>
      <w:r>
        <w:rPr>
          <w:rFonts w:ascii="Calibri" w:cs="Calibri" w:eastAsia="Calibri" w:hAnsi="Calibri"/>
          <w:color w:val="666666"/>
          <w:sz w:val="19"/>
          <w:szCs w:val="19"/>
        </w:rPr>
        <w:t xml:space="preserve">   (5.3)</w:t>
      </w:r>
    </w:p>
    <w:p>
      <w:pPr>
        <w:spacing w:after="80" w:before="80" w:line="308"/>
        <w:jc w:val="both"/>
      </w:pPr>
      <w:r>
        <w:rPr>
          <w:rFonts w:ascii="Calibri" w:cs="Calibri" w:eastAsia="Calibri" w:hAnsi="Calibri"/>
          <w:sz w:val="22"/>
          <w:szCs w:val="22"/>
        </w:rPr>
        <w:t xml:space="preserve">The LME is particularly valuable for: (a) datasets with few observations per child (&lt; 4 visits); (b) predicting medium-term trajectories (3-12 months); and (c) contexts requiring interpretable model parameters (clinical research publications). Implementation uses Python's statsmodels MixedLM or R's lme4 (via rpy2).</w:t>
      </w:r>
    </w:p>
    <w:p>
      <w:pPr>
        <w:pStyle w:val="Heading2"/>
      </w:pPr>
      <w:r>
        <w:rPr>
          <w:rFonts w:ascii="Calibri" w:cs="Calibri" w:eastAsia="Calibri" w:hAnsi="Calibri"/>
          <w:b/>
          <w:bCs/>
        </w:rPr>
        <w:t xml:space="preserve">5.2 Bayesian Hierarchical Growth Model</w:t>
      </w:r>
    </w:p>
    <w:p>
      <w:pPr>
        <w:spacing w:after="80" w:before="80" w:line="308"/>
        <w:jc w:val="both"/>
      </w:pPr>
      <w:r>
        <w:rPr>
          <w:rFonts w:ascii="Calibri" w:cs="Calibri" w:eastAsia="Calibri" w:hAnsi="Calibri"/>
          <w:sz w:val="22"/>
          <w:szCs w:val="22"/>
        </w:rPr>
        <w:t xml:space="preserve">The Bayesian approach extends the LME by: (1) providing full posterior predictive distributions rather than point estimates — critical for communicating clinical uncertainty; (2) naturally handling missing data through the generative model; and (3) incorporating informative priors from WHO growth standards, which is particularly valuable for children with sparse measurement histories.</w:t>
      </w:r>
    </w:p>
    <w:p>
      <w:pPr>
        <w:spacing w:after="80" w:before="80" w:line="308"/>
        <w:jc w:val="both"/>
      </w:pPr>
      <w:r>
        <w:rPr>
          <w:rFonts w:ascii="Calibri" w:cs="Calibri" w:eastAsia="Calibri" w:hAnsi="Calibri"/>
          <w:sz w:val="22"/>
          <w:szCs w:val="22"/>
        </w:rPr>
        <w:t xml:space="preserve">The Bayesian hierarchical growth model for HAZ is:</w:t>
      </w:r>
    </w:p>
    <w:p>
      <w:pPr>
        <w:spacing w:after="140" w:before="140"/>
        <w:jc w:val="center"/>
      </w:pPr>
      <w:r>
        <w:rPr>
          <w:rFonts w:ascii="Cambria Math" w:cs="Cambria Math" w:eastAsia="Cambria Math" w:hAnsi="Cambria Math"/>
          <w:i/>
          <w:iCs/>
          <w:sz w:val="22"/>
          <w:szCs w:val="22"/>
        </w:rPr>
        <w:t xml:space="preserve">HAZ_ij ~ N(μ_ij, σ²_ε)</w:t>
      </w:r>
      <w:r>
        <w:rPr>
          <w:rFonts w:ascii="Calibri" w:cs="Calibri" w:eastAsia="Calibri" w:hAnsi="Calibri"/>
          <w:color w:val="666666"/>
          <w:sz w:val="19"/>
          <w:szCs w:val="19"/>
        </w:rPr>
        <w:t xml:space="preserve">   (5.4)</w:t>
      </w:r>
    </w:p>
    <w:p>
      <w:pPr>
        <w:spacing w:after="140" w:before="140"/>
        <w:jc w:val="center"/>
      </w:pPr>
      <w:r>
        <w:rPr>
          <w:rFonts w:ascii="Cambria Math" w:cs="Cambria Math" w:eastAsia="Cambria Math" w:hAnsi="Cambria Math"/>
          <w:i/>
          <w:iCs/>
          <w:sz w:val="22"/>
          <w:szCs w:val="22"/>
        </w:rPr>
        <w:t xml:space="preserve">μ_ij = α_i + β_i × age_ij + γ × age_ij² + Σₖ δₖ × xₖᵢⱼ</w:t>
      </w:r>
      <w:r>
        <w:rPr>
          <w:rFonts w:ascii="Calibri" w:cs="Calibri" w:eastAsia="Calibri" w:hAnsi="Calibri"/>
          <w:color w:val="666666"/>
          <w:sz w:val="19"/>
          <w:szCs w:val="19"/>
        </w:rPr>
        <w:t xml:space="preserve">   (5.5)</w:t>
      </w:r>
    </w:p>
    <w:p>
      <w:pPr>
        <w:spacing w:after="140" w:before="140"/>
        <w:jc w:val="center"/>
      </w:pPr>
      <w:r>
        <w:rPr>
          <w:rFonts w:ascii="Cambria Math" w:cs="Cambria Math" w:eastAsia="Cambria Math" w:hAnsi="Cambria Math"/>
          <w:i/>
          <w:iCs/>
          <w:sz w:val="22"/>
          <w:szCs w:val="22"/>
        </w:rPr>
        <w:t xml:space="preserve">[α_i, β_i] ~ MVN([μ_α, μ_β], Ψ)</w:t>
      </w:r>
      <w:r>
        <w:rPr>
          <w:rFonts w:ascii="Calibri" w:cs="Calibri" w:eastAsia="Calibri" w:hAnsi="Calibri"/>
          <w:color w:val="666666"/>
          <w:sz w:val="19"/>
          <w:szCs w:val="19"/>
        </w:rPr>
        <w:t xml:space="preserve">   (5.6)</w:t>
      </w:r>
    </w:p>
    <w:p>
      <w:pPr>
        <w:spacing w:after="140" w:before="140"/>
        <w:jc w:val="center"/>
      </w:pPr>
      <w:r>
        <w:rPr>
          <w:rFonts w:ascii="Cambria Math" w:cs="Cambria Math" w:eastAsia="Cambria Math" w:hAnsi="Cambria Math"/>
          <w:i/>
          <w:iCs/>
          <w:sz w:val="22"/>
          <w:szCs w:val="22"/>
        </w:rPr>
        <w:t xml:space="preserve">μ_α ~ N(0, 1);  μ_β ~ N(0, 0.01);  σ_ε ~ HalfNormal(0.5)</w:t>
      </w:r>
      <w:r>
        <w:rPr>
          <w:rFonts w:ascii="Calibri" w:cs="Calibri" w:eastAsia="Calibri" w:hAnsi="Calibri"/>
          <w:color w:val="666666"/>
          <w:sz w:val="19"/>
          <w:szCs w:val="19"/>
        </w:rPr>
        <w:t xml:space="preserve">   (5.7)</w:t>
      </w:r>
    </w:p>
    <w:p>
      <w:pPr>
        <w:spacing w:after="80" w:before="80" w:line="308"/>
        <w:jc w:val="both"/>
      </w:pPr>
      <w:r>
        <w:rPr>
          <w:rFonts w:ascii="Calibri" w:cs="Calibri" w:eastAsia="Calibri" w:hAnsi="Calibri"/>
          <w:sz w:val="22"/>
          <w:szCs w:val="22"/>
        </w:rPr>
        <w:t xml:space="preserve">where priors on μ_α and μ_β are weakly informative based on WHO growth standard properties. The posterior predictive distribution for a future measurement is:</w:t>
      </w:r>
    </w:p>
    <w:p>
      <w:pPr>
        <w:spacing w:after="140" w:before="140"/>
        <w:jc w:val="center"/>
      </w:pPr>
      <w:r>
        <w:rPr>
          <w:rFonts w:ascii="Cambria Math" w:cs="Cambria Math" w:eastAsia="Cambria Math" w:hAnsi="Cambria Math"/>
          <w:i/>
          <w:iCs/>
          <w:sz w:val="22"/>
          <w:szCs w:val="22"/>
        </w:rPr>
        <w:t xml:space="preserve">p(HAZ_{n+k} | HAZ₁:ₙ, x₁:ₙ₊ₖ) = ∫ p(HAZ_{n+k} | θ) p(θ | HAZ₁:ₙ) dθ</w:t>
      </w:r>
      <w:r>
        <w:rPr>
          <w:rFonts w:ascii="Calibri" w:cs="Calibri" w:eastAsia="Calibri" w:hAnsi="Calibri"/>
          <w:color w:val="666666"/>
          <w:sz w:val="19"/>
          <w:szCs w:val="19"/>
        </w:rPr>
        <w:t xml:space="preserve">   (5.8)</w:t>
      </w:r>
    </w:p>
    <w:p>
      <w:pPr>
        <w:spacing w:after="80" w:before="80" w:line="308"/>
        <w:jc w:val="both"/>
      </w:pPr>
      <w:r>
        <w:rPr>
          <w:rFonts w:ascii="Calibri" w:cs="Calibri" w:eastAsia="Calibri" w:hAnsi="Calibri"/>
          <w:sz w:val="22"/>
          <w:szCs w:val="22"/>
        </w:rPr>
        <w:t xml:space="preserve">This is approximated using No-U-Turn Sampler (NUTS) MCMC via PyMC. Predictive intervals from the posterior are directly communicated to clinicians as probability bands around the growth trajectory chart, providing calibrated uncertainty quantification.</w:t>
      </w:r>
    </w:p>
    <w:p>
      <w:pPr>
        <w:pStyle w:val="Heading2"/>
      </w:pPr>
      <w:r>
        <w:rPr>
          <w:rFonts w:ascii="Calibri" w:cs="Calibri" w:eastAsia="Calibri" w:hAnsi="Calibri"/>
          <w:b/>
          <w:bCs/>
        </w:rPr>
        <w:t xml:space="preserve">5.3 Gradient Boosted Trees (XGBoost / LightGBM)</w:t>
      </w:r>
    </w:p>
    <w:p>
      <w:pPr>
        <w:spacing w:after="80" w:before="80" w:line="308"/>
        <w:jc w:val="both"/>
      </w:pPr>
      <w:r>
        <w:rPr>
          <w:rFonts w:ascii="Calibri" w:cs="Calibri" w:eastAsia="Calibri" w:hAnsi="Calibri"/>
          <w:sz w:val="22"/>
          <w:szCs w:val="22"/>
        </w:rPr>
        <w:t xml:space="preserve">Gradient boosted trees are the highest-performing algorithm for tabular prediction tasks and consistently outperform LME and simpler ML models for short-term growth prediction when feature engineering is thorough. The model learns non-linear relationships between the engineered feature vector and the target z-score:</w:t>
      </w:r>
    </w:p>
    <w:p>
      <w:pPr>
        <w:spacing w:after="140" w:before="140"/>
        <w:jc w:val="center"/>
      </w:pPr>
      <w:r>
        <w:rPr>
          <w:rFonts w:ascii="Cambria Math" w:cs="Cambria Math" w:eastAsia="Cambria Math" w:hAnsi="Cambria Math"/>
          <w:i/>
          <w:iCs/>
          <w:sz w:val="22"/>
          <w:szCs w:val="22"/>
        </w:rPr>
        <w:t xml:space="preserve">ŷᵢ = Σₜ₌₁ᵀ fₜ(x_visit_i)</w:t>
      </w:r>
      <w:r>
        <w:rPr>
          <w:rFonts w:ascii="Calibri" w:cs="Calibri" w:eastAsia="Calibri" w:hAnsi="Calibri"/>
          <w:color w:val="666666"/>
          <w:sz w:val="19"/>
          <w:szCs w:val="19"/>
        </w:rPr>
        <w:t xml:space="preserve">   (5.9)</w:t>
      </w:r>
    </w:p>
    <w:p>
      <w:pPr>
        <w:spacing w:after="80" w:before="80" w:line="308"/>
        <w:jc w:val="both"/>
      </w:pPr>
      <w:r>
        <w:rPr>
          <w:rFonts w:ascii="Calibri" w:cs="Calibri" w:eastAsia="Calibri" w:hAnsi="Calibri"/>
          <w:sz w:val="22"/>
          <w:szCs w:val="22"/>
        </w:rPr>
        <w:t xml:space="preserve">where each fₜ is a decision tree and the ensemble is trained by minimizing the regularized objective:</w:t>
      </w:r>
    </w:p>
    <w:p>
      <w:pPr>
        <w:spacing w:after="140" w:before="140"/>
        <w:jc w:val="center"/>
      </w:pPr>
      <w:r>
        <w:rPr>
          <w:rFonts w:ascii="Cambria Math" w:cs="Cambria Math" w:eastAsia="Cambria Math" w:hAnsi="Cambria Math"/>
          <w:i/>
          <w:iCs/>
          <w:sz w:val="22"/>
          <w:szCs w:val="22"/>
        </w:rPr>
        <w:t xml:space="preserve">Obj = Σᵢ [ l(yᵢ, ŷᵢ) + Σₜ Ω(fₜ) ]   with  l = (yᵢ − ŷᵢ)²</w:t>
      </w:r>
      <w:r>
        <w:rPr>
          <w:rFonts w:ascii="Calibri" w:cs="Calibri" w:eastAsia="Calibri" w:hAnsi="Calibri"/>
          <w:color w:val="666666"/>
          <w:sz w:val="19"/>
          <w:szCs w:val="19"/>
        </w:rPr>
        <w:t xml:space="preserve">   (5.10)</w:t>
      </w:r>
    </w:p>
    <w:p>
      <w:pPr>
        <w:spacing w:after="80" w:before="80" w:line="308"/>
        <w:jc w:val="both"/>
      </w:pPr>
      <w:r>
        <w:rPr>
          <w:rFonts w:ascii="Calibri" w:cs="Calibri" w:eastAsia="Calibri" w:hAnsi="Calibri"/>
          <w:sz w:val="22"/>
          <w:szCs w:val="22"/>
        </w:rPr>
        <w:t xml:space="preserve">For the faltering detection task (binary classification), the objective becomes cross-entropy loss with calibration adjustment. Class imbalance (typical faltering rate: 10-25%) is handled by scale_pos_weight in XGBoost.</w:t>
      </w:r>
    </w:p>
    <w:p>
      <w:pPr>
        <w:spacing w:after="80" w:before="80" w:line="308"/>
        <w:jc w:val="both"/>
      </w:pPr>
      <w:r>
        <w:rPr>
          <w:rFonts w:ascii="Calibri" w:cs="Calibri" w:eastAsia="Calibri" w:hAnsi="Calibri"/>
          <w:sz w:val="22"/>
          <w:szCs w:val="22"/>
        </w:rPr>
        <w:t xml:space="preserve">Critical hyperparameters for growth prediction with GBM (from the HP Advisor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Parameter</w:t>
            </w:r>
          </w:p>
        </w:tc>
        <w:tc>
          <w:tcPr>
            <w:tcW w:type="dxa" w:w="19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Recommended Value</w:t>
            </w:r>
          </w:p>
        </w:tc>
        <w:tc>
          <w:tcPr>
            <w:tcW w:type="dxa" w:w="52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Reasoning</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n_estimators</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300–500</w:t>
            </w:r>
          </w:p>
        </w:tc>
        <w:tc>
          <w:tcPr>
            <w:tcW w:type="dxa" w:w="5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data has moderate n; more trees reduce variance in noisy measurements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max_depth</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4–6</w:t>
            </w:r>
          </w:p>
        </w:tc>
        <w:tc>
          <w:tcPr>
            <w:tcW w:type="dxa" w:w="5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Moderate depth captures age×sex×nutrition interactions without overfitting</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learning_rate</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0.05–0.10</w:t>
            </w:r>
          </w:p>
        </w:tc>
        <w:tc>
          <w:tcPr>
            <w:tcW w:type="dxa" w:w="5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Conservative; growth patterns are smooth, not highly non-linear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subsample</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w:t>
            </w:r>
          </w:p>
        </w:tc>
        <w:tc>
          <w:tcPr>
            <w:tcW w:type="dxa" w:w="5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Row sampling reduces sensitivity to irregular visit spacing outliers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colsample_bytree</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w:t>
            </w:r>
          </w:p>
        </w:tc>
        <w:tc>
          <w:tcPr>
            <w:tcW w:type="dxa" w:w="5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Feature sampling forces model to learn robust, non-redundant patterns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min_child_weight</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5–20</w:t>
            </w:r>
          </w:p>
        </w:tc>
        <w:tc>
          <w:tcPr>
            <w:tcW w:type="dxa" w:w="5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Higher threshold critical for small subgroups (preterm, twins)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scale_pos_weight</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n_normal/n_faltering</w:t>
            </w:r>
          </w:p>
        </w:tc>
        <w:tc>
          <w:tcPr>
            <w:tcW w:type="dxa" w:w="52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Essential for imbalanced faltering detection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reg_alpha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w:t>
            </w:r>
          </w:p>
        </w:tc>
        <w:tc>
          <w:tcPr>
            <w:tcW w:type="dxa" w:w="52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Light L1 for implicit feature selection among correlated z-score features</w:t>
            </w:r>
          </w:p>
        </w:tc>
      </w:tr>
    </w:tbl>
    <w:p>
      <w:pPr>
        <w:spacing w:after="180" w:before="60"/>
        <w:jc w:val="center"/>
      </w:pPr>
      <w:r>
        <w:rPr>
          <w:rFonts w:ascii="Calibri" w:cs="Calibri" w:eastAsia="Calibri" w:hAnsi="Calibri"/>
          <w:i/>
          <w:iCs/>
          <w:color w:val="555555"/>
          <w:sz w:val="19"/>
          <w:szCs w:val="19"/>
        </w:rPr>
        <w:t xml:space="preserve">Table 5.1: Recommended XGBoost hyperparameters for children growth prediction.</w:t>
      </w:r>
    </w:p>
    <w:p>
      <w:pPr>
        <w:pStyle w:val="Heading2"/>
      </w:pPr>
      <w:r>
        <w:rPr>
          <w:rFonts w:ascii="Calibri" w:cs="Calibri" w:eastAsia="Calibri" w:hAnsi="Calibri"/>
          <w:b/>
          <w:bCs/>
        </w:rPr>
        <w:t xml:space="preserve">5.4 LSTM-Based Longitudinal Predictor</w:t>
      </w:r>
    </w:p>
    <w:p>
      <w:pPr>
        <w:spacing w:after="80" w:before="80" w:line="308"/>
        <w:jc w:val="both"/>
      </w:pPr>
      <w:r>
        <w:rPr>
          <w:rFonts w:ascii="Calibri" w:cs="Calibri" w:eastAsia="Calibri" w:hAnsi="Calibri"/>
          <w:sz w:val="22"/>
          <w:szCs w:val="22"/>
        </w:rPr>
        <w:t xml:space="preserve">Long Short-Term Memory (LSTM) networks are the natural choice for sequence modelling of growth trajectories because they explicitly model temporal dependencies across an arbitrary-length visit sequence. The LSTM processes the growth visit sequence h_t = (HAZ_t, WAZ_t, WHZ_t, age_t, gap_months_t, features_t) step by step:</w:t>
      </w:r>
    </w:p>
    <w:p>
      <w:pPr>
        <w:spacing w:after="140" w:before="140"/>
        <w:jc w:val="center"/>
      </w:pPr>
      <w:r>
        <w:rPr>
          <w:rFonts w:ascii="Cambria Math" w:cs="Cambria Math" w:eastAsia="Cambria Math" w:hAnsi="Cambria Math"/>
          <w:i/>
          <w:iCs/>
          <w:sz w:val="22"/>
          <w:szCs w:val="22"/>
        </w:rPr>
        <w:t xml:space="preserve">f_t = σ(W_f · [h_{t-1}, x_t] + b_f)          [forget gate]</w:t>
      </w:r>
      <w:r>
        <w:rPr>
          <w:rFonts w:ascii="Calibri" w:cs="Calibri" w:eastAsia="Calibri" w:hAnsi="Calibri"/>
          <w:color w:val="666666"/>
          <w:sz w:val="19"/>
          <w:szCs w:val="19"/>
        </w:rPr>
        <w:t xml:space="preserve">   (5.11)</w:t>
      </w:r>
    </w:p>
    <w:p>
      <w:pPr>
        <w:spacing w:after="140" w:before="140"/>
        <w:jc w:val="center"/>
      </w:pPr>
      <w:r>
        <w:rPr>
          <w:rFonts w:ascii="Cambria Math" w:cs="Cambria Math" w:eastAsia="Cambria Math" w:hAnsi="Cambria Math"/>
          <w:i/>
          <w:iCs/>
          <w:sz w:val="22"/>
          <w:szCs w:val="22"/>
        </w:rPr>
        <w:t xml:space="preserve">i_t = σ(W_i · [h_{t-1}, x_t] + b_i)          [input gate]</w:t>
      </w:r>
      <w:r>
        <w:rPr>
          <w:rFonts w:ascii="Calibri" w:cs="Calibri" w:eastAsia="Calibri" w:hAnsi="Calibri"/>
          <w:color w:val="666666"/>
          <w:sz w:val="19"/>
          <w:szCs w:val="19"/>
        </w:rPr>
        <w:t xml:space="preserve">   (5.12)</w:t>
      </w:r>
    </w:p>
    <w:p>
      <w:pPr>
        <w:spacing w:after="140" w:before="140"/>
        <w:jc w:val="center"/>
      </w:pPr>
      <w:r>
        <w:rPr>
          <w:rFonts w:ascii="Cambria Math" w:cs="Cambria Math" w:eastAsia="Cambria Math" w:hAnsi="Cambria Math"/>
          <w:i/>
          <w:iCs/>
          <w:sz w:val="22"/>
          <w:szCs w:val="22"/>
        </w:rPr>
        <w:t xml:space="preserve">c̃_t = tanh(W_c · [h_{t-1}, x_t] + b_c)       [candidate cell]</w:t>
      </w:r>
      <w:r>
        <w:rPr>
          <w:rFonts w:ascii="Calibri" w:cs="Calibri" w:eastAsia="Calibri" w:hAnsi="Calibri"/>
          <w:color w:val="666666"/>
          <w:sz w:val="19"/>
          <w:szCs w:val="19"/>
        </w:rPr>
        <w:t xml:space="preserve">   (5.13)</w:t>
      </w:r>
    </w:p>
    <w:p>
      <w:pPr>
        <w:spacing w:after="140" w:before="140"/>
        <w:jc w:val="center"/>
      </w:pPr>
      <w:r>
        <w:rPr>
          <w:rFonts w:ascii="Cambria Math" w:cs="Cambria Math" w:eastAsia="Cambria Math" w:hAnsi="Cambria Math"/>
          <w:i/>
          <w:iCs/>
          <w:sz w:val="22"/>
          <w:szCs w:val="22"/>
        </w:rPr>
        <w:t xml:space="preserve">c_t = f_t ⊙ c_{t-1} + i_t ⊙ c̃_t              [cell state update]</w:t>
      </w:r>
      <w:r>
        <w:rPr>
          <w:rFonts w:ascii="Calibri" w:cs="Calibri" w:eastAsia="Calibri" w:hAnsi="Calibri"/>
          <w:color w:val="666666"/>
          <w:sz w:val="19"/>
          <w:szCs w:val="19"/>
        </w:rPr>
        <w:t xml:space="preserve">   (5.14)</w:t>
      </w:r>
    </w:p>
    <w:p>
      <w:pPr>
        <w:spacing w:after="140" w:before="140"/>
        <w:jc w:val="center"/>
      </w:pPr>
      <w:r>
        <w:rPr>
          <w:rFonts w:ascii="Cambria Math" w:cs="Cambria Math" w:eastAsia="Cambria Math" w:hAnsi="Cambria Math"/>
          <w:i/>
          <w:iCs/>
          <w:sz w:val="22"/>
          <w:szCs w:val="22"/>
        </w:rPr>
        <w:t xml:space="preserve">o_t = σ(W_o · [h_{t-1}, x_t] + b_o)          [output gate]</w:t>
      </w:r>
      <w:r>
        <w:rPr>
          <w:rFonts w:ascii="Calibri" w:cs="Calibri" w:eastAsia="Calibri" w:hAnsi="Calibri"/>
          <w:color w:val="666666"/>
          <w:sz w:val="19"/>
          <w:szCs w:val="19"/>
        </w:rPr>
        <w:t xml:space="preserve">   (5.15)</w:t>
      </w:r>
    </w:p>
    <w:p>
      <w:pPr>
        <w:spacing w:after="140" w:before="140"/>
        <w:jc w:val="center"/>
      </w:pPr>
      <w:r>
        <w:rPr>
          <w:rFonts w:ascii="Cambria Math" w:cs="Cambria Math" w:eastAsia="Cambria Math" w:hAnsi="Cambria Math"/>
          <w:i/>
          <w:iCs/>
          <w:sz w:val="22"/>
          <w:szCs w:val="22"/>
        </w:rPr>
        <w:t xml:space="preserve">h_t = o_t ⊙ tanh(c_t)                         [hidden state]</w:t>
      </w:r>
      <w:r>
        <w:rPr>
          <w:rFonts w:ascii="Calibri" w:cs="Calibri" w:eastAsia="Calibri" w:hAnsi="Calibri"/>
          <w:color w:val="666666"/>
          <w:sz w:val="19"/>
          <w:szCs w:val="19"/>
        </w:rPr>
        <w:t xml:space="preserve">   (5.16)</w:t>
      </w:r>
    </w:p>
    <w:p>
      <w:pPr>
        <w:spacing w:after="80" w:before="80" w:line="308"/>
        <w:jc w:val="both"/>
      </w:pPr>
      <w:r>
        <w:rPr>
          <w:rFonts w:ascii="Calibri" w:cs="Calibri" w:eastAsia="Calibri" w:hAnsi="Calibri"/>
          <w:sz w:val="22"/>
          <w:szCs w:val="22"/>
        </w:rPr>
        <w:t xml:space="preserve">where σ is the sigmoid function, tanh is the hyperbolic tangent, and ⊙ is element-wise multiplication. The hidden state h_t encodes a compressed representation of the child's growth history up to visit t. The prediction head maps h_t to the target:</w:t>
      </w:r>
    </w:p>
    <w:p>
      <w:pPr>
        <w:spacing w:after="140" w:before="140"/>
        <w:jc w:val="center"/>
      </w:pPr>
      <w:r>
        <w:rPr>
          <w:rFonts w:ascii="Cambria Math" w:cs="Cambria Math" w:eastAsia="Cambria Math" w:hAnsi="Cambria Math"/>
          <w:i/>
          <w:iCs/>
          <w:sz w:val="22"/>
          <w:szCs w:val="22"/>
        </w:rPr>
        <w:t xml:space="preserve">ŷ_{t+k} = W_out · Dropout(h_t) + b_out</w:t>
      </w:r>
      <w:r>
        <w:rPr>
          <w:rFonts w:ascii="Calibri" w:cs="Calibri" w:eastAsia="Calibri" w:hAnsi="Calibri"/>
          <w:color w:val="666666"/>
          <w:sz w:val="19"/>
          <w:szCs w:val="19"/>
        </w:rPr>
        <w:t xml:space="preserve">   (5.17)</w:t>
      </w:r>
    </w:p>
    <w:p>
      <w:pPr>
        <w:spacing w:after="80" w:before="80" w:line="308"/>
        <w:jc w:val="both"/>
      </w:pPr>
      <w:r>
        <w:rPr>
          <w:rFonts w:ascii="Calibri" w:cs="Calibri" w:eastAsia="Calibri" w:hAnsi="Calibri"/>
          <w:sz w:val="22"/>
          <w:szCs w:val="22"/>
        </w:rPr>
        <w:t xml:space="preserve">The LSTM architecture for growth prediction uses: 2 LSTM layers (128 and 64 hidden units), dropout=0.3 between layers, a time-distributed dense layer for multi-step prediction, and a final linear output for z-score regression or sigmoid for faltering classification.</w:t>
      </w:r>
    </w:p>
    <w:p>
      <w:pPr>
        <w:spacing w:after="80" w:before="80" w:line="308"/>
        <w:jc w:val="both"/>
      </w:pPr>
      <w:r>
        <w:rPr>
          <w:rFonts w:ascii="Calibri" w:cs="Calibri" w:eastAsia="Calibri" w:hAnsi="Calibri"/>
          <w:sz w:val="22"/>
          <w:szCs w:val="22"/>
        </w:rPr>
        <w:t xml:space="preserve">The key advantage of LSTM over GBM for this application is its ability to model irregular time intervals natively by including gap_months as an input feature, and its capacity to capture complex non-linear temporal dependencies (e.g., the interaction between current illness burden and the rate of z-score recovery conditional on past recovery episodes).</w:t>
      </w:r>
    </w:p>
    <w:p>
      <w:pPr>
        <w:pStyle w:val="Heading2"/>
      </w:pPr>
      <w:r>
        <w:rPr>
          <w:rFonts w:ascii="Calibri" w:cs="Calibri" w:eastAsia="Calibri" w:hAnsi="Calibri"/>
          <w:b/>
          <w:bCs/>
        </w:rPr>
        <w:t xml:space="preserve">5.5 Transformer for Growth Sequences</w:t>
      </w:r>
    </w:p>
    <w:p>
      <w:pPr>
        <w:spacing w:after="80" w:before="80" w:line="308"/>
        <w:jc w:val="both"/>
      </w:pPr>
      <w:r>
        <w:rPr>
          <w:rFonts w:ascii="Calibri" w:cs="Calibri" w:eastAsia="Calibri" w:hAnsi="Calibri"/>
          <w:sz w:val="22"/>
          <w:szCs w:val="22"/>
        </w:rPr>
        <w:t xml:space="preserve">The Transformer architecture with self-attention provides an alternative to LSTM that handles long-range dependencies more effectively and can be pre-trained on large growth datasets. For growth sequences, we use a causal (decoder-only) Transformer with positional encoding based on age rather than sequence position:</w:t>
      </w:r>
    </w:p>
    <w:p>
      <w:pPr>
        <w:spacing w:after="140" w:before="140"/>
        <w:jc w:val="center"/>
      </w:pPr>
      <w:r>
        <w:rPr>
          <w:rFonts w:ascii="Cambria Math" w:cs="Cambria Math" w:eastAsia="Cambria Math" w:hAnsi="Cambria Math"/>
          <w:i/>
          <w:iCs/>
          <w:sz w:val="22"/>
          <w:szCs w:val="22"/>
        </w:rPr>
        <w:t xml:space="preserve">PE(age_t) = [sin(age_t / 10000^{2i/d}), cos(age_t / 10000^{2i/d})]  ∀i ∈ {0,...,d/2}</w:t>
      </w:r>
      <w:r>
        <w:rPr>
          <w:rFonts w:ascii="Calibri" w:cs="Calibri" w:eastAsia="Calibri" w:hAnsi="Calibri"/>
          <w:color w:val="666666"/>
          <w:sz w:val="19"/>
          <w:szCs w:val="19"/>
        </w:rPr>
        <w:t xml:space="preserve">   (5.18)</w:t>
      </w:r>
    </w:p>
    <w:p>
      <w:pPr>
        <w:spacing w:after="80" w:before="80" w:line="308"/>
        <w:jc w:val="both"/>
      </w:pPr>
      <w:r>
        <w:rPr>
          <w:rFonts w:ascii="Calibri" w:cs="Calibri" w:eastAsia="Calibri" w:hAnsi="Calibri"/>
          <w:sz w:val="22"/>
          <w:szCs w:val="22"/>
        </w:rPr>
        <w:t xml:space="preserve">This age-based positional encoding preserves the irregular time structure of growth visits better than standard integer-position encoding. The self-attention mechanism computes:</w:t>
      </w:r>
    </w:p>
    <w:p>
      <w:pPr>
        <w:spacing w:after="140" w:before="140"/>
        <w:jc w:val="center"/>
      </w:pPr>
      <w:r>
        <w:rPr>
          <w:rFonts w:ascii="Cambria Math" w:cs="Cambria Math" w:eastAsia="Cambria Math" w:hAnsi="Cambria Math"/>
          <w:i/>
          <w:iCs/>
          <w:sz w:val="22"/>
          <w:szCs w:val="22"/>
        </w:rPr>
        <w:t xml:space="preserve">Attention(Q,K,V) = softmax(QK^T / √d_k) V</w:t>
      </w:r>
      <w:r>
        <w:rPr>
          <w:rFonts w:ascii="Calibri" w:cs="Calibri" w:eastAsia="Calibri" w:hAnsi="Calibri"/>
          <w:color w:val="666666"/>
          <w:sz w:val="19"/>
          <w:szCs w:val="19"/>
        </w:rPr>
        <w:t xml:space="preserve">   (5.19)</w:t>
      </w:r>
    </w:p>
    <w:p>
      <w:pPr>
        <w:spacing w:after="80" w:before="80" w:line="308"/>
        <w:jc w:val="both"/>
      </w:pPr>
      <w:r>
        <w:rPr>
          <w:rFonts w:ascii="Calibri" w:cs="Calibri" w:eastAsia="Calibri" w:hAnsi="Calibri"/>
          <w:sz w:val="22"/>
          <w:szCs w:val="22"/>
        </w:rPr>
        <w:t xml:space="preserve">where queries Q, keys K, and values V are linear projections of the visit embedding sequence. The causal mask ensures that prediction at visit t only attends to visits 1, ..., t-1 (no future leakage).</w:t>
      </w:r>
    </w:p>
    <w:p>
      <w:pPr>
        <w:spacing w:after="80" w:before="80" w:line="308"/>
        <w:jc w:val="both"/>
      </w:pPr>
      <w:r>
        <w:rPr>
          <w:rFonts w:ascii="Calibri" w:cs="Calibri" w:eastAsia="Calibri" w:hAnsi="Calibri"/>
          <w:sz w:val="22"/>
          <w:szCs w:val="22"/>
        </w:rPr>
        <w:t xml:space="preserve">A GrowthFormer model (4 attention heads, 3 Transformer blocks, d_model=128, feedforward_dim=256) is pre-trained on the combined WHO MGRS + NHANES + COHORTS datasets (~50,000 children) and fine-tuned on the deployment organization's data. This transfer learning approach is particularly valuable for small clinical datasets (&lt; 500 children) where de-novo LSTM training would overfit.</w:t>
      </w:r>
    </w:p>
    <w:p>
      <w:pPr>
        <w:pStyle w:val="Heading2"/>
      </w:pPr>
      <w:r>
        <w:rPr>
          <w:rFonts w:ascii="Calibri" w:cs="Calibri" w:eastAsia="Calibri" w:hAnsi="Calibri"/>
          <w:b/>
          <w:bCs/>
        </w:rPr>
        <w:t xml:space="preserve">5.6 Ensemble Strategy</w:t>
      </w:r>
    </w:p>
    <w:p>
      <w:pPr>
        <w:spacing w:after="80" w:before="80" w:line="308"/>
        <w:jc w:val="both"/>
      </w:pPr>
      <w:r>
        <w:rPr>
          <w:rFonts w:ascii="Calibri" w:cs="Calibri" w:eastAsia="Calibri" w:hAnsi="Calibri"/>
          <w:sz w:val="22"/>
          <w:szCs w:val="22"/>
        </w:rPr>
        <w:t xml:space="preserve">The final prediction system uses a stacked ensemble that combines predictions from the LME, GBM, and LSTM/Transformer models. The stacking meta-learner is a ridge regression model trained on out-of-fold predictions:</w:t>
      </w:r>
    </w:p>
    <w:p>
      <w:pPr>
        <w:spacing w:after="140" w:before="140"/>
        <w:jc w:val="center"/>
      </w:pPr>
      <w:r>
        <w:rPr>
          <w:rFonts w:ascii="Cambria Math" w:cs="Cambria Math" w:eastAsia="Cambria Math" w:hAnsi="Cambria Math"/>
          <w:i/>
          <w:iCs/>
          <w:sz w:val="22"/>
          <w:szCs w:val="22"/>
        </w:rPr>
        <w:t xml:space="preserve">ŷ_final = α₁ · ŷ_LME + α₂ · ŷ_GBM + α₃ · ŷ_LSTM   s.t. Σ αᵢ = 1, αᵢ ≥ 0</w:t>
      </w:r>
      <w:r>
        <w:rPr>
          <w:rFonts w:ascii="Calibri" w:cs="Calibri" w:eastAsia="Calibri" w:hAnsi="Calibri"/>
          <w:color w:val="666666"/>
          <w:sz w:val="19"/>
          <w:szCs w:val="19"/>
        </w:rPr>
        <w:t xml:space="preserve">   (5.20)</w:t>
      </w:r>
    </w:p>
    <w:p>
      <w:pPr>
        <w:spacing w:after="80" w:before="80" w:line="308"/>
        <w:jc w:val="both"/>
      </w:pPr>
      <w:r>
        <w:rPr>
          <w:rFonts w:ascii="Calibri" w:cs="Calibri" w:eastAsia="Calibri" w:hAnsi="Calibri"/>
          <w:sz w:val="22"/>
          <w:szCs w:val="22"/>
        </w:rPr>
        <w:t xml:space="preserve">The ensemble weights α are estimated from a held-out calibration set and vary by prediction horizon: for 1-month ahead prediction, α₂ (GBM) typically dominates; for 6-12 month predictions, α₁ (LME) and α₃ (LSTM) gain weight as their trajectory-modelling capacity becomes more valuable. The ensemble is re-calibrated quarterly as new data accumulates.</w:t>
      </w:r>
    </w:p>
    <w:p>
      <w:r>
        <w:br w:type="page"/>
      </w:r>
    </w:p>
    <w:p>
      <w:pPr>
        <w:pStyle w:val="Heading1"/>
      </w:pPr>
      <w:r>
        <w:rPr>
          <w:rFonts w:ascii="Calibri" w:cs="Calibri" w:eastAsia="Calibri" w:hAnsi="Calibri"/>
          <w:b/>
          <w:bCs/>
        </w:rPr>
        <w:t xml:space="preserve">6. Model Evaluation and Clinical Validation</w:t>
      </w:r>
    </w:p>
    <w:p>
      <w:pPr>
        <w:pStyle w:val="Heading2"/>
      </w:pPr>
      <w:r>
        <w:rPr>
          <w:rFonts w:ascii="Calibri" w:cs="Calibri" w:eastAsia="Calibri" w:hAnsi="Calibri"/>
          <w:b/>
          <w:bCs/>
        </w:rPr>
        <w:t xml:space="preserve">6.1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3560"/>
      </w:tblGrid>
      <w:tr>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Metric</w:t>
            </w:r>
          </w:p>
        </w:tc>
        <w:tc>
          <w:tcPr>
            <w:tcW w:type="dxa" w:w="17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Formula</w:t>
            </w:r>
          </w:p>
        </w:tc>
        <w:tc>
          <w:tcPr>
            <w:tcW w:type="dxa" w:w="19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Applicable Task</w:t>
            </w:r>
          </w:p>
        </w:tc>
        <w:tc>
          <w:tcPr>
            <w:tcW w:type="dxa" w:w="35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Interpretation</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(z-score)</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√(Σ(ẑ−z)²/n)</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regression</w:t>
            </w:r>
          </w:p>
        </w:tc>
        <w:tc>
          <w:tcPr>
            <w:tcW w:type="dxa" w:w="35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Error in z-score units; &lt; 0.5 SDS clinically acceptable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MAE (z-score)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Σ|ẑ−z|/n</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regression</w:t>
            </w:r>
          </w:p>
        </w:tc>
        <w:tc>
          <w:tcPr>
            <w:tcW w:type="dxa" w:w="35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Median error; &lt; 0.3 SDS target</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Within-±0.5 SDS %</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Fraction |ẑ−z| ≤ 0.5</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Short-term pred.</w:t>
            </w:r>
          </w:p>
        </w:tc>
        <w:tc>
          <w:tcPr>
            <w:tcW w:type="dxa" w:w="35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&gt; 80% predictions within half SDS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Sensitivity (faltering)</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TP / (TP+FN)</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Faltering detection</w:t>
            </w:r>
          </w:p>
        </w:tc>
        <w:tc>
          <w:tcPr>
            <w:tcW w:type="dxa" w:w="35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&gt; 85%; miss rate &lt; 15% for clinical safety</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Specificity (faltering)</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TN / (TN+FP)</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Faltering detection</w:t>
            </w:r>
          </w:p>
        </w:tc>
        <w:tc>
          <w:tcPr>
            <w:tcW w:type="dxa" w:w="35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&gt; 75%; avoid excessive false alarms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AUROC</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∫ROC dFPR</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Faltering detection</w:t>
            </w:r>
          </w:p>
        </w:tc>
        <w:tc>
          <w:tcPr>
            <w:tcW w:type="dxa" w:w="35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&gt; 0.85</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Calibration (ECE)</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Σ_b|acc_b−conf_b| × |b|/n</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Prob. outputs</w:t>
            </w:r>
          </w:p>
        </w:tc>
        <w:tc>
          <w:tcPr>
            <w:tcW w:type="dxa" w:w="35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0.05 for clinical reliability</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Adult height RMSE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√(Σ(Ĥ_adult−H_adult)²/n)</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Adult ht. pred.</w:t>
            </w:r>
          </w:p>
        </w:tc>
        <w:tc>
          <w:tcPr>
            <w:tcW w:type="dxa" w:w="35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&lt; 5 cm RMSE</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Pearson r (trajectory)</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corr(ẑ, z) over time</w:t>
            </w:r>
          </w:p>
        </w:tc>
        <w:tc>
          <w:tcPr>
            <w:tcW w:type="dxa" w:w="1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Trajectory pred.</w:t>
            </w:r>
          </w:p>
        </w:tc>
        <w:tc>
          <w:tcPr>
            <w:tcW w:type="dxa" w:w="35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r &gt; 0.90</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False alarm rate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FP / (FP+TN)</w:t>
            </w:r>
          </w:p>
        </w:tc>
        <w:tc>
          <w:tcPr>
            <w:tcW w:type="dxa" w:w="1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Faltering detection</w:t>
            </w:r>
          </w:p>
        </w:tc>
        <w:tc>
          <w:tcPr>
            <w:tcW w:type="dxa" w:w="35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Target: &lt; 25%; clinician alert fatigue threshold</w:t>
            </w:r>
          </w:p>
        </w:tc>
      </w:tr>
    </w:tbl>
    <w:p>
      <w:pPr>
        <w:spacing w:after="180" w:before="60"/>
        <w:jc w:val="center"/>
      </w:pPr>
      <w:r>
        <w:rPr>
          <w:rFonts w:ascii="Calibri" w:cs="Calibri" w:eastAsia="Calibri" w:hAnsi="Calibri"/>
          <w:i/>
          <w:iCs/>
          <w:color w:val="555555"/>
          <w:sz w:val="19"/>
          <w:szCs w:val="19"/>
        </w:rPr>
        <w:t xml:space="preserve">Table 6.1: Evaluation metrics for all prediction tasks with clinical acceptability targets.</w:t>
      </w:r>
    </w:p>
    <w:p>
      <w:pPr>
        <w:pStyle w:val="Heading2"/>
      </w:pPr>
      <w:r>
        <w:rPr>
          <w:rFonts w:ascii="Calibri" w:cs="Calibri" w:eastAsia="Calibri" w:hAnsi="Calibri"/>
          <w:b/>
          <w:bCs/>
        </w:rPr>
        <w:t xml:space="preserve">6.2 Cross-Validation for Longitudinal Data</w:t>
      </w:r>
    </w:p>
    <w:p>
      <w:pPr>
        <w:spacing w:after="80" w:before="80" w:line="308"/>
        <w:jc w:val="both"/>
      </w:pPr>
      <w:r>
        <w:rPr>
          <w:rFonts w:ascii="Calibri" w:cs="Calibri" w:eastAsia="Calibri" w:hAnsi="Calibri"/>
          <w:sz w:val="22"/>
          <w:szCs w:val="22"/>
        </w:rPr>
        <w:t xml:space="preserve">Standard k-fold cross-validation is inappropriate for longitudinal growth data because it breaks the temporal structure, allowing the model to 'see' future visits of the same child in training and test earlier visits — creating data leakage. Two valid strategies are used:</w:t>
      </w:r>
    </w:p>
    <w:p>
      <w:pPr>
        <w:pStyle w:val="ListParagraph"/>
        <w:numPr>
          <w:ilvl w:val="0"/>
          <w:numId w:val="2"/>
        </w:numPr>
        <w:spacing w:after="55" w:before="55" w:line="280"/>
      </w:pPr>
      <w:r>
        <w:rPr>
          <w:rFonts w:ascii="Calibri" w:cs="Calibri" w:eastAsia="Calibri" w:hAnsi="Calibri"/>
          <w:sz w:val="22"/>
          <w:szCs w:val="22"/>
        </w:rPr>
        <w:t xml:space="preserve">Child-stratified k-fold: Split by child_id rather than by visit. All visits of a given child are either entirely in training or entirely in validation. This is the minimum requirement and tests within-distribution generalization.</w:t>
      </w:r>
    </w:p>
    <w:p>
      <w:pPr>
        <w:pStyle w:val="ListParagraph"/>
        <w:numPr>
          <w:ilvl w:val="0"/>
          <w:numId w:val="2"/>
        </w:numPr>
        <w:spacing w:after="55" w:before="55" w:line="280"/>
      </w:pPr>
      <w:r>
        <w:rPr>
          <w:rFonts w:ascii="Calibri" w:cs="Calibri" w:eastAsia="Calibri" w:hAnsi="Calibri"/>
          <w:sz w:val="22"/>
          <w:szCs w:val="22"/>
        </w:rPr>
        <w:t xml:space="preserve">Temporal forward-chaining (Walk-Forward Validation): Train on visits from time 0 to T, validate on visits from T to T+Δ, then advance T. This more realistically mimics the deployment scenario where the model is trained on historical data and applied to future patients. Use 5 temporal folds with Δ = 6 months.</w:t>
      </w:r>
    </w:p>
    <w:p>
      <w:pPr>
        <w:spacing w:after="80" w:before="80" w:line="308"/>
        <w:jc w:val="both"/>
      </w:pPr>
      <w:r>
        <w:rPr>
          <w:rFonts w:ascii="Calibri" w:cs="Calibri" w:eastAsia="Calibri" w:hAnsi="Calibri"/>
          <w:sz w:val="22"/>
          <w:szCs w:val="22"/>
        </w:rPr>
        <w:t xml:space="preserve">The temporal forward-chaining cross-validation error is computed as:</w:t>
      </w:r>
    </w:p>
    <w:p>
      <w:pPr>
        <w:spacing w:after="140" w:before="140"/>
        <w:jc w:val="center"/>
      </w:pPr>
      <w:r>
        <w:rPr>
          <w:rFonts w:ascii="Cambria Math" w:cs="Cambria Math" w:eastAsia="Cambria Math" w:hAnsi="Cambria Math"/>
          <w:i/>
          <w:iCs/>
          <w:sz w:val="22"/>
          <w:szCs w:val="22"/>
        </w:rPr>
        <w:t xml:space="preserve">CV_error = (1/5) Σₖ (1/nₖ) Σᵢ∈Testₖ (ẑᵢ − zᵢ)²</w:t>
      </w:r>
      <w:r>
        <w:rPr>
          <w:rFonts w:ascii="Calibri" w:cs="Calibri" w:eastAsia="Calibri" w:hAnsi="Calibri"/>
          <w:color w:val="666666"/>
          <w:sz w:val="19"/>
          <w:szCs w:val="19"/>
        </w:rPr>
        <w:t xml:space="preserve">   (6.1)</w:t>
      </w:r>
    </w:p>
    <w:p>
      <w:pPr>
        <w:spacing w:after="80" w:before="80" w:line="308"/>
        <w:jc w:val="both"/>
      </w:pPr>
      <w:r>
        <w:rPr>
          <w:rFonts w:ascii="Calibri" w:cs="Calibri" w:eastAsia="Calibri" w:hAnsi="Calibri"/>
          <w:sz w:val="22"/>
          <w:szCs w:val="22"/>
        </w:rPr>
        <w:t xml:space="preserve">where nₖ is the number of test observations in fold k and the folds are non-overlapping time windows.</w:t>
      </w:r>
    </w:p>
    <w:p>
      <w:pPr>
        <w:pStyle w:val="Heading2"/>
      </w:pPr>
      <w:r>
        <w:rPr>
          <w:rFonts w:ascii="Calibri" w:cs="Calibri" w:eastAsia="Calibri" w:hAnsi="Calibri"/>
          <w:b/>
          <w:bCs/>
        </w:rPr>
        <w:t xml:space="preserve">6.3 Clinical Validation Protocol</w:t>
      </w:r>
    </w:p>
    <w:p>
      <w:pPr>
        <w:spacing w:after="80" w:before="80" w:line="308"/>
        <w:jc w:val="both"/>
      </w:pPr>
      <w:r>
        <w:rPr>
          <w:rFonts w:ascii="Calibri" w:cs="Calibri" w:eastAsia="Calibri" w:hAnsi="Calibri"/>
          <w:sz w:val="22"/>
          <w:szCs w:val="22"/>
        </w:rPr>
        <w:t xml:space="preserve">ML model performance metrics must be complemented by a prospective clinical validation study before deployment in any healthcare setting. The clinical validation protocol includes:</w:t>
      </w:r>
    </w:p>
    <w:p>
      <w:pPr>
        <w:pStyle w:val="ListParagraph"/>
        <w:numPr>
          <w:ilvl w:val="0"/>
          <w:numId w:val="3"/>
        </w:numPr>
        <w:spacing w:after="55" w:before="55" w:line="280"/>
      </w:pPr>
      <w:r>
        <w:rPr>
          <w:rFonts w:ascii="Calibri" w:cs="Calibri" w:eastAsia="Calibri" w:hAnsi="Calibri"/>
          <w:sz w:val="22"/>
          <w:szCs w:val="22"/>
        </w:rPr>
        <w:t xml:space="preserve">Retrospective validation: Apply the trained model to a held-out historical dataset (minimum 1,000 children, 12-month follow-up) and compute all metrics from Table 6.1. Report stratified by age group, sex, nutritional status, and data source.</w:t>
      </w:r>
    </w:p>
    <w:p>
      <w:pPr>
        <w:pStyle w:val="ListParagraph"/>
        <w:numPr>
          <w:ilvl w:val="0"/>
          <w:numId w:val="3"/>
        </w:numPr>
        <w:spacing w:after="55" w:before="55" w:line="280"/>
      </w:pPr>
      <w:r>
        <w:rPr>
          <w:rFonts w:ascii="Calibri" w:cs="Calibri" w:eastAsia="Calibri" w:hAnsi="Calibri"/>
          <w:sz w:val="22"/>
          <w:szCs w:val="22"/>
        </w:rPr>
        <w:t xml:space="preserve">Prospective shadow deployment: Run the model in 'shadow mode' alongside standard clinical practice for 6 months. Clinicians make decisions without seeing model outputs. Compare model alerts to actual clinical decisions and outcomes post-hoc.</w:t>
      </w:r>
    </w:p>
    <w:p>
      <w:pPr>
        <w:pStyle w:val="ListParagraph"/>
        <w:numPr>
          <w:ilvl w:val="0"/>
          <w:numId w:val="3"/>
        </w:numPr>
        <w:spacing w:after="55" w:before="55" w:line="280"/>
      </w:pPr>
      <w:r>
        <w:rPr>
          <w:rFonts w:ascii="Calibri" w:cs="Calibri" w:eastAsia="Calibri" w:hAnsi="Calibri"/>
          <w:sz w:val="22"/>
          <w:szCs w:val="22"/>
        </w:rPr>
        <w:t xml:space="preserve">Clinical decision impact study: Randomized cluster trial comparing growth outcomes in clinics receiving model-generated alerts vs. control clinics. Primary endpoint: rate of undetected stunting at 12-month follow-up. Secondary: Time to intervention for detected cases.</w:t>
      </w:r>
    </w:p>
    <w:p>
      <w:pPr>
        <w:pStyle w:val="ListParagraph"/>
        <w:numPr>
          <w:ilvl w:val="0"/>
          <w:numId w:val="3"/>
        </w:numPr>
        <w:spacing w:after="55" w:before="55" w:line="280"/>
      </w:pPr>
      <w:r>
        <w:rPr>
          <w:rFonts w:ascii="Calibri" w:cs="Calibri" w:eastAsia="Calibri" w:hAnsi="Calibri"/>
          <w:sz w:val="22"/>
          <w:szCs w:val="22"/>
        </w:rPr>
        <w:t xml:space="preserve">Subgroup fairness analysis: Validate that model performance is equitable across sex, ethnic group, gestational age category, and socioeconomic status quintile. Acceptable performance gap: RMSE difference &lt; 0.1 SDS across subgroups.</w:t>
      </w:r>
    </w:p>
    <w:p>
      <w:pPr>
        <w:pStyle w:val="ListParagraph"/>
        <w:numPr>
          <w:ilvl w:val="0"/>
          <w:numId w:val="3"/>
        </w:numPr>
        <w:spacing w:after="55" w:before="55" w:line="280"/>
      </w:pPr>
      <w:r>
        <w:rPr>
          <w:rFonts w:ascii="Calibri" w:cs="Calibri" w:eastAsia="Calibri" w:hAnsi="Calibri"/>
          <w:sz w:val="22"/>
          <w:szCs w:val="22"/>
        </w:rPr>
        <w:t xml:space="preserve">Clinician usability study: 20 pediatricians, 20 nurses evaluate the wizard interface and prediction reports for clarity, clinical relevance, and willingness to act on recommendations.</w:t>
      </w:r>
    </w:p>
    <w:p>
      <w:r>
        <w:br w:type="page"/>
      </w:r>
    </w:p>
    <w:p>
      <w:pPr>
        <w:pStyle w:val="Heading1"/>
      </w:pPr>
      <w:r>
        <w:rPr>
          <w:rFonts w:ascii="Calibri" w:cs="Calibri" w:eastAsia="Calibri" w:hAnsi="Calibri"/>
          <w:b/>
          <w:bCs/>
        </w:rPr>
        <w:t xml:space="preserve">7. Wizard-Mode Platform Integration</w:t>
      </w:r>
    </w:p>
    <w:p>
      <w:pPr>
        <w:pStyle w:val="Heading2"/>
      </w:pPr>
      <w:r>
        <w:rPr>
          <w:rFonts w:ascii="Calibri" w:cs="Calibri" w:eastAsia="Calibri" w:hAnsi="Calibri"/>
          <w:b/>
          <w:bCs/>
        </w:rPr>
        <w:t xml:space="preserve">7.1 Wizard Step Design for Growth Prediction</w:t>
      </w:r>
    </w:p>
    <w:p>
      <w:pPr>
        <w:spacing w:after="80" w:before="80" w:line="308"/>
        <w:jc w:val="both"/>
      </w:pPr>
      <w:r>
        <w:rPr>
          <w:rFonts w:ascii="Calibri" w:cs="Calibri" w:eastAsia="Calibri" w:hAnsi="Calibri"/>
          <w:sz w:val="22"/>
          <w:szCs w:val="22"/>
        </w:rPr>
        <w:t xml:space="preserve">The Children Growth Prediction wizard is a domain-specific extension of the platform's general wizard framework, tailored for clinical users. It comprises eight steps, each designed for a pediatrician, nurse, or nutritionist with no ML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alibri" w:cs="Calibri" w:eastAsia="Calibri" w:hAnsi="Calibri"/>
                <w:color w:val="1A1A1A"/>
                <w:sz w:val="19"/>
                <w:szCs w:val="19"/>
              </w:rPr>
              <w:t xml:space="preserve"> STEP 1       STEP 2       STEP 3       STEP 4       STEP 5       STEP 6       STEP 7       STEP 8</w:t>
            </w:r>
          </w:p>
          <w:p>
            <w:pPr>
              <w:spacing w:after="22" w:before="22" w:line="260"/>
            </w:pPr>
            <w:r>
              <w:rPr>
                <w:rFonts w:ascii="Calibri" w:cs="Calibri" w:eastAsia="Calibri" w:hAnsi="Calibri"/>
                <w:color w:val="1A1A1A"/>
                <w:sz w:val="19"/>
                <w:szCs w:val="19"/>
              </w:rPr>
              <w:t xml:space="preserve"> ┌─────────┐  ┌─────────┐  ┌─────────┐  ┌─────────┐  ┌─────────┐  ┌─────────┐  ┌─────────┐  ┌─────────┐</w:t>
            </w:r>
          </w:p>
          <w:p>
            <w:pPr>
              <w:spacing w:after="22" w:before="22" w:line="260"/>
            </w:pPr>
            <w:r>
              <w:rPr>
                <w:rFonts w:ascii="Calibri" w:cs="Calibri" w:eastAsia="Calibri" w:hAnsi="Calibri"/>
                <w:color w:val="1A1A1A"/>
                <w:sz w:val="19"/>
                <w:szCs w:val="19"/>
              </w:rPr>
              <w:t xml:space="preserve"> │ Patient │─▶│  Growth │─▶│ Context │─▶│Prediction│─▶│  Model  │─▶│ Train &amp; │─▶│ Growth  │─▶│ Report  │</w:t>
            </w:r>
          </w:p>
          <w:p>
            <w:pPr>
              <w:spacing w:after="22" w:before="22" w:line="260"/>
            </w:pPr>
            <w:r>
              <w:rPr>
                <w:rFonts w:ascii="Calibri" w:cs="Calibri" w:eastAsia="Calibri" w:hAnsi="Calibri"/>
                <w:color w:val="1A1A1A"/>
                <w:sz w:val="19"/>
                <w:szCs w:val="19"/>
              </w:rPr>
              <w:t xml:space="preserve"> │  Setup  │  │  Data   │  │  &amp; Risk │  │  Config │  │  Config │  │ Validate│  │  Charts │  │ Export  │</w:t>
            </w:r>
          </w:p>
          <w:p>
            <w:pPr>
              <w:spacing w:after="22" w:before="22" w:line="260"/>
            </w:pPr>
            <w:r>
              <w:rPr>
                <w:rFonts w:ascii="Calibri" w:cs="Calibri" w:eastAsia="Calibri" w:hAnsi="Calibri"/>
                <w:color w:val="1A1A1A"/>
                <w:sz w:val="19"/>
                <w:szCs w:val="19"/>
              </w:rPr>
              <w:t xml:space="preserve"> └─────────┘  └─────────┘  └─────────┘  └─────────┘  └─────────┘  └─────────┘  └─────────┘  └─────────┘</w:t>
            </w:r>
          </w:p>
          <w:p>
            <w:pPr>
              <w:spacing w:after="22" w:before="22" w:line="260"/>
            </w:pPr>
            <w:r>
              <w:rPr>
                <w:rFonts w:ascii="Calibri" w:cs="Calibri" w:eastAsia="Calibri" w:hAnsi="Calibri"/>
                <w:color w:val="1A1A1A"/>
                <w:sz w:val="19"/>
                <w:szCs w:val="19"/>
              </w:rPr>
              <w:t xml:space="preserve">   Who is     Enter/import  Add clinical  What to     Wizard or   Auto-train   Interactive   PDF report</w:t>
            </w:r>
          </w:p>
          <w:p>
            <w:pPr>
              <w:spacing w:after="22" w:before="22" w:line="260"/>
            </w:pPr>
            <w:r>
              <w:rPr>
                <w:rFonts w:ascii="Calibri" w:cs="Calibri" w:eastAsia="Calibri" w:hAnsi="Calibri"/>
                <w:color w:val="1A1A1A"/>
                <w:sz w:val="19"/>
                <w:szCs w:val="19"/>
              </w:rPr>
              <w:t xml:space="preserve">   this child? measurements  context vars  predict?    expert HP   with CV      growth chart  + alerts</w:t>
            </w:r>
          </w:p>
        </w:tc>
      </w:tr>
    </w:tbl>
    <w:p>
      <w:pPr>
        <w:spacing w:after="180" w:before="60"/>
        <w:jc w:val="center"/>
      </w:pPr>
      <w:r>
        <w:rPr>
          <w:rFonts w:ascii="Calibri" w:cs="Calibri" w:eastAsia="Calibri" w:hAnsi="Calibri"/>
          <w:i/>
          <w:iCs/>
          <w:color w:val="555555"/>
          <w:sz w:val="19"/>
          <w:szCs w:val="19"/>
        </w:rPr>
        <w:t xml:space="preserve">Figure 7.1: Eight-step wizard workflow for Children Growth Prediction.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2400"/>
        <w:gridCol w:w="2760"/>
      </w:tblGrid>
      <w:tr>
        <w:tc>
          <w:tcPr>
            <w:tcW w:type="dxa" w:w="7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Step</w:t>
            </w:r>
          </w:p>
        </w:tc>
        <w:tc>
          <w:tcPr>
            <w:tcW w:type="dxa" w:w="15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Title</w:t>
            </w:r>
          </w:p>
        </w:tc>
        <w:tc>
          <w:tcPr>
            <w:tcW w:type="dxa" w:w="2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Key Inputs</w:t>
            </w:r>
          </w:p>
        </w:tc>
        <w:tc>
          <w:tcPr>
            <w:tcW w:type="dxa" w:w="2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Auto-Compute</w:t>
            </w:r>
          </w:p>
        </w:tc>
        <w:tc>
          <w:tcPr>
            <w:tcW w:type="dxa" w:w="27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Validation</w:t>
            </w:r>
          </w:p>
        </w:tc>
      </w:tr>
      <w:tr>
        <w:tc>
          <w:tcPr>
            <w:tcW w:type="dxa" w:w="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Patient Setup</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sex, date of birth, gestational age, ethnicity</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Age calculation; preterm correction flag; reference standard selection</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GA range 24–44 wks; DOB plausibility check</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Data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height, weight, HC, MUAC per visit (table entry or file upload)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 WAZ, WHZ, BMIZ, HCZ per visit; growth velocity; trajectory chart</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Biologically impossible values flagged (height decrease &gt;2cm after age 2)</w:t>
            </w:r>
          </w:p>
        </w:tc>
      </w:tr>
      <w:tr>
        <w:tc>
          <w:tcPr>
            <w:tcW w:type="dxa" w:w="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Context &amp; Risk</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parental heights, nutrition, illness, SES, clinical history</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MPH; SES composite; illness burden score; IYCF score; preterm correction</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Missing critical fields highlighted; optional fields labelled</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Prediction Config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task (trajectory / faltering / adult height), horizon, confidence level</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Recommended horizon based on data richness; estimated model training time</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Minimum 3 visits required for trajectory prediction</w:t>
            </w:r>
          </w:p>
        </w:tc>
      </w:tr>
      <w:tr>
        <w:tc>
          <w:tcPr>
            <w:tcW w:type="dxa" w:w="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Model Config</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Quick / Guided / Expert mode; algorithm card selection</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recommendations from HP Advisor Engine; constraint warnings</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Constraint violations displayed; incompatible combos prevented</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Train &amp; Validate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Compute budget, CV strategy selection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Child-stratified or temporal CV; training time estimate; live metrics display</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CV results displayed before proceeding; quality gates enforced</w:t>
            </w:r>
          </w:p>
        </w:tc>
      </w:tr>
      <w:tr>
        <w:tc>
          <w:tcPr>
            <w:tcW w:type="dxa" w:w="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w:t>
            </w:r>
          </w:p>
        </w:tc>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Charts</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Threshold overlays, prediction horizon, confidence band width</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WHO/CDC percentile lines; faltering alert overlays; prediction ribbon</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Chart renders with clinical thresholds at −3, −2, 0, +2, +3 SDS</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w:t>
            </w:r>
          </w:p>
        </w:tc>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Report Export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Report language, audience (clinician / caregiver), format</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PDF growth monitoring report; referral recommendation text; code export</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Report reviewed before finalization; caregiver version plain-language</w:t>
            </w:r>
          </w:p>
        </w:tc>
      </w:tr>
    </w:tbl>
    <w:p>
      <w:pPr>
        <w:spacing w:after="180" w:before="60"/>
        <w:jc w:val="center"/>
      </w:pPr>
      <w:r>
        <w:rPr>
          <w:rFonts w:ascii="Calibri" w:cs="Calibri" w:eastAsia="Calibri" w:hAnsi="Calibri"/>
          <w:i/>
          <w:iCs/>
          <w:color w:val="555555"/>
          <w:sz w:val="19"/>
          <w:szCs w:val="19"/>
        </w:rPr>
        <w:t xml:space="preserve">Table 7.1: Eight-step wizard design for the Children Growth Prediction system.</w:t>
      </w:r>
    </w:p>
    <w:p>
      <w:pPr>
        <w:pStyle w:val="Heading3"/>
      </w:pPr>
      <w:r>
        <w:rPr>
          <w:rFonts w:ascii="Calibri" w:cs="Calibri" w:eastAsia="Calibri" w:hAnsi="Calibri"/>
          <w:b/>
          <w:bCs/>
          <w:i/>
          <w:iCs/>
        </w:rPr>
        <w:t xml:space="preserve">Step 2: Growth Data Entry — Screen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w:t>
            </w:r>
          </w:p>
          <w:p>
            <w:pPr>
              <w:spacing w:after="22" w:before="22" w:line="260"/>
            </w:pPr>
            <w:r>
              <w:rPr>
                <w:rFonts w:ascii="Courier New" w:cs="Courier New" w:eastAsia="Courier New" w:hAnsi="Courier New"/>
                <w:color w:val="1A1A1A"/>
                <w:sz w:val="19"/>
                <w:szCs w:val="19"/>
              </w:rPr>
              <w:t xml:space="preserve">│  Step 2 of 8: Enter Growth Measurements                              [?] │</w:t>
            </w:r>
          </w:p>
          <w:p>
            <w:pPr>
              <w:spacing w:after="22" w:before="22" w:line="260"/>
            </w:pPr>
            <w:r>
              <w:rPr>
                <w:rFonts w:ascii="Courier New" w:cs="Courier New" w:eastAsia="Courier New" w:hAnsi="Courier New"/>
                <w:color w:val="1A1A1A"/>
                <w:sz w:val="19"/>
                <w:szCs w:val="19"/>
              </w:rPr>
              <w:t xml:space="preserve">│───────────────────────────────────────────────────────────────────────────│</w:t>
            </w:r>
          </w:p>
          <w:p>
            <w:pPr>
              <w:spacing w:after="22" w:before="22" w:line="260"/>
            </w:pPr>
            <w:r>
              <w:rPr>
                <w:rFonts w:ascii="Courier New" w:cs="Courier New" w:eastAsia="Courier New" w:hAnsi="Courier New"/>
                <w:color w:val="1A1A1A"/>
                <w:sz w:val="19"/>
                <w:szCs w:val="19"/>
              </w:rPr>
              <w:t xml:space="preserve">│  Child: Arjun M. | DOB: 2023-03-12 | Sex: Male | Corrected Age: ✓       │</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Date       Age(m) Height(cm) Weight(kg) HC(cm) Status               │ │</w:t>
            </w:r>
          </w:p>
          <w:p>
            <w:pPr>
              <w:spacing w:after="22" w:before="22" w:line="260"/>
            </w:pPr>
            <w:r>
              <w:rPr>
                <w:rFonts w:ascii="Courier New" w:cs="Courier New" w:eastAsia="Courier New" w:hAnsi="Courier New"/>
                <w:color w:val="1A1A1A"/>
                <w:sz w:val="19"/>
                <w:szCs w:val="19"/>
              </w:rPr>
              <w:t xml:space="preserve">│  │ 2023-03-12   0.0   49.5       3.21      34.2   ✅ Normal              │ │</w:t>
            </w:r>
          </w:p>
          <w:p>
            <w:pPr>
              <w:spacing w:after="22" w:before="22" w:line="260"/>
            </w:pPr>
            <w:r>
              <w:rPr>
                <w:rFonts w:ascii="Courier New" w:cs="Courier New" w:eastAsia="Courier New" w:hAnsi="Courier New"/>
                <w:color w:val="1A1A1A"/>
                <w:sz w:val="19"/>
                <w:szCs w:val="19"/>
              </w:rPr>
              <w:t xml:space="preserve">│  │ 2023-06-15   3.1   60.2       6.05      40.1   ✅ Normal              │ │</w:t>
            </w:r>
          </w:p>
          <w:p>
            <w:pPr>
              <w:spacing w:after="22" w:before="22" w:line="260"/>
            </w:pPr>
            <w:r>
              <w:rPr>
                <w:rFonts w:ascii="Courier New" w:cs="Courier New" w:eastAsia="Courier New" w:hAnsi="Courier New"/>
                <w:color w:val="1A1A1A"/>
                <w:sz w:val="19"/>
                <w:szCs w:val="19"/>
              </w:rPr>
              <w:t xml:space="preserve">│  │ 2023-09-20   6.3   67.8       7.89      43.2   ✅ Normal              │ │</w:t>
            </w:r>
          </w:p>
          <w:p>
            <w:pPr>
              <w:spacing w:after="22" w:before="22" w:line="260"/>
            </w:pPr>
            <w:r>
              <w:rPr>
                <w:rFonts w:ascii="Courier New" w:cs="Courier New" w:eastAsia="Courier New" w:hAnsi="Courier New"/>
                <w:color w:val="1A1A1A"/>
                <w:sz w:val="19"/>
                <w:szCs w:val="19"/>
              </w:rPr>
              <w:t xml:space="preserve">│  │ 2024-01-10  10.0   73.1       8.92      45.6   ⚠️ HAZ: -1.8          │ │</w:t>
            </w:r>
          </w:p>
          <w:p>
            <w:pPr>
              <w:spacing w:after="22" w:before="22" w:line="260"/>
            </w:pPr>
            <w:r>
              <w:rPr>
                <w:rFonts w:ascii="Courier New" w:cs="Courier New" w:eastAsia="Courier New" w:hAnsi="Courier New"/>
                <w:color w:val="1A1A1A"/>
                <w:sz w:val="19"/>
                <w:szCs w:val="19"/>
              </w:rPr>
              <w:t xml:space="preserve">│  │ 2024-06-18  15.2   78.3       9.48      47.1   🔴 HAZ: -2.3 STUNTED  │ │</w:t>
            </w:r>
          </w:p>
          <w:p>
            <w:pPr>
              <w:spacing w:after="22" w:before="22" w:line="260"/>
            </w:pPr>
            <w:r>
              <w:rPr>
                <w:rFonts w:ascii="Courier New" w:cs="Courier New" w:eastAsia="Courier New" w:hAnsi="Courier New"/>
                <w:color w:val="1A1A1A"/>
                <w:sz w:val="19"/>
                <w:szCs w:val="19"/>
              </w:rPr>
              <w:t xml:space="preserve">│  │ [+ Add Visit]      [📂 Upload CSV]   [🔗 Import from EHR]            │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 Auto-generated preview:   [Growth Chart]  |  [Velocity Chart]        │</w:t>
            </w:r>
          </w:p>
          <w:p>
            <w:pPr>
              <w:spacing w:after="22" w:before="22" w:line="260"/>
            </w:pPr>
            <w:r>
              <w:rPr>
                <w:rFonts w:ascii="Courier New" w:cs="Courier New" w:eastAsia="Courier New" w:hAnsi="Courier New"/>
                <w:color w:val="1A1A1A"/>
                <w:sz w:val="19"/>
                <w:szCs w:val="19"/>
              </w:rPr>
              <w:t xml:space="preserve">│  HAZ trend: 0.21 → 0.18 → 0.09 → -1.8 → -2.3   ⚠️ DECLINING TREND     │</w:t>
            </w:r>
          </w:p>
          <w:p>
            <w:pPr>
              <w:spacing w:after="22" w:before="22" w:line="260"/>
            </w:pPr>
            <w:r>
              <w:rPr>
                <w:rFonts w:ascii="Courier New" w:cs="Courier New" w:eastAsia="Courier New" w:hAnsi="Courier New"/>
                <w:color w:val="1A1A1A"/>
                <w:sz w:val="19"/>
                <w:szCs w:val="19"/>
              </w:rPr>
              <w:t xml:space="preserve">│───────────────────────────────────────────────────────────────────────────│</w:t>
            </w:r>
          </w:p>
          <w:p>
            <w:pPr>
              <w:spacing w:after="22" w:before="22" w:line="260"/>
            </w:pPr>
            <w:r>
              <w:rPr>
                <w:rFonts w:ascii="Courier New" w:cs="Courier New" w:eastAsia="Courier New" w:hAnsi="Courier New"/>
                <w:color w:val="1A1A1A"/>
                <w:sz w:val="19"/>
                <w:szCs w:val="19"/>
              </w:rPr>
              <w:t xml:space="preserve">│  ⚠️  Significant z-score decline detected (Δ HAZ = -2.51 over 15 months) │</w:t>
            </w:r>
          </w:p>
          <w:p>
            <w:pPr>
              <w:spacing w:after="22" w:before="22" w:line="260"/>
            </w:pPr>
            <w:r>
              <w:rPr>
                <w:rFonts w:ascii="Courier New" w:cs="Courier New" w:eastAsia="Courier New" w:hAnsi="Courier New"/>
                <w:color w:val="1A1A1A"/>
                <w:sz w:val="19"/>
                <w:szCs w:val="19"/>
              </w:rPr>
              <w:t xml:space="preserve">│     Prediction will prioritize FALTERING DETECTION and TRAJECTORY MODEL  │</w:t>
            </w:r>
          </w:p>
          <w:p>
            <w:pPr>
              <w:spacing w:after="22" w:before="22" w:line="260"/>
            </w:pPr>
            <w:r>
              <w:rPr>
                <w:rFonts w:ascii="Courier New" w:cs="Courier New" w:eastAsia="Courier New" w:hAnsi="Courier New"/>
                <w:color w:val="1A1A1A"/>
                <w:sz w:val="19"/>
                <w:szCs w:val="19"/>
              </w:rPr>
              <w:t xml:space="preserve">│                                           [Back]   [Continue →]          │</w:t>
            </w:r>
          </w:p>
          <w:p>
            <w:pPr>
              <w:spacing w:after="22" w:before="22" w:line="260"/>
            </w:pPr>
            <w:r>
              <w:rPr>
                <w:rFonts w:ascii="Courier New" w:cs="Courier New" w:eastAsia="Courier New" w:hAnsi="Courier New"/>
                <w:color w:val="1A1A1A"/>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7.2: Step 2 growth data entry screen with auto-computed z-scores and clinical flags.</w:t>
      </w:r>
    </w:p>
    <w:p>
      <w:pPr>
        <w:pStyle w:val="Heading2"/>
      </w:pPr>
      <w:r>
        <w:rPr>
          <w:rFonts w:ascii="Calibri" w:cs="Calibri" w:eastAsia="Calibri" w:hAnsi="Calibri"/>
          <w:b/>
          <w:bCs/>
        </w:rPr>
        <w:t xml:space="preserve">7.2 Hyperparameter Strategy for Growth Models</w:t>
      </w:r>
    </w:p>
    <w:p>
      <w:pPr>
        <w:spacing w:after="80" w:before="80" w:line="308"/>
        <w:jc w:val="both"/>
      </w:pPr>
      <w:r>
        <w:rPr>
          <w:rFonts w:ascii="Calibri" w:cs="Calibri" w:eastAsia="Calibri" w:hAnsi="Calibri"/>
          <w:sz w:val="22"/>
          <w:szCs w:val="22"/>
        </w:rPr>
        <w:t xml:space="preserve">The HP Advisor Engine applies growth-specific heuristics derived from the pediatric ML literature and empirical benchmarking on NHANES and WHO MGRS data. The dataset-aware default formula (Equation 4.1 from the WizardML draft) is extended with growth-specific meta-features: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900"/>
        <w:gridCol w:w="2360"/>
      </w:tblGrid>
      <w:tr>
        <w:tc>
          <w:tcPr>
            <w:tcW w:type="dxa" w:w="1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Model</w:t>
            </w:r>
          </w:p>
        </w:tc>
        <w:tc>
          <w:tcPr>
            <w:tcW w:type="dxa" w:w="17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HP</w:t>
            </w:r>
          </w:p>
        </w:tc>
        <w:tc>
          <w:tcPr>
            <w:tcW w:type="dxa" w:w="39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Growth-Specific Default Rule</w:t>
            </w:r>
          </w:p>
        </w:tc>
        <w:tc>
          <w:tcPr>
            <w:tcW w:type="dxa" w:w="23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Sensitivity Direction</w:t>
            </w:r>
          </w:p>
        </w:tc>
      </w:tr>
      <w:tr>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Random slope: Yes/No</w:t>
            </w:r>
          </w:p>
        </w:tc>
        <w:tc>
          <w:tcPr>
            <w:tcW w:type="dxa" w:w="3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Yes if ≥ 4 visits/child AND n_children &gt; 100</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Critical: wrong choice causes over/underfit</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Correlation structure</w:t>
            </w:r>
          </w:p>
        </w:tc>
        <w:tc>
          <w:tcPr>
            <w:tcW w:type="dxa" w:w="3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AR(1) if visits are regular; Unstructured if irregular</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Moderate impact</w:t>
            </w:r>
          </w:p>
        </w:tc>
      </w:tr>
      <w:tr>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n_estimators</w:t>
            </w:r>
          </w:p>
        </w:tc>
        <w:tc>
          <w:tcPr>
            <w:tcW w:type="dxa" w:w="3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min(400, max(100, n_total_visits / 20))</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Increase → better fit, slower</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max_depth</w:t>
            </w:r>
          </w:p>
        </w:tc>
        <w:tc>
          <w:tcPr>
            <w:tcW w:type="dxa" w:w="3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 (growth data: moderate non-linearity)</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6–8 for puberty age groups</w:t>
            </w:r>
          </w:p>
        </w:tc>
      </w:tr>
      <w:tr>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scale_pos_weight</w:t>
            </w:r>
          </w:p>
        </w:tc>
        <w:tc>
          <w:tcPr>
            <w:tcW w:type="dxa" w:w="3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n_normal / n_faltering (auto from data)</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Critical for imbalanced faltering</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n_layers</w:t>
            </w:r>
          </w:p>
        </w:tc>
        <w:tc>
          <w:tcPr>
            <w:tcW w:type="dxa" w:w="3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 if avg_visits_per_child &lt; 8; 3 if ≥ 8</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More layers for longer sequences</w:t>
            </w:r>
          </w:p>
        </w:tc>
      </w:tr>
      <w:tr>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hidden_units</w:t>
            </w:r>
          </w:p>
        </w:tc>
        <w:tc>
          <w:tcPr>
            <w:tcW w:type="dxa" w:w="3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64 if n_children &lt; 500; 128 if ≥ 500</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Width to dataset size ratio</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dropout</w:t>
            </w:r>
          </w:p>
        </w:tc>
        <w:tc>
          <w:tcPr>
            <w:tcW w:type="dxa" w:w="3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 + 0.2 × (1 − n_children/2000)</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More dropout for smaller datasets</w:t>
            </w:r>
          </w:p>
        </w:tc>
      </w:tr>
      <w:tr>
        <w:tc>
          <w:tcPr>
            <w:tcW w:type="dxa" w:w="1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w:t>
            </w:r>
          </w:p>
        </w:tc>
        <w:tc>
          <w:tcPr>
            <w:tcW w:type="dxa" w:w="1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max_sequence_length</w:t>
            </w:r>
          </w:p>
        </w:tc>
        <w:tc>
          <w:tcPr>
            <w:tcW w:type="dxa" w:w="39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95th percentile of n_visits_per_child</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Captures longest complete trajectories</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w:t>
            </w:r>
          </w:p>
        </w:tc>
        <w:tc>
          <w:tcPr>
            <w:tcW w:type="dxa" w:w="1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Prediction horizon</w:t>
            </w:r>
          </w:p>
        </w:tc>
        <w:tc>
          <w:tcPr>
            <w:tcW w:type="dxa" w:w="39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Short(1-3m): GBM. Medium(6m): LME. Long(12m+): LSTM</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Task-appropriate model routing</w:t>
            </w:r>
          </w:p>
        </w:tc>
      </w:tr>
    </w:tbl>
    <w:p>
      <w:pPr>
        <w:spacing w:after="180" w:before="60"/>
        <w:jc w:val="center"/>
      </w:pPr>
      <w:r>
        <w:rPr>
          <w:rFonts w:ascii="Calibri" w:cs="Calibri" w:eastAsia="Calibri" w:hAnsi="Calibri"/>
          <w:i/>
          <w:iCs/>
          <w:color w:val="555555"/>
          <w:sz w:val="19"/>
          <w:szCs w:val="19"/>
        </w:rPr>
        <w:t xml:space="preserve">Table 7.2: Growth-specific HP Advisor rules for the Children Growth Prediction system.</w:t>
      </w:r>
    </w:p>
    <w:p>
      <w:r>
        <w:br w:type="page"/>
      </w:r>
    </w:p>
    <w:p>
      <w:pPr>
        <w:pStyle w:val="Heading1"/>
      </w:pPr>
      <w:r>
        <w:rPr>
          <w:rFonts w:ascii="Calibri" w:cs="Calibri" w:eastAsia="Calibri" w:hAnsi="Calibri"/>
          <w:b/>
          <w:bCs/>
        </w:rPr>
        <w:t xml:space="preserve">8. Auto Code Generation for Children Growth Prediction</w:t>
      </w:r>
    </w:p>
    <w:p>
      <w:pPr>
        <w:spacing w:after="80" w:before="80" w:line="308"/>
        <w:jc w:val="both"/>
      </w:pPr>
      <w:r>
        <w:rPr>
          <w:rFonts w:ascii="Calibri" w:cs="Calibri" w:eastAsia="Calibri" w:hAnsi="Calibri"/>
          <w:sz w:val="22"/>
          <w:szCs w:val="22"/>
        </w:rPr>
        <w:t xml:space="preserve">The auto-code-generation module produces a complete, annotated Python project for the children growth prediction pipeline. The generated project structure follows the platform's eight-section template (Section 8, LLM CodeGen Draft) adapted for clinical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 Generated Project Structure</w:t>
            </w:r>
          </w:p>
          <w:p>
            <w:pPr>
              <w:spacing w:after="22" w:before="22" w:line="260"/>
            </w:pPr>
            <w:r>
              <w:rPr>
                <w:rFonts w:ascii="Calibri" w:cs="Calibri" w:eastAsia="Calibri" w:hAnsi="Calibri"/>
                <w:color w:val="1A1A1A"/>
                <w:sz w:val="19"/>
                <w:szCs w:val="19"/>
              </w:rPr>
              <w:t xml:space="preserve">children_growth_prediction/</w:t>
            </w:r>
          </w:p>
          <w:p>
            <w:pPr>
              <w:spacing w:after="22" w:before="22" w:line="260"/>
            </w:pPr>
            <w:r>
              <w:rPr>
                <w:rFonts w:ascii="Calibri" w:cs="Calibri" w:eastAsia="Calibri" w:hAnsi="Calibri"/>
                <w:color w:val="1A1A1A"/>
                <w:sz w:val="19"/>
                <w:szCs w:val="19"/>
              </w:rPr>
              <w:t xml:space="preserve">├── 00_config.py           # All wizard settings; reference standard selection</w:t>
            </w:r>
          </w:p>
          <w:p>
            <w:pPr>
              <w:spacing w:after="22" w:before="22" w:line="260"/>
            </w:pPr>
            <w:r>
              <w:rPr>
                <w:rFonts w:ascii="Calibri" w:cs="Calibri" w:eastAsia="Calibri" w:hAnsi="Calibri"/>
                <w:color w:val="1A1A1A"/>
                <w:sz w:val="19"/>
                <w:szCs w:val="19"/>
              </w:rPr>
              <w:t xml:space="preserve">├── 01_data_loader.py      # FHIR ingestion + CSV/EHR import; unit validation</w:t>
            </w:r>
          </w:p>
          <w:p>
            <w:pPr>
              <w:spacing w:after="22" w:before="22" w:line="260"/>
            </w:pPr>
            <w:r>
              <w:rPr>
                <w:rFonts w:ascii="Calibri" w:cs="Calibri" w:eastAsia="Calibri" w:hAnsi="Calibri"/>
                <w:color w:val="1A1A1A"/>
                <w:sz w:val="19"/>
                <w:szCs w:val="19"/>
              </w:rPr>
              <w:t xml:space="preserve">├── 02_preprocessing.py    # Impossible value flags; MICE imputation; age correction</w:t>
            </w:r>
          </w:p>
          <w:p>
            <w:pPr>
              <w:spacing w:after="22" w:before="22" w:line="260"/>
            </w:pPr>
            <w:r>
              <w:rPr>
                <w:rFonts w:ascii="Calibri" w:cs="Calibri" w:eastAsia="Calibri" w:hAnsi="Calibri"/>
                <w:color w:val="1A1A1A"/>
                <w:sz w:val="19"/>
                <w:szCs w:val="19"/>
              </w:rPr>
              <w:t xml:space="preserve">├── 03_feature_engineering.py # LMS z-scores; velocity; temporal features</w:t>
            </w:r>
          </w:p>
          <w:p>
            <w:pPr>
              <w:spacing w:after="22" w:before="22" w:line="260"/>
            </w:pPr>
            <w:r>
              <w:rPr>
                <w:rFonts w:ascii="Calibri" w:cs="Calibri" w:eastAsia="Calibri" w:hAnsi="Calibri"/>
                <w:color w:val="1A1A1A"/>
                <w:sz w:val="19"/>
                <w:szCs w:val="19"/>
              </w:rPr>
              <w:t xml:space="preserve">├── 04_reference_lookup.py # WHO MGRS + CDC LMS table lookups</w:t>
            </w:r>
          </w:p>
          <w:p>
            <w:pPr>
              <w:spacing w:after="22" w:before="22" w:line="260"/>
            </w:pPr>
            <w:r>
              <w:rPr>
                <w:rFonts w:ascii="Calibri" w:cs="Calibri" w:eastAsia="Calibri" w:hAnsi="Calibri"/>
                <w:color w:val="1A1A1A"/>
                <w:sz w:val="19"/>
                <w:szCs w:val="19"/>
              </w:rPr>
              <w:t xml:space="preserve">├── 05_model_lme.py        # Linear Mixed-Effects trajectory model (statsmodels)</w:t>
            </w:r>
          </w:p>
          <w:p>
            <w:pPr>
              <w:spacing w:after="22" w:before="22" w:line="260"/>
            </w:pPr>
            <w:r>
              <w:rPr>
                <w:rFonts w:ascii="Calibri" w:cs="Calibri" w:eastAsia="Calibri" w:hAnsi="Calibri"/>
                <w:color w:val="1A1A1A"/>
                <w:sz w:val="19"/>
                <w:szCs w:val="19"/>
              </w:rPr>
              <w:t xml:space="preserve">├── 06_model_xgboost.py    # GBM faltering detection + short-term prediction</w:t>
            </w:r>
          </w:p>
          <w:p>
            <w:pPr>
              <w:spacing w:after="22" w:before="22" w:line="260"/>
            </w:pPr>
            <w:r>
              <w:rPr>
                <w:rFonts w:ascii="Calibri" w:cs="Calibri" w:eastAsia="Calibri" w:hAnsi="Calibri"/>
                <w:color w:val="1A1A1A"/>
                <w:sz w:val="19"/>
                <w:szCs w:val="19"/>
              </w:rPr>
              <w:t xml:space="preserve">├── 07_model_lstm.py       # LSTM longitudinal predictor (PyTorch)</w:t>
            </w:r>
          </w:p>
          <w:p>
            <w:pPr>
              <w:spacing w:after="22" w:before="22" w:line="260"/>
            </w:pPr>
            <w:r>
              <w:rPr>
                <w:rFonts w:ascii="Calibri" w:cs="Calibri" w:eastAsia="Calibri" w:hAnsi="Calibri"/>
                <w:color w:val="1A1A1A"/>
                <w:sz w:val="19"/>
                <w:szCs w:val="19"/>
              </w:rPr>
              <w:t xml:space="preserve">├── 08_ensemble.py         # Stacking meta-learner; horizon-dependent weighting</w:t>
            </w:r>
          </w:p>
          <w:p>
            <w:pPr>
              <w:spacing w:after="22" w:before="22" w:line="260"/>
            </w:pPr>
            <w:r>
              <w:rPr>
                <w:rFonts w:ascii="Calibri" w:cs="Calibri" w:eastAsia="Calibri" w:hAnsi="Calibri"/>
                <w:color w:val="1A1A1A"/>
                <w:sz w:val="19"/>
                <w:szCs w:val="19"/>
              </w:rPr>
              <w:t xml:space="preserve">├── 09_evaluation.py       # Clinical metrics; subgroup analysis; calibration</w:t>
            </w:r>
          </w:p>
          <w:p>
            <w:pPr>
              <w:spacing w:after="22" w:before="22" w:line="260"/>
            </w:pPr>
            <w:r>
              <w:rPr>
                <w:rFonts w:ascii="Calibri" w:cs="Calibri" w:eastAsia="Calibri" w:hAnsi="Calibri"/>
                <w:color w:val="1A1A1A"/>
                <w:sz w:val="19"/>
                <w:szCs w:val="19"/>
              </w:rPr>
              <w:t xml:space="preserve">├── 10_growth_charts.py    # WHO percentile chart generation (matplotlib)</w:t>
            </w:r>
          </w:p>
          <w:p>
            <w:pPr>
              <w:spacing w:after="22" w:before="22" w:line="260"/>
            </w:pPr>
            <w:r>
              <w:rPr>
                <w:rFonts w:ascii="Calibri" w:cs="Calibri" w:eastAsia="Calibri" w:hAnsi="Calibri"/>
                <w:color w:val="1A1A1A"/>
                <w:sz w:val="19"/>
                <w:szCs w:val="19"/>
              </w:rPr>
              <w:t xml:space="preserve">├── 11_report_generator.py # PDF growth report generation (ReportLab)</w:t>
            </w:r>
          </w:p>
          <w:p>
            <w:pPr>
              <w:spacing w:after="22" w:before="22" w:line="260"/>
            </w:pPr>
            <w:r>
              <w:rPr>
                <w:rFonts w:ascii="Calibri" w:cs="Calibri" w:eastAsia="Calibri" w:hAnsi="Calibri"/>
                <w:color w:val="1A1A1A"/>
                <w:sz w:val="19"/>
                <w:szCs w:val="19"/>
              </w:rPr>
              <w:t xml:space="preserve">├── 12_mlflow_logging.py   # Experiment tracking; model registry</w:t>
            </w:r>
          </w:p>
          <w:p>
            <w:pPr>
              <w:spacing w:after="22" w:before="22" w:line="260"/>
            </w:pPr>
            <w:r>
              <w:rPr>
                <w:rFonts w:ascii="Calibri" w:cs="Calibri" w:eastAsia="Calibri" w:hAnsi="Calibri"/>
                <w:color w:val="1A1A1A"/>
                <w:sz w:val="19"/>
                <w:szCs w:val="19"/>
              </w:rPr>
              <w:t xml:space="preserve">├── tests/</w:t>
            </w:r>
          </w:p>
          <w:p>
            <w:pPr>
              <w:spacing w:after="22" w:before="22" w:line="260"/>
            </w:pPr>
            <w:r>
              <w:rPr>
                <w:rFonts w:ascii="Courier New" w:cs="Courier New" w:eastAsia="Courier New" w:hAnsi="Courier New"/>
                <w:color w:val="1A1A1A"/>
                <w:sz w:val="19"/>
                <w:szCs w:val="19"/>
              </w:rPr>
              <w:t xml:space="preserve">│   ├── test_lms_calculation.py   # Unit tests: WHO formula correctness</w:t>
            </w:r>
          </w:p>
          <w:p>
            <w:pPr>
              <w:spacing w:after="22" w:before="22" w:line="260"/>
            </w:pPr>
            <w:r>
              <w:rPr>
                <w:rFonts w:ascii="Courier New" w:cs="Courier New" w:eastAsia="Courier New" w:hAnsi="Courier New"/>
                <w:color w:val="1A1A1A"/>
                <w:sz w:val="19"/>
                <w:szCs w:val="19"/>
              </w:rPr>
              <w:t xml:space="preserve">│   ├── test_leakage_check.py     # No future data in training features</w:t>
            </w:r>
          </w:p>
          <w:p>
            <w:pPr>
              <w:spacing w:after="22" w:before="22" w:line="260"/>
            </w:pPr>
            <w:r>
              <w:rPr>
                <w:rFonts w:ascii="Courier New" w:cs="Courier New" w:eastAsia="Courier New" w:hAnsi="Courier New"/>
                <w:color w:val="1A1A1A"/>
                <w:sz w:val="19"/>
                <w:szCs w:val="19"/>
              </w:rPr>
              <w:t xml:space="preserve">│   └── test_clinical_thresholds.py  # Alert logic correctness</w:t>
            </w:r>
          </w:p>
          <w:p>
            <w:pPr>
              <w:spacing w:after="22" w:before="22" w:line="260"/>
            </w:pPr>
            <w:r>
              <w:rPr>
                <w:rFonts w:ascii="Calibri" w:cs="Calibri" w:eastAsia="Calibri" w:hAnsi="Calibri"/>
                <w:color w:val="1A1A1A"/>
                <w:sz w:val="19"/>
                <w:szCs w:val="19"/>
              </w:rPr>
              <w:t xml:space="preserve">├── requirements.txt</w:t>
            </w:r>
          </w:p>
          <w:p>
            <w:pPr>
              <w:spacing w:after="22" w:before="22" w:line="260"/>
            </w:pPr>
            <w:r>
              <w:rPr>
                <w:rFonts w:ascii="Calibri" w:cs="Calibri" w:eastAsia="Calibri" w:hAnsi="Calibri"/>
                <w:color w:val="1A1A1A"/>
                <w:sz w:val="19"/>
                <w:szCs w:val="19"/>
              </w:rPr>
              <w:t xml:space="preserve">├── Dockerfile</w:t>
            </w:r>
          </w:p>
          <w:p>
            <w:pPr>
              <w:spacing w:after="22" w:before="22" w:line="260"/>
            </w:pPr>
            <w:r>
              <w:rPr>
                <w:rFonts w:ascii="Courier New" w:cs="Courier New" w:eastAsia="Courier New" w:hAnsi="Courier New"/>
                <w:color w:val="1A1A1A"/>
                <w:sz w:val="19"/>
                <w:szCs w:val="19"/>
              </w:rPr>
              <w:t xml:space="preserve">└── METHODOLOGY_CARD.md    # Auto-generated clinical methodology documentation</w:t>
            </w:r>
          </w:p>
        </w:tc>
      </w:tr>
    </w:tbl>
    <w:p>
      <w:pPr>
        <w:spacing w:after="180" w:before="60"/>
        <w:jc w:val="center"/>
      </w:pPr>
      <w:r>
        <w:rPr>
          <w:rFonts w:ascii="Calibri" w:cs="Calibri" w:eastAsia="Calibri" w:hAnsi="Calibri"/>
          <w:i/>
          <w:iCs/>
          <w:color w:val="555555"/>
          <w:sz w:val="19"/>
          <w:szCs w:val="19"/>
        </w:rPr>
        <w:t xml:space="preserve">Figure 8.1: Auto-generated project structure for the Children Growth Prediction system.</w:t>
      </w:r>
    </w:p>
    <w:p>
      <w:pPr>
        <w:spacing w:after="30" w:before="30"/>
      </w:pPr>
      <w:r>
        <w:t xml:space="preserve"/>
      </w:r>
    </w:p>
    <w:p>
      <w:pPr>
        <w:pStyle w:val="Heading3"/>
      </w:pPr>
      <w:r>
        <w:rPr>
          <w:rFonts w:ascii="Calibri" w:cs="Calibri" w:eastAsia="Calibri" w:hAnsi="Calibri"/>
          <w:b/>
          <w:bCs/>
          <w:i/>
          <w:iCs/>
        </w:rPr>
        <w:t xml:space="preserve">Generated Code: LMS Z-Score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 Generated: 03_feature_engineering.py  [Source: WHO MGRS LMS tables]</w:t>
            </w:r>
          </w:p>
          <w:p>
            <w:pPr>
              <w:spacing w:after="22" w:before="22" w:line="260"/>
            </w:pPr>
            <w:r>
              <w:rPr>
                <w:rFonts w:ascii="Courier New" w:cs="Courier New" w:eastAsia="Courier New" w:hAnsi="Courier New"/>
                <w:color w:val="1A1A1A"/>
                <w:sz w:val="19"/>
                <w:szCs w:val="19"/>
              </w:rPr>
              <w:t xml:space="preserve"># Platform: WizardML-CodeGen | Reference: WHO 2006 / CDC 2000</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import numpy as np</w:t>
            </w:r>
          </w:p>
          <w:p>
            <w:pPr>
              <w:spacing w:after="22" w:before="22" w:line="260"/>
            </w:pPr>
            <w:r>
              <w:rPr>
                <w:rFonts w:ascii="Courier New" w:cs="Courier New" w:eastAsia="Courier New" w:hAnsi="Courier New"/>
                <w:color w:val="1A1A1A"/>
                <w:sz w:val="19"/>
                <w:szCs w:val="19"/>
              </w:rPr>
              <w:t xml:space="preserve">import pandas as pd</w:t>
            </w:r>
          </w:p>
          <w:p>
            <w:pPr>
              <w:spacing w:after="22" w:before="22" w:line="260"/>
            </w:pPr>
            <w:r>
              <w:rPr>
                <w:rFonts w:ascii="Courier New" w:cs="Courier New" w:eastAsia="Courier New" w:hAnsi="Courier New"/>
                <w:color w:val="1A1A1A"/>
                <w:sz w:val="19"/>
                <w:szCs w:val="19"/>
              </w:rPr>
              <w:t xml:space="preserve">from pathlib import Path</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[Auto] Load WHO MGRS LMS tables (pre-packaged reference data)</w:t>
            </w:r>
          </w:p>
          <w:p>
            <w:pPr>
              <w:spacing w:after="22" w:before="22" w:line="260"/>
            </w:pPr>
            <w:r>
              <w:rPr>
                <w:rFonts w:ascii="Calibri" w:cs="Calibri" w:eastAsia="Calibri" w:hAnsi="Calibri"/>
                <w:color w:val="1A1A1A"/>
                <w:sz w:val="19"/>
                <w:szCs w:val="19"/>
              </w:rPr>
              <w:t xml:space="preserve">WHO_TABLES = {</w:t>
            </w:r>
          </w:p>
          <w:p>
            <w:pPr>
              <w:spacing w:after="22" w:before="22" w:line="260"/>
            </w:pPr>
            <w:r>
              <w:rPr>
                <w:rFonts w:ascii="Courier New" w:cs="Courier New" w:eastAsia="Courier New" w:hAnsi="Courier New"/>
                <w:color w:val="1A1A1A"/>
                <w:sz w:val="19"/>
                <w:szCs w:val="19"/>
              </w:rPr>
              <w:t xml:space="preserve">    ('height', 'M'): pd.read_csv('references/who_hfa_boys_lms.csv'),</w:t>
            </w:r>
          </w:p>
          <w:p>
            <w:pPr>
              <w:spacing w:after="22" w:before="22" w:line="260"/>
            </w:pPr>
            <w:r>
              <w:rPr>
                <w:rFonts w:ascii="Courier New" w:cs="Courier New" w:eastAsia="Courier New" w:hAnsi="Courier New"/>
                <w:color w:val="1A1A1A"/>
                <w:sz w:val="19"/>
                <w:szCs w:val="19"/>
              </w:rPr>
              <w:t xml:space="preserve">    ('height', 'F'): pd.read_csv('references/who_hfa_girls_lms.csv'),</w:t>
            </w:r>
          </w:p>
          <w:p>
            <w:pPr>
              <w:spacing w:after="22" w:before="22" w:line="260"/>
            </w:pPr>
            <w:r>
              <w:rPr>
                <w:rFonts w:ascii="Courier New" w:cs="Courier New" w:eastAsia="Courier New" w:hAnsi="Courier New"/>
                <w:color w:val="1A1A1A"/>
                <w:sz w:val="19"/>
                <w:szCs w:val="19"/>
              </w:rPr>
              <w:t xml:space="preserve">    ('weight', 'M'): pd.read_csv('references/who_wfa_boys_lms.csv'),</w:t>
            </w:r>
          </w:p>
          <w:p>
            <w:pPr>
              <w:spacing w:after="22" w:before="22" w:line="260"/>
            </w:pPr>
            <w:r>
              <w:rPr>
                <w:rFonts w:ascii="Courier New" w:cs="Courier New" w:eastAsia="Courier New" w:hAnsi="Courier New"/>
                <w:color w:val="1A1A1A"/>
                <w:sz w:val="19"/>
                <w:szCs w:val="19"/>
              </w:rPr>
              <w:t xml:space="preserve">    ('weight', 'F'): pd.read_csv('references/who_wfa_girls_lms.csv'),</w:t>
            </w:r>
          </w:p>
          <w:p>
            <w:pPr>
              <w:spacing w:after="22" w:before="22" w:line="260"/>
            </w:pPr>
            <w:r>
              <w:rPr>
                <w:rFonts w:ascii="Courier New" w:cs="Courier New" w:eastAsia="Courier New" w:hAnsi="Courier New"/>
                <w:color w:val="1A1A1A"/>
                <w:sz w:val="19"/>
                <w:szCs w:val="19"/>
              </w:rPr>
              <w:t xml:space="preserve">    ('bmi',    'M'): pd.read_csv('references/who_bfa_boys_lms.csv'),</w:t>
            </w:r>
          </w:p>
          <w:p>
            <w:pPr>
              <w:spacing w:after="22" w:before="22" w:line="260"/>
            </w:pPr>
            <w:r>
              <w:rPr>
                <w:rFonts w:ascii="Courier New" w:cs="Courier New" w:eastAsia="Courier New" w:hAnsi="Courier New"/>
                <w:color w:val="1A1A1A"/>
                <w:sz w:val="19"/>
                <w:szCs w:val="19"/>
              </w:rPr>
              <w:t xml:space="preserve">    ('bmi',    'F'): pd.read_csv('references/who_bfa_girls_lms.csv'),</w:t>
            </w:r>
          </w:p>
          <w:p>
            <w:pPr>
              <w:spacing w:after="22" w:before="22" w:line="260"/>
            </w:pPr>
            <w:r>
              <w:rPr>
                <w:rFonts w:ascii="Calibri" w:cs="Calibri" w:eastAsia="Calibri" w:hAnsi="Calibri"/>
                <w:color w:val="1A1A1A"/>
                <w:sz w:val="19"/>
                <w:szCs w:val="19"/>
              </w:rPr>
              <w:t xml:space="preserve">}</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def compute_lms_zscore(value: float, age_months: float,</w:t>
            </w:r>
          </w:p>
          <w:p>
            <w:pPr>
              <w:spacing w:after="22" w:before="22" w:line="260"/>
            </w:pPr>
            <w:r>
              <w:rPr>
                <w:rFonts w:ascii="Courier New" w:cs="Courier New" w:eastAsia="Courier New" w:hAnsi="Courier New"/>
                <w:color w:val="1A1A1A"/>
                <w:sz w:val="19"/>
                <w:szCs w:val="19"/>
              </w:rPr>
              <w:t xml:space="preserve">                        sex: str, measure: str) -&gt; float:</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Compute WHO LMS z-score for a growth measurement.</w:t>
            </w:r>
          </w:p>
          <w:p>
            <w:pPr>
              <w:spacing w:after="22" w:before="22" w:line="260"/>
            </w:pPr>
            <w:r>
              <w:rPr>
                <w:rFonts w:ascii="Courier New" w:cs="Courier New" w:eastAsia="Courier New" w:hAnsi="Courier New"/>
                <w:color w:val="1A1A1A"/>
                <w:sz w:val="19"/>
                <w:szCs w:val="19"/>
              </w:rPr>
              <w:t xml:space="preserve">    Applies modified z-score formula for extreme values (|Z| &gt; 3).</w:t>
            </w:r>
          </w:p>
          <w:p>
            <w:pPr>
              <w:spacing w:after="22" w:before="22" w:line="260"/>
            </w:pPr>
            <w:r>
              <w:rPr>
                <w:rFonts w:ascii="Courier New" w:cs="Courier New" w:eastAsia="Courier New" w:hAnsi="Courier New"/>
                <w:color w:val="1A1A1A"/>
                <w:sz w:val="19"/>
                <w:szCs w:val="19"/>
              </w:rPr>
              <w:t xml:space="preserve">    Refs: WHO MGRS (2006); Cole &amp; Green (1992) LMS method.</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 [Wizard] Reference standard: WHO MGRS (user selected in Step 1)</w:t>
            </w:r>
          </w:p>
          <w:p>
            <w:pPr>
              <w:spacing w:after="22" w:before="22" w:line="260"/>
            </w:pPr>
            <w:r>
              <w:rPr>
                <w:rFonts w:ascii="Courier New" w:cs="Courier New" w:eastAsia="Courier New" w:hAnsi="Courier New"/>
                <w:color w:val="1A1A1A"/>
                <w:sz w:val="19"/>
                <w:szCs w:val="19"/>
              </w:rPr>
              <w:t xml:space="preserve">    lms_table = WHO_TABLES[(measure, sex)]</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 Interpolate L, M, S at the child's exact age</w:t>
            </w:r>
          </w:p>
          <w:p>
            <w:pPr>
              <w:spacing w:after="22" w:before="22" w:line="260"/>
            </w:pPr>
            <w:r>
              <w:rPr>
                <w:rFonts w:ascii="Courier New" w:cs="Courier New" w:eastAsia="Courier New" w:hAnsi="Courier New"/>
                <w:color w:val="1A1A1A"/>
                <w:sz w:val="19"/>
                <w:szCs w:val="19"/>
              </w:rPr>
              <w:t xml:space="preserve">    L = np.interp(age_months, lms_table['age'], lms_table['L'])</w:t>
            </w:r>
          </w:p>
          <w:p>
            <w:pPr>
              <w:spacing w:after="22" w:before="22" w:line="260"/>
            </w:pPr>
            <w:r>
              <w:rPr>
                <w:rFonts w:ascii="Courier New" w:cs="Courier New" w:eastAsia="Courier New" w:hAnsi="Courier New"/>
                <w:color w:val="1A1A1A"/>
                <w:sz w:val="19"/>
                <w:szCs w:val="19"/>
              </w:rPr>
              <w:t xml:space="preserve">    M = np.interp(age_months, lms_table['age'], lms_table['M'])</w:t>
            </w:r>
          </w:p>
          <w:p>
            <w:pPr>
              <w:spacing w:after="22" w:before="22" w:line="260"/>
            </w:pPr>
            <w:r>
              <w:rPr>
                <w:rFonts w:ascii="Courier New" w:cs="Courier New" w:eastAsia="Courier New" w:hAnsi="Courier New"/>
                <w:color w:val="1A1A1A"/>
                <w:sz w:val="19"/>
                <w:szCs w:val="19"/>
              </w:rPr>
              <w:t xml:space="preserve">    S = np.interp(age_months, lms_table['age'], lms_table['S'])</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 Core LMS z-score formula (Eq. 1.2)</w:t>
            </w:r>
          </w:p>
          <w:p>
            <w:pPr>
              <w:spacing w:after="22" w:before="22" w:line="260"/>
            </w:pPr>
            <w:r>
              <w:rPr>
                <w:rFonts w:ascii="Courier New" w:cs="Courier New" w:eastAsia="Courier New" w:hAnsi="Courier New"/>
                <w:color w:val="1A1A1A"/>
                <w:sz w:val="19"/>
                <w:szCs w:val="19"/>
              </w:rPr>
              <w:t xml:space="preserve">    if abs(L) &lt; 1e-6:  # L ≈ 0: log-normal approximation</w:t>
            </w:r>
          </w:p>
          <w:p>
            <w:pPr>
              <w:spacing w:after="22" w:before="22" w:line="260"/>
            </w:pPr>
            <w:r>
              <w:rPr>
                <w:rFonts w:ascii="Courier New" w:cs="Courier New" w:eastAsia="Courier New" w:hAnsi="Courier New"/>
                <w:color w:val="1A1A1A"/>
                <w:sz w:val="19"/>
                <w:szCs w:val="19"/>
              </w:rPr>
              <w:t xml:space="preserve">        z = np.log(value / M) / S</w:t>
            </w:r>
          </w:p>
          <w:p>
            <w:pPr>
              <w:spacing w:after="22" w:before="22" w:line="260"/>
            </w:pPr>
            <w:r>
              <w:rPr>
                <w:rFonts w:ascii="Courier New" w:cs="Courier New" w:eastAsia="Courier New" w:hAnsi="Courier New"/>
                <w:color w:val="1A1A1A"/>
                <w:sz w:val="19"/>
                <w:szCs w:val="19"/>
              </w:rPr>
              <w:t xml:space="preserve">    else:</w:t>
            </w:r>
          </w:p>
          <w:p>
            <w:pPr>
              <w:spacing w:after="22" w:before="22" w:line="260"/>
            </w:pPr>
            <w:r>
              <w:rPr>
                <w:rFonts w:ascii="Courier New" w:cs="Courier New" w:eastAsia="Courier New" w:hAnsi="Courier New"/>
                <w:color w:val="1A1A1A"/>
                <w:sz w:val="19"/>
                <w:szCs w:val="19"/>
              </w:rPr>
              <w:t xml:space="preserve">        z = ((value / M) ** L - 1) / (L * S)</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 [Safety] WHO modified formula for extreme values (|Z| &gt; 3) (Eq. 1.3)</w:t>
            </w:r>
          </w:p>
          <w:p>
            <w:pPr>
              <w:spacing w:after="22" w:before="22" w:line="260"/>
            </w:pPr>
            <w:r>
              <w:rPr>
                <w:rFonts w:ascii="Courier New" w:cs="Courier New" w:eastAsia="Courier New" w:hAnsi="Courier New"/>
                <w:color w:val="1A1A1A"/>
                <w:sz w:val="19"/>
                <w:szCs w:val="19"/>
              </w:rPr>
              <w:t xml:space="preserve">    if abs(z) &gt; 3:</w:t>
            </w:r>
          </w:p>
          <w:p>
            <w:pPr>
              <w:spacing w:after="22" w:before="22" w:line="260"/>
            </w:pPr>
            <w:r>
              <w:rPr>
                <w:rFonts w:ascii="Courier New" w:cs="Courier New" w:eastAsia="Courier New" w:hAnsi="Courier New"/>
                <w:color w:val="1A1A1A"/>
                <w:sz w:val="19"/>
                <w:szCs w:val="19"/>
              </w:rPr>
              <w:t xml:space="preserve">        sd3 = M * (1 + L * S * np.sign(z) * 3) ** (1/L)</w:t>
            </w:r>
          </w:p>
          <w:p>
            <w:pPr>
              <w:spacing w:after="22" w:before="22" w:line="260"/>
            </w:pPr>
            <w:r>
              <w:rPr>
                <w:rFonts w:ascii="Courier New" w:cs="Courier New" w:eastAsia="Courier New" w:hAnsi="Courier New"/>
                <w:color w:val="1A1A1A"/>
                <w:sz w:val="19"/>
                <w:szCs w:val="19"/>
              </w:rPr>
              <w:t xml:space="preserve">        sd2 = M * (1 + L * S * np.sign(z) * 2) ** (1/L)</w:t>
            </w:r>
          </w:p>
          <w:p>
            <w:pPr>
              <w:spacing w:after="22" w:before="22" w:line="260"/>
            </w:pPr>
            <w:r>
              <w:rPr>
                <w:rFonts w:ascii="Courier New" w:cs="Courier New" w:eastAsia="Courier New" w:hAnsi="Courier New"/>
                <w:color w:val="1A1A1A"/>
                <w:sz w:val="19"/>
                <w:szCs w:val="19"/>
              </w:rPr>
              <w:t xml:space="preserve">        sd23 = abs(sd3 - sd2)</w:t>
            </w:r>
          </w:p>
          <w:p>
            <w:pPr>
              <w:spacing w:after="22" w:before="22" w:line="260"/>
            </w:pPr>
            <w:r>
              <w:rPr>
                <w:rFonts w:ascii="Courier New" w:cs="Courier New" w:eastAsia="Courier New" w:hAnsi="Courier New"/>
                <w:color w:val="1A1A1A"/>
                <w:sz w:val="19"/>
                <w:szCs w:val="19"/>
              </w:rPr>
              <w:t xml:space="preserve">        z = np.sign(z) * (3 + (abs(value) - abs(sd3)) / sd23)</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return round(z, 3)</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def flag_impossible_values(df: pd.DataFrame) -&gt; pd.DataFrame:</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Flag biologically impossible growth measurements for manual review.</w:t>
            </w:r>
          </w:p>
          <w:p>
            <w:pPr>
              <w:spacing w:after="22" w:before="22" w:line="260"/>
            </w:pPr>
            <w:r>
              <w:rPr>
                <w:rFonts w:ascii="Courier New" w:cs="Courier New" w:eastAsia="Courier New" w:hAnsi="Courier New"/>
                <w:color w:val="1A1A1A"/>
                <w:sz w:val="19"/>
                <w:szCs w:val="19"/>
              </w:rPr>
              <w:t xml:space="preserve">    Does NOT impute — impossible values are excluded from model training.</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df = df.copy()</w:t>
            </w:r>
          </w:p>
          <w:p>
            <w:pPr>
              <w:spacing w:after="22" w:before="22" w:line="260"/>
            </w:pPr>
            <w:r>
              <w:rPr>
                <w:rFonts w:ascii="Courier New" w:cs="Courier New" w:eastAsia="Courier New" w:hAnsi="Courier New"/>
                <w:color w:val="1A1A1A"/>
                <w:sz w:val="19"/>
                <w:szCs w:val="19"/>
              </w:rPr>
              <w:t xml:space="preserve">    # Height decrease &gt; 0.5 cm after age 24 months</w:t>
            </w:r>
          </w:p>
          <w:p>
            <w:pPr>
              <w:spacing w:after="22" w:before="22" w:line="260"/>
            </w:pPr>
            <w:r>
              <w:rPr>
                <w:rFonts w:ascii="Courier New" w:cs="Courier New" w:eastAsia="Courier New" w:hAnsi="Courier New"/>
                <w:color w:val="1A1A1A"/>
                <w:sz w:val="19"/>
                <w:szCs w:val="19"/>
              </w:rPr>
              <w:t xml:space="preserve">    df['height_decrease'] = df.groupby('child_id')['height_cm'].diff() &lt; -0.5</w:t>
            </w:r>
          </w:p>
          <w:p>
            <w:pPr>
              <w:spacing w:after="22" w:before="22" w:line="260"/>
            </w:pPr>
            <w:r>
              <w:rPr>
                <w:rFonts w:ascii="Courier New" w:cs="Courier New" w:eastAsia="Courier New" w:hAnsi="Courier New"/>
                <w:color w:val="1A1A1A"/>
                <w:sz w:val="19"/>
                <w:szCs w:val="19"/>
              </w:rPr>
              <w:t xml:space="preserve">    df['age_above_2yr']   = df['age_months'] &gt; 24</w:t>
            </w:r>
          </w:p>
          <w:p>
            <w:pPr>
              <w:spacing w:after="22" w:before="22" w:line="260"/>
            </w:pPr>
            <w:r>
              <w:rPr>
                <w:rFonts w:ascii="Courier New" w:cs="Courier New" w:eastAsia="Courier New" w:hAnsi="Courier New"/>
                <w:color w:val="1A1A1A"/>
                <w:sz w:val="19"/>
                <w:szCs w:val="19"/>
              </w:rPr>
              <w:t xml:space="preserve">    df['flag_impossible'] = df['height_decrease'] &amp; df['age_above_2yr']</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n_flagged = df['flag_impossible'].sum()</w:t>
            </w:r>
          </w:p>
          <w:p>
            <w:pPr>
              <w:spacing w:after="22" w:before="22" w:line="260"/>
            </w:pPr>
            <w:r>
              <w:rPr>
                <w:rFonts w:ascii="Courier New" w:cs="Courier New" w:eastAsia="Courier New" w:hAnsi="Courier New"/>
                <w:color w:val="1A1A1A"/>
                <w:sz w:val="19"/>
                <w:szCs w:val="19"/>
              </w:rPr>
              <w:t xml:space="preserve">    if n_flagged &gt; 0:</w:t>
            </w:r>
          </w:p>
          <w:p>
            <w:pPr>
              <w:spacing w:after="22" w:before="22" w:line="260"/>
            </w:pPr>
            <w:r>
              <w:rPr>
                <w:rFonts w:ascii="Courier New" w:cs="Courier New" w:eastAsia="Courier New" w:hAnsi="Courier New"/>
                <w:color w:val="1A1A1A"/>
                <w:sz w:val="19"/>
                <w:szCs w:val="19"/>
              </w:rPr>
              <w:t xml:space="preserve">        print(f'⚠️  {n_flagged} impossible height decreases flagged — EXCLUDED')</w:t>
            </w:r>
          </w:p>
          <w:p>
            <w:pPr>
              <w:spacing w:after="22" w:before="22" w:line="260"/>
            </w:pPr>
            <w:r>
              <w:rPr>
                <w:rFonts w:ascii="Courier New" w:cs="Courier New" w:eastAsia="Courier New" w:hAnsi="Courier New"/>
                <w:color w:val="1A1A1A"/>
                <w:sz w:val="19"/>
                <w:szCs w:val="19"/>
              </w:rPr>
              <w:t xml:space="preserve">    return df</w:t>
            </w:r>
          </w:p>
        </w:tc>
      </w:tr>
    </w:tbl>
    <w:p>
      <w:pPr>
        <w:spacing w:after="180" w:before="60"/>
        <w:jc w:val="center"/>
      </w:pPr>
      <w:r>
        <w:rPr>
          <w:rFonts w:ascii="Calibri" w:cs="Calibri" w:eastAsia="Calibri" w:hAnsi="Calibri"/>
          <w:i/>
          <w:iCs/>
          <w:color w:val="555555"/>
          <w:sz w:val="19"/>
          <w:szCs w:val="19"/>
        </w:rPr>
        <w:t xml:space="preserve">Figure 8.2: Auto-generated LMS z-score computation and data validation code.</w:t>
      </w:r>
    </w:p>
    <w:p>
      <w:pPr>
        <w:spacing w:after="30" w:before="30"/>
      </w:pPr>
      <w:r>
        <w:t xml:space="preserve"/>
      </w:r>
    </w:p>
    <w:p>
      <w:pPr>
        <w:pStyle w:val="Heading3"/>
      </w:pPr>
      <w:r>
        <w:rPr>
          <w:rFonts w:ascii="Calibri" w:cs="Calibri" w:eastAsia="Calibri" w:hAnsi="Calibri"/>
          <w:b/>
          <w:bCs/>
          <w:i/>
          <w:iCs/>
        </w:rPr>
        <w:t xml:space="preserve">Generated Code: LSTM Trajectory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 Generated: 07_model_lstm.py  [Source: similar project 'Pediatric Vitals Forecasting']</w:t>
            </w:r>
          </w:p>
          <w:p>
            <w:pPr>
              <w:spacing w:after="22" w:before="22" w:line="260"/>
            </w:pPr>
            <w:r>
              <w:rPr>
                <w:rFonts w:ascii="Courier New" w:cs="Courier New" w:eastAsia="Courier New" w:hAnsi="Courier New"/>
                <w:color w:val="1A1A1A"/>
                <w:sz w:val="19"/>
                <w:szCs w:val="19"/>
              </w:rPr>
              <w:t xml:space="preserve"># [Wizard] HP: n_layers=2, hidden=128, dropout=0.30, horizon=3 months</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import torch, torch.nn as nn</w:t>
            </w:r>
          </w:p>
          <w:p>
            <w:pPr>
              <w:spacing w:after="22" w:before="22" w:line="260"/>
            </w:pPr>
            <w:r>
              <w:rPr>
                <w:rFonts w:ascii="Courier New" w:cs="Courier New" w:eastAsia="Courier New" w:hAnsi="Courier New"/>
                <w:color w:val="1A1A1A"/>
                <w:sz w:val="19"/>
                <w:szCs w:val="19"/>
              </w:rPr>
              <w:t xml:space="preserve">import mlflow</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class GrowthLSTM(nn.Module):</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LSTM model for multi-step children growth trajectory prediction.</w:t>
            </w:r>
          </w:p>
          <w:p>
            <w:pPr>
              <w:spacing w:after="22" w:before="22" w:line="260"/>
            </w:pPr>
            <w:r>
              <w:rPr>
                <w:rFonts w:ascii="Courier New" w:cs="Courier New" w:eastAsia="Courier New" w:hAnsi="Courier New"/>
                <w:color w:val="1A1A1A"/>
                <w:sz w:val="19"/>
                <w:szCs w:val="19"/>
              </w:rPr>
              <w:t xml:space="preserve">    Input: sequence of [HAZ, WAZ, WHZ, age_months, gap_months, n_features]</w:t>
            </w:r>
          </w:p>
          <w:p>
            <w:pPr>
              <w:spacing w:after="22" w:before="22" w:line="260"/>
            </w:pPr>
            <w:r>
              <w:rPr>
                <w:rFonts w:ascii="Courier New" w:cs="Courier New" w:eastAsia="Courier New" w:hAnsi="Courier New"/>
                <w:color w:val="1A1A1A"/>
                <w:sz w:val="19"/>
                <w:szCs w:val="19"/>
              </w:rPr>
              <w:t xml:space="preserve">    Output: predicted [HAZ, WAZ] at t+1, t+3, t+6 months ahead</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 [Wizard] n_layers=2 (14 avg visits/child in dataset → sufficient for 2 layers)</w:t>
            </w:r>
          </w:p>
          <w:p>
            <w:pPr>
              <w:spacing w:after="22" w:before="22" w:line="260"/>
            </w:pPr>
            <w:r>
              <w:rPr>
                <w:rFonts w:ascii="Courier New" w:cs="Courier New" w:eastAsia="Courier New" w:hAnsi="Courier New"/>
                <w:color w:val="1A1A1A"/>
                <w:sz w:val="19"/>
                <w:szCs w:val="19"/>
              </w:rPr>
              <w:t xml:space="preserve">    # [Wizard] hidden=128 (n_children=1204 → medium dataset → 128 units)</w:t>
            </w:r>
          </w:p>
          <w:p>
            <w:pPr>
              <w:spacing w:after="22" w:before="22" w:line="260"/>
            </w:pPr>
            <w:r>
              <w:rPr>
                <w:rFonts w:ascii="Courier New" w:cs="Courier New" w:eastAsia="Courier New" w:hAnsi="Courier New"/>
                <w:color w:val="1A1A1A"/>
                <w:sz w:val="19"/>
                <w:szCs w:val="19"/>
              </w:rPr>
              <w:t xml:space="preserve">    # [Wizard] dropout=0.30 (dataset &lt; 2000 children → higher dropout)</w:t>
            </w:r>
          </w:p>
          <w:p>
            <w:pPr>
              <w:spacing w:after="22" w:before="22" w:line="260"/>
            </w:pPr>
            <w:r>
              <w:rPr>
                <w:rFonts w:ascii="Courier New" w:cs="Courier New" w:eastAsia="Courier New" w:hAnsi="Courier New"/>
                <w:color w:val="1A1A1A"/>
                <w:sz w:val="19"/>
                <w:szCs w:val="19"/>
              </w:rPr>
              <w:t xml:space="preserve">    def __init__(self, input_size=18, hidden=128, n_layers=2,</w:t>
            </w:r>
          </w:p>
          <w:p>
            <w:pPr>
              <w:spacing w:after="22" w:before="22" w:line="260"/>
            </w:pPr>
            <w:r>
              <w:rPr>
                <w:rFonts w:ascii="Courier New" w:cs="Courier New" w:eastAsia="Courier New" w:hAnsi="Courier New"/>
                <w:color w:val="1A1A1A"/>
                <w:sz w:val="19"/>
                <w:szCs w:val="19"/>
              </w:rPr>
              <w:t xml:space="preserve">                 dropout=0.30, horizons=(1,3,6)):</w:t>
            </w:r>
          </w:p>
          <w:p>
            <w:pPr>
              <w:spacing w:after="22" w:before="22" w:line="260"/>
            </w:pPr>
            <w:r>
              <w:rPr>
                <w:rFonts w:ascii="Courier New" w:cs="Courier New" w:eastAsia="Courier New" w:hAnsi="Courier New"/>
                <w:color w:val="1A1A1A"/>
                <w:sz w:val="19"/>
                <w:szCs w:val="19"/>
              </w:rPr>
              <w:t xml:space="preserve">        super().__init__()</w:t>
            </w:r>
          </w:p>
          <w:p>
            <w:pPr>
              <w:spacing w:after="22" w:before="22" w:line="260"/>
            </w:pPr>
            <w:r>
              <w:rPr>
                <w:rFonts w:ascii="Courier New" w:cs="Courier New" w:eastAsia="Courier New" w:hAnsi="Courier New"/>
                <w:color w:val="1A1A1A"/>
                <w:sz w:val="19"/>
                <w:szCs w:val="19"/>
              </w:rPr>
              <w:t xml:space="preserve">        self.horizons = horizons</w:t>
            </w:r>
          </w:p>
          <w:p>
            <w:pPr>
              <w:spacing w:after="22" w:before="22" w:line="260"/>
            </w:pPr>
            <w:r>
              <w:rPr>
                <w:rFonts w:ascii="Courier New" w:cs="Courier New" w:eastAsia="Courier New" w:hAnsi="Courier New"/>
                <w:color w:val="1A1A1A"/>
                <w:sz w:val="19"/>
                <w:szCs w:val="19"/>
              </w:rPr>
              <w:t xml:space="preserve">        self.lstm = nn.LSTM(input_size, hidden, n_layers,</w:t>
            </w:r>
          </w:p>
          <w:p>
            <w:pPr>
              <w:spacing w:after="22" w:before="22" w:line="260"/>
            </w:pPr>
            <w:r>
              <w:rPr>
                <w:rFonts w:ascii="Courier New" w:cs="Courier New" w:eastAsia="Courier New" w:hAnsi="Courier New"/>
                <w:color w:val="1A1A1A"/>
                <w:sz w:val="19"/>
                <w:szCs w:val="19"/>
              </w:rPr>
              <w:t xml:space="preserve">                            dropout=dropout, batch_first=True)</w:t>
            </w:r>
          </w:p>
          <w:p>
            <w:pPr>
              <w:spacing w:after="22" w:before="22" w:line="260"/>
            </w:pPr>
            <w:r>
              <w:rPr>
                <w:rFonts w:ascii="Courier New" w:cs="Courier New" w:eastAsia="Courier New" w:hAnsi="Courier New"/>
                <w:color w:val="1A1A1A"/>
                <w:sz w:val="19"/>
                <w:szCs w:val="19"/>
              </w:rPr>
              <w:t xml:space="preserve">        self.dropout = nn.Dropout(dropout)</w:t>
            </w:r>
          </w:p>
          <w:p>
            <w:pPr>
              <w:spacing w:after="22" w:before="22" w:line="260"/>
            </w:pPr>
            <w:r>
              <w:rPr>
                <w:rFonts w:ascii="Courier New" w:cs="Courier New" w:eastAsia="Courier New" w:hAnsi="Courier New"/>
                <w:color w:val="1A1A1A"/>
                <w:sz w:val="19"/>
                <w:szCs w:val="19"/>
              </w:rPr>
              <w:t xml:space="preserve">        # Separate prediction head per horizon (multi-task output)</w:t>
            </w:r>
          </w:p>
          <w:p>
            <w:pPr>
              <w:spacing w:after="22" w:before="22" w:line="260"/>
            </w:pPr>
            <w:r>
              <w:rPr>
                <w:rFonts w:ascii="Courier New" w:cs="Courier New" w:eastAsia="Courier New" w:hAnsi="Courier New"/>
                <w:color w:val="1A1A1A"/>
                <w:sz w:val="19"/>
                <w:szCs w:val="19"/>
              </w:rPr>
              <w:t xml:space="preserve">        self.heads = nn.ModuleDict({</w:t>
            </w:r>
          </w:p>
          <w:p>
            <w:pPr>
              <w:spacing w:after="22" w:before="22" w:line="260"/>
            </w:pPr>
            <w:r>
              <w:rPr>
                <w:rFonts w:ascii="Courier New" w:cs="Courier New" w:eastAsia="Courier New" w:hAnsi="Courier New"/>
                <w:color w:val="1A1A1A"/>
                <w:sz w:val="19"/>
                <w:szCs w:val="19"/>
              </w:rPr>
              <w:t xml:space="preserve">            f'h{h}': nn.Linear(hidden, 2) for h in horizons  # HAZ + WAZ</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    def forward(self, x, mask=None):</w:t>
            </w:r>
          </w:p>
          <w:p>
            <w:pPr>
              <w:spacing w:after="22" w:before="22" w:line="260"/>
            </w:pPr>
            <w:r>
              <w:rPr>
                <w:rFonts w:ascii="Courier New" w:cs="Courier New" w:eastAsia="Courier New" w:hAnsi="Courier New"/>
                <w:color w:val="1A1A1A"/>
                <w:sz w:val="19"/>
                <w:szCs w:val="19"/>
              </w:rPr>
              <w:t xml:space="preserve">        out, (hn, _) = self.lstm(x)  # out: (batch, seq, hidden)</w:t>
            </w:r>
          </w:p>
          <w:p>
            <w:pPr>
              <w:spacing w:after="22" w:before="22" w:line="260"/>
            </w:pPr>
            <w:r>
              <w:rPr>
                <w:rFonts w:ascii="Courier New" w:cs="Courier New" w:eastAsia="Courier New" w:hAnsi="Courier New"/>
                <w:color w:val="1A1A1A"/>
                <w:sz w:val="19"/>
                <w:szCs w:val="19"/>
              </w:rPr>
              <w:t xml:space="preserve">        last_hidden = self.dropout(hn[-1])  # Last layer hidden state</w:t>
            </w:r>
          </w:p>
          <w:p>
            <w:pPr>
              <w:spacing w:after="22" w:before="22" w:line="260"/>
            </w:pPr>
            <w:r>
              <w:rPr>
                <w:rFonts w:ascii="Courier New" w:cs="Courier New" w:eastAsia="Courier New" w:hAnsi="Courier New"/>
                <w:color w:val="1A1A1A"/>
                <w:sz w:val="19"/>
                <w:szCs w:val="19"/>
              </w:rPr>
              <w:t xml:space="preserve">        return {f'h{h}': self.heads[f'h{h}'](last_hidden)</w:t>
            </w:r>
          </w:p>
          <w:p>
            <w:pPr>
              <w:spacing w:after="22" w:before="22" w:line="260"/>
            </w:pPr>
            <w:r>
              <w:rPr>
                <w:rFonts w:ascii="Courier New" w:cs="Courier New" w:eastAsia="Courier New" w:hAnsi="Courier New"/>
                <w:color w:val="1A1A1A"/>
                <w:sz w:val="19"/>
                <w:szCs w:val="19"/>
              </w:rPr>
              <w:t xml:space="preserve">                for h in self.horizons}</w:t>
            </w:r>
          </w:p>
          <w:p>
            <w:pPr>
              <w:spacing w:after="22" w:before="22" w:line="260"/>
            </w:pPr>
            <w:r>
              <w:rPr>
                <w:rFonts w:ascii="Calibri" w:cs="Calibri" w:eastAsia="Calibri" w:hAnsi="Calibri"/>
                <w:color w:val="1A1A1A"/>
                <w:sz w:val="19"/>
                <w:szCs w:val="19"/>
              </w:rPr>
              <w:t xml:space="preserve"/>
            </w:r>
          </w:p>
          <w:p>
            <w:pPr>
              <w:spacing w:after="22" w:before="22" w:line="260"/>
            </w:pPr>
            <w:r>
              <w:rPr>
                <w:rFonts w:ascii="Courier New" w:cs="Courier New" w:eastAsia="Courier New" w:hAnsi="Courier New"/>
                <w:color w:val="1A1A1A"/>
                <w:sz w:val="19"/>
                <w:szCs w:val="19"/>
              </w:rPr>
              <w:t xml:space="preserve">def train_growth_lstm(train_loader, val_loader, config: dict) -&gt; GrowthLSTM:</w:t>
            </w:r>
          </w:p>
          <w:p>
            <w:pPr>
              <w:spacing w:after="22" w:before="22" w:line="260"/>
            </w:pPr>
            <w:r>
              <w:rPr>
                <w:rFonts w:ascii="Courier New" w:cs="Courier New" w:eastAsia="Courier New" w:hAnsi="Courier New"/>
                <w:color w:val="1A1A1A"/>
                <w:sz w:val="19"/>
                <w:szCs w:val="19"/>
              </w:rPr>
              <w:t xml:space="preserve">    model = GrowthLSTM(**config['arch'])</w:t>
            </w:r>
          </w:p>
          <w:p>
            <w:pPr>
              <w:spacing w:after="22" w:before="22" w:line="260"/>
            </w:pPr>
            <w:r>
              <w:rPr>
                <w:rFonts w:ascii="Courier New" w:cs="Courier New" w:eastAsia="Courier New" w:hAnsi="Courier New"/>
                <w:color w:val="1A1A1A"/>
                <w:sz w:val="19"/>
                <w:szCs w:val="19"/>
              </w:rPr>
              <w:t xml:space="preserve">    optimizer = torch.optim.Adam(model.parameters(), lr=config['lr'],</w:t>
            </w:r>
          </w:p>
          <w:p>
            <w:pPr>
              <w:spacing w:after="22" w:before="22" w:line="260"/>
            </w:pPr>
            <w:r>
              <w:rPr>
                <w:rFonts w:ascii="Courier New" w:cs="Courier New" w:eastAsia="Courier New" w:hAnsi="Courier New"/>
                <w:color w:val="1A1A1A"/>
                <w:sz w:val="19"/>
                <w:szCs w:val="19"/>
              </w:rPr>
              <w:t xml:space="preserve">                                  weight_decay=config['weight_decay'])</w:t>
            </w:r>
          </w:p>
          <w:p>
            <w:pPr>
              <w:spacing w:after="22" w:before="22" w:line="260"/>
            </w:pPr>
            <w:r>
              <w:rPr>
                <w:rFonts w:ascii="Courier New" w:cs="Courier New" w:eastAsia="Courier New" w:hAnsi="Courier New"/>
                <w:color w:val="1A1A1A"/>
                <w:sz w:val="19"/>
                <w:szCs w:val="19"/>
              </w:rPr>
              <w:t xml:space="preserve">    # [Wizard] Early stopping: patience=15 (clinical data → noisy validation loss)</w:t>
            </w:r>
          </w:p>
          <w:p>
            <w:pPr>
              <w:spacing w:after="22" w:before="22" w:line="260"/>
            </w:pPr>
            <w:r>
              <w:rPr>
                <w:rFonts w:ascii="Courier New" w:cs="Courier New" w:eastAsia="Courier New" w:hAnsi="Courier New"/>
                <w:color w:val="1A1A1A"/>
                <w:sz w:val="19"/>
                <w:szCs w:val="19"/>
              </w:rPr>
              <w:t xml:space="preserve">    best_val, patience_count = float('inf'), 0</w:t>
            </w:r>
          </w:p>
          <w:p>
            <w:pPr>
              <w:spacing w:after="22" w:before="22" w:line="260"/>
            </w:pPr>
            <w:r>
              <w:rPr>
                <w:rFonts w:ascii="Courier New" w:cs="Courier New" w:eastAsia="Courier New" w:hAnsi="Courier New"/>
                <w:color w:val="1A1A1A"/>
                <w:sz w:val="19"/>
                <w:szCs w:val="19"/>
              </w:rPr>
              <w:t xml:space="preserve">    with mlflow.start_run(run_name='growth_lstm'):</w:t>
            </w:r>
          </w:p>
          <w:p>
            <w:pPr>
              <w:spacing w:after="22" w:before="22" w:line="260"/>
            </w:pPr>
            <w:r>
              <w:rPr>
                <w:rFonts w:ascii="Courier New" w:cs="Courier New" w:eastAsia="Courier New" w:hAnsi="Courier New"/>
                <w:color w:val="1A1A1A"/>
                <w:sz w:val="19"/>
                <w:szCs w:val="19"/>
              </w:rPr>
              <w:t xml:space="preserve">        mlflow.log_params(config)</w:t>
            </w:r>
          </w:p>
          <w:p>
            <w:pPr>
              <w:spacing w:after="22" w:before="22" w:line="260"/>
            </w:pPr>
            <w:r>
              <w:rPr>
                <w:rFonts w:ascii="Courier New" w:cs="Courier New" w:eastAsia="Courier New" w:hAnsi="Courier New"/>
                <w:color w:val="1A1A1A"/>
                <w:sz w:val="19"/>
                <w:szCs w:val="19"/>
              </w:rPr>
              <w:t xml:space="preserve">        for epoch in range(config['max_epochs']):</w:t>
            </w:r>
          </w:p>
          <w:p>
            <w:pPr>
              <w:spacing w:after="22" w:before="22" w:line="260"/>
            </w:pPr>
            <w:r>
              <w:rPr>
                <w:rFonts w:ascii="Courier New" w:cs="Courier New" w:eastAsia="Courier New" w:hAnsi="Courier New"/>
                <w:color w:val="1A1A1A"/>
                <w:sz w:val="19"/>
                <w:szCs w:val="19"/>
              </w:rPr>
              <w:t xml:space="preserve">            model.train()</w:t>
            </w:r>
          </w:p>
          <w:p>
            <w:pPr>
              <w:spacing w:after="22" w:before="22" w:line="260"/>
            </w:pPr>
            <w:r>
              <w:rPr>
                <w:rFonts w:ascii="Courier New" w:cs="Courier New" w:eastAsia="Courier New" w:hAnsi="Courier New"/>
                <w:color w:val="1A1A1A"/>
                <w:sz w:val="19"/>
                <w:szCs w:val="19"/>
              </w:rPr>
              <w:t xml:space="preserve">            for X, y in train_loader:</w:t>
            </w:r>
          </w:p>
          <w:p>
            <w:pPr>
              <w:spacing w:after="22" w:before="22" w:line="260"/>
            </w:pPr>
            <w:r>
              <w:rPr>
                <w:rFonts w:ascii="Courier New" w:cs="Courier New" w:eastAsia="Courier New" w:hAnsi="Courier New"/>
                <w:color w:val="1A1A1A"/>
                <w:sz w:val="19"/>
                <w:szCs w:val="19"/>
              </w:rPr>
              <w:t xml:space="preserve">                preds = model(X)</w:t>
            </w:r>
          </w:p>
          <w:p>
            <w:pPr>
              <w:spacing w:after="22" w:before="22" w:line="260"/>
            </w:pPr>
            <w:r>
              <w:rPr>
                <w:rFonts w:ascii="Courier New" w:cs="Courier New" w:eastAsia="Courier New" w:hAnsi="Courier New"/>
                <w:color w:val="1A1A1A"/>
                <w:sz w:val="19"/>
                <w:szCs w:val="19"/>
              </w:rPr>
              <w:t xml:space="preserve">                loss = sum(nn.MSELoss()(preds[f'h{h}'], y[f'h{h}'])</w:t>
            </w:r>
          </w:p>
          <w:p>
            <w:pPr>
              <w:spacing w:after="22" w:before="22" w:line="260"/>
            </w:pPr>
            <w:r>
              <w:rPr>
                <w:rFonts w:ascii="Courier New" w:cs="Courier New" w:eastAsia="Courier New" w:hAnsi="Courier New"/>
                <w:color w:val="1A1A1A"/>
                <w:sz w:val="19"/>
                <w:szCs w:val="19"/>
              </w:rPr>
              <w:t xml:space="preserve">                           for h in model.horizons)</w:t>
            </w:r>
          </w:p>
          <w:p>
            <w:pPr>
              <w:spacing w:after="22" w:before="22" w:line="260"/>
            </w:pPr>
            <w:r>
              <w:rPr>
                <w:rFonts w:ascii="Courier New" w:cs="Courier New" w:eastAsia="Courier New" w:hAnsi="Courier New"/>
                <w:color w:val="1A1A1A"/>
                <w:sz w:val="19"/>
                <w:szCs w:val="19"/>
              </w:rPr>
              <w:t xml:space="preserve">                optimizer.zero_grad(); loss.backward(); optimizer.step()</w:t>
            </w:r>
          </w:p>
          <w:p>
            <w:pPr>
              <w:spacing w:after="22" w:before="22" w:line="260"/>
            </w:pPr>
            <w:r>
              <w:rPr>
                <w:rFonts w:ascii="Courier New" w:cs="Courier New" w:eastAsia="Courier New" w:hAnsi="Courier New"/>
                <w:color w:val="1A1A1A"/>
                <w:sz w:val="19"/>
                <w:szCs w:val="19"/>
              </w:rPr>
              <w:t xml:space="preserve">            val_loss = evaluate(model, val_loader)</w:t>
            </w:r>
          </w:p>
          <w:p>
            <w:pPr>
              <w:spacing w:after="22" w:before="22" w:line="260"/>
            </w:pPr>
            <w:r>
              <w:rPr>
                <w:rFonts w:ascii="Courier New" w:cs="Courier New" w:eastAsia="Courier New" w:hAnsi="Courier New"/>
                <w:color w:val="1A1A1A"/>
                <w:sz w:val="19"/>
                <w:szCs w:val="19"/>
              </w:rPr>
              <w:t xml:space="preserve">            mlflow.log_metric('val_rmse', val_loss**0.5, step=epoch)</w:t>
            </w:r>
          </w:p>
          <w:p>
            <w:pPr>
              <w:spacing w:after="22" w:before="22" w:line="260"/>
            </w:pPr>
            <w:r>
              <w:rPr>
                <w:rFonts w:ascii="Courier New" w:cs="Courier New" w:eastAsia="Courier New" w:hAnsi="Courier New"/>
                <w:color w:val="1A1A1A"/>
                <w:sz w:val="19"/>
                <w:szCs w:val="19"/>
              </w:rPr>
              <w:t xml:space="preserve">            if val_loss &lt; best_val:</w:t>
            </w:r>
          </w:p>
          <w:p>
            <w:pPr>
              <w:spacing w:after="22" w:before="22" w:line="260"/>
            </w:pPr>
            <w:r>
              <w:rPr>
                <w:rFonts w:ascii="Courier New" w:cs="Courier New" w:eastAsia="Courier New" w:hAnsi="Courier New"/>
                <w:color w:val="1A1A1A"/>
                <w:sz w:val="19"/>
                <w:szCs w:val="19"/>
              </w:rPr>
              <w:t xml:space="preserve">                best_val = val_loss; patience_count = 0</w:t>
            </w:r>
          </w:p>
          <w:p>
            <w:pPr>
              <w:spacing w:after="22" w:before="22" w:line="260"/>
            </w:pPr>
            <w:r>
              <w:rPr>
                <w:rFonts w:ascii="Courier New" w:cs="Courier New" w:eastAsia="Courier New" w:hAnsi="Courier New"/>
                <w:color w:val="1A1A1A"/>
                <w:sz w:val="19"/>
                <w:szCs w:val="19"/>
              </w:rPr>
              <w:t xml:space="preserve">                torch.save(model.state_dict(), 'best_model.pt')</w:t>
            </w:r>
          </w:p>
          <w:p>
            <w:pPr>
              <w:spacing w:after="22" w:before="22" w:line="260"/>
            </w:pPr>
            <w:r>
              <w:rPr>
                <w:rFonts w:ascii="Courier New" w:cs="Courier New" w:eastAsia="Courier New" w:hAnsi="Courier New"/>
                <w:color w:val="1A1A1A"/>
                <w:sz w:val="19"/>
                <w:szCs w:val="19"/>
              </w:rPr>
              <w:t xml:space="preserve">            else:</w:t>
            </w:r>
          </w:p>
          <w:p>
            <w:pPr>
              <w:spacing w:after="22" w:before="22" w:line="260"/>
            </w:pPr>
            <w:r>
              <w:rPr>
                <w:rFonts w:ascii="Courier New" w:cs="Courier New" w:eastAsia="Courier New" w:hAnsi="Courier New"/>
                <w:color w:val="1A1A1A"/>
                <w:sz w:val="19"/>
                <w:szCs w:val="19"/>
              </w:rPr>
              <w:t xml:space="preserve">                patience_count += 1</w:t>
            </w:r>
          </w:p>
          <w:p>
            <w:pPr>
              <w:spacing w:after="22" w:before="22" w:line="260"/>
            </w:pPr>
            <w:r>
              <w:rPr>
                <w:rFonts w:ascii="Courier New" w:cs="Courier New" w:eastAsia="Courier New" w:hAnsi="Courier New"/>
                <w:color w:val="1A1A1A"/>
                <w:sz w:val="19"/>
                <w:szCs w:val="19"/>
              </w:rPr>
              <w:t xml:space="preserve">                if patience_count &gt;= config['patience']: break</w:t>
            </w:r>
          </w:p>
          <w:p>
            <w:pPr>
              <w:spacing w:after="22" w:before="22" w:line="260"/>
            </w:pPr>
            <w:r>
              <w:rPr>
                <w:rFonts w:ascii="Courier New" w:cs="Courier New" w:eastAsia="Courier New" w:hAnsi="Courier New"/>
                <w:color w:val="1A1A1A"/>
                <w:sz w:val="19"/>
                <w:szCs w:val="19"/>
              </w:rPr>
              <w:t xml:space="preserve">    model.load_state_dict(torch.load('best_model.pt'))</w:t>
            </w:r>
          </w:p>
          <w:p>
            <w:pPr>
              <w:spacing w:after="22" w:before="22" w:line="260"/>
            </w:pPr>
            <w:r>
              <w:rPr>
                <w:rFonts w:ascii="Courier New" w:cs="Courier New" w:eastAsia="Courier New" w:hAnsi="Courier New"/>
                <w:color w:val="1A1A1A"/>
                <w:sz w:val="19"/>
                <w:szCs w:val="19"/>
              </w:rPr>
              <w:t xml:space="preserve">    return model</w:t>
            </w:r>
          </w:p>
        </w:tc>
      </w:tr>
    </w:tbl>
    <w:p>
      <w:pPr>
        <w:spacing w:after="180" w:before="60"/>
        <w:jc w:val="center"/>
      </w:pPr>
      <w:r>
        <w:rPr>
          <w:rFonts w:ascii="Calibri" w:cs="Calibri" w:eastAsia="Calibri" w:hAnsi="Calibri"/>
          <w:i/>
          <w:iCs/>
          <w:color w:val="555555"/>
          <w:sz w:val="19"/>
          <w:szCs w:val="19"/>
        </w:rPr>
        <w:t xml:space="preserve">Figure 8.3: Auto-generated LSTM trajectory predictor with wizard-annotated hyperparameters.</w:t>
      </w:r>
    </w:p>
    <w:p>
      <w:r>
        <w:br w:type="page"/>
      </w:r>
    </w:p>
    <w:p>
      <w:pPr>
        <w:pStyle w:val="Heading1"/>
      </w:pPr>
      <w:r>
        <w:rPr>
          <w:rFonts w:ascii="Calibri" w:cs="Calibri" w:eastAsia="Calibri" w:hAnsi="Calibri"/>
          <w:b/>
          <w:bCs/>
        </w:rPr>
        <w:t xml:space="preserve">9. Deployment and Clinical Integration</w:t>
      </w:r>
    </w:p>
    <w:p>
      <w:pPr>
        <w:pStyle w:val="Heading2"/>
      </w:pPr>
      <w:r>
        <w:rPr>
          <w:rFonts w:ascii="Calibri" w:cs="Calibri" w:eastAsia="Calibri" w:hAnsi="Calibri"/>
          <w:b/>
          <w:bCs/>
        </w:rPr>
        <w:t xml:space="preserve">9.1 Deployment Architecture</w:t>
      </w:r>
    </w:p>
    <w:p>
      <w:pPr>
        <w:spacing w:after="80" w:before="80" w:line="308"/>
        <w:jc w:val="both"/>
      </w:pPr>
      <w:r>
        <w:rPr>
          <w:rFonts w:ascii="Calibri" w:cs="Calibri" w:eastAsia="Calibri" w:hAnsi="Calibri"/>
          <w:sz w:val="22"/>
          <w:szCs w:val="22"/>
        </w:rPr>
        <w:t xml:space="preserve">The Children Growth Prediction system is deployed as a HIPAA-compliant, containerized microservice that integrates with existing hospital information systems. Two deployment topologies are supported:</w:t>
      </w:r>
    </w:p>
    <w:p>
      <w:pPr>
        <w:pStyle w:val="ListParagraph"/>
        <w:numPr>
          <w:ilvl w:val="0"/>
          <w:numId w:val="2"/>
        </w:numPr>
        <w:spacing w:after="55" w:before="55" w:line="280"/>
      </w:pPr>
      <w:r>
        <w:rPr>
          <w:rFonts w:ascii="Calibri" w:cs="Calibri" w:eastAsia="Calibri" w:hAnsi="Calibri"/>
          <w:sz w:val="22"/>
          <w:szCs w:val="22"/>
        </w:rPr>
        <w:t xml:space="preserve">Cloud SaaS: Fully managed deployment on a HIPAA-eligible cloud environment (Azure Healthcare APIs, AWS HealthLake). Appropriate for clinics without on-premise IT infrastructure.</w:t>
      </w:r>
    </w:p>
    <w:p>
      <w:pPr>
        <w:pStyle w:val="ListParagraph"/>
        <w:numPr>
          <w:ilvl w:val="0"/>
          <w:numId w:val="2"/>
        </w:numPr>
        <w:spacing w:after="55" w:before="55" w:line="280"/>
      </w:pPr>
      <w:r>
        <w:rPr>
          <w:rFonts w:ascii="Calibri" w:cs="Calibri" w:eastAsia="Calibri" w:hAnsi="Calibri"/>
          <w:sz w:val="22"/>
          <w:szCs w:val="22"/>
        </w:rPr>
        <w:t xml:space="preserve">On-Premise: Kubernetes deployment within the hospital's private network. Required for institutions with strict data residency requirements (EU GDPR, country-specific health data laws).</w:t>
      </w:r>
    </w:p>
    <w:p>
      <w:pPr>
        <w:pStyle w:val="Heading3"/>
      </w:pPr>
      <w:r>
        <w:rPr>
          <w:rFonts w:ascii="Calibri" w:cs="Calibri" w:eastAsia="Calibri" w:hAnsi="Calibri"/>
          <w:b/>
          <w:bCs/>
          <w:i/>
          <w:iCs/>
        </w:rPr>
        <w:t xml:space="preserve">9.1.1 Inference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40" w:sz="8"/>
              <w:left w:val="single" w:color="1D6A40" w:sz="14"/>
              <w:bottom w:val="single" w:color="CCCCCC" w:sz="2"/>
              <w:right w:val="single" w:color="CCCCCC" w:sz="2"/>
            </w:tcBorders>
            <w:shd w:fill="F5F5F5" w:val="clear"/>
            <w:tcMar>
              <w:top w:type="dxa" w:w="120"/>
              <w:left w:type="dxa" w:w="220"/>
              <w:bottom w:type="dxa" w:w="120"/>
              <w:right w:type="dxa" w:w="220"/>
            </w:tcMar>
          </w:tcPr>
          <w:p>
            <w:pPr>
              <w:spacing w:after="22" w:before="22" w:line="260"/>
            </w:pPr>
            <w:r>
              <w:rPr>
                <w:rFonts w:ascii="Courier New" w:cs="Courier New" w:eastAsia="Courier New" w:hAnsi="Courier New"/>
                <w:color w:val="1A1A1A"/>
                <w:sz w:val="19"/>
                <w:szCs w:val="19"/>
              </w:rPr>
              <w:t xml:space="preserve">┌──────────────────────────────────────────────────────────────────────────┐</w:t>
            </w:r>
          </w:p>
          <w:p>
            <w:pPr>
              <w:spacing w:after="22" w:before="22" w:line="260"/>
            </w:pPr>
            <w:r>
              <w:rPr>
                <w:rFonts w:ascii="Courier New" w:cs="Courier New" w:eastAsia="Courier New" w:hAnsi="Courier New"/>
                <w:color w:val="1A1A1A"/>
                <w:sz w:val="19"/>
                <w:szCs w:val="19"/>
              </w:rPr>
              <w:t xml:space="preserve">│                    CLINICAL INFERENCE PIPELINE                          │</w:t>
            </w:r>
          </w:p>
          <w:p>
            <w:pPr>
              <w:spacing w:after="22" w:before="22" w:line="260"/>
            </w:pPr>
            <w:r>
              <w:rPr>
                <w:rFonts w:ascii="Courier New" w:cs="Courier New" w:eastAsia="Courier New" w:hAnsi="Courier New"/>
                <w:color w:val="1A1A1A"/>
                <w:sz w:val="19"/>
                <w:szCs w:val="19"/>
              </w:rPr>
              <w:t xml:space="preserve">│                                                                          │</w:t>
            </w:r>
          </w:p>
          <w:p>
            <w:pPr>
              <w:spacing w:after="22" w:before="22" w:line="260"/>
            </w:pPr>
            <w:r>
              <w:rPr>
                <w:rFonts w:ascii="Courier New" w:cs="Courier New" w:eastAsia="Courier New" w:hAnsi="Courier New"/>
                <w:color w:val="1A1A1A"/>
                <w:sz w:val="19"/>
                <w:szCs w:val="19"/>
              </w:rPr>
              <w:t xml:space="preserve">│  EHR System ──FHIR R4──▶ FHIR Adapter ──▶ Data Validator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Preterm Correction             │</w:t>
            </w:r>
          </w:p>
          <w:p>
            <w:pPr>
              <w:spacing w:after="22" w:before="22" w:line="260"/>
            </w:pPr>
            <w:r>
              <w:rPr>
                <w:rFonts w:ascii="Courier New" w:cs="Courier New" w:eastAsia="Courier New" w:hAnsi="Courier New"/>
                <w:color w:val="1A1A1A"/>
                <w:sz w:val="19"/>
                <w:szCs w:val="19"/>
              </w:rPr>
              <w:t xml:space="preserve">│                                          Unit Standardization           │</w:t>
            </w:r>
          </w:p>
          <w:p>
            <w:pPr>
              <w:spacing w:after="22" w:before="22" w:line="260"/>
            </w:pPr>
            <w:r>
              <w:rPr>
                <w:rFonts w:ascii="Courier New" w:cs="Courier New" w:eastAsia="Courier New" w:hAnsi="Courier New"/>
                <w:color w:val="1A1A1A"/>
                <w:sz w:val="19"/>
                <w:szCs w:val="19"/>
              </w:rPr>
              <w:t xml:space="preserve">│                                          Impossible Value Flag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Feature Engineering            │</w:t>
            </w:r>
          </w:p>
          <w:p>
            <w:pPr>
              <w:spacing w:after="22" w:before="22" w:line="260"/>
            </w:pPr>
            <w:r>
              <w:rPr>
                <w:rFonts w:ascii="Courier New" w:cs="Courier New" w:eastAsia="Courier New" w:hAnsi="Courier New"/>
                <w:color w:val="1A1A1A"/>
                <w:sz w:val="19"/>
                <w:szCs w:val="19"/>
              </w:rPr>
              <w:t xml:space="preserve">│                                          (LMS z-scores, velocity)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Ensemble Model Server  │       │</w:t>
            </w:r>
          </w:p>
          <w:p>
            <w:pPr>
              <w:spacing w:after="22" w:before="22" w:line="260"/>
            </w:pPr>
            <w:r>
              <w:rPr>
                <w:rFonts w:ascii="Courier New" w:cs="Courier New" w:eastAsia="Courier New" w:hAnsi="Courier New"/>
                <w:color w:val="1A1A1A"/>
                <w:sz w:val="19"/>
                <w:szCs w:val="19"/>
              </w:rPr>
              <w:t xml:space="preserve">│                                      │  LME + XGBoost + LSTM    │       │</w:t>
            </w:r>
          </w:p>
          <w:p>
            <w:pPr>
              <w:spacing w:after="22" w:before="22" w:line="260"/>
            </w:pPr>
            <w:r>
              <w:rPr>
                <w:rFonts w:ascii="Courier New" w:cs="Courier New" w:eastAsia="Courier New" w:hAnsi="Courier New"/>
                <w:color w:val="1A1A1A"/>
                <w:sz w:val="19"/>
                <w:szCs w:val="19"/>
              </w:rPr>
              <w:t xml:space="preserve">│                                      │  (ONNX export for speed) │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w:t>
            </w:r>
          </w:p>
          <w:p>
            <w:pPr>
              <w:spacing w:after="22" w:before="22" w:line="260"/>
            </w:pPr>
            <w:r>
              <w:rPr>
                <w:rFonts w:ascii="Courier New" w:cs="Courier New" w:eastAsia="Courier New" w:hAnsi="Courier New"/>
                <w:color w:val="1A1A1A"/>
                <w:sz w:val="19"/>
                <w:szCs w:val="19"/>
              </w:rPr>
              <w:t xml:space="preserve">│                          ▼                       ▼               ▼      │</w:t>
            </w:r>
          </w:p>
          <w:p>
            <w:pPr>
              <w:spacing w:after="22" w:before="22" w:line="260"/>
            </w:pPr>
            <w:r>
              <w:rPr>
                <w:rFonts w:ascii="Courier New" w:cs="Courier New" w:eastAsia="Courier New" w:hAnsi="Courier New"/>
                <w:color w:val="1A1A1A"/>
                <w:sz w:val="19"/>
                <w:szCs w:val="19"/>
              </w:rPr>
              <w:t xml:space="preserve">│               Growth Chart API          Faltering Alert      Report PDF │</w:t>
            </w:r>
          </w:p>
          <w:p>
            <w:pPr>
              <w:spacing w:after="22" w:before="22" w:line="260"/>
            </w:pPr>
            <w:r>
              <w:rPr>
                <w:rFonts w:ascii="Courier New" w:cs="Courier New" w:eastAsia="Courier New" w:hAnsi="Courier New"/>
                <w:color w:val="1A1A1A"/>
                <w:sz w:val="19"/>
                <w:szCs w:val="19"/>
              </w:rPr>
              <w:t xml:space="preserve">│               (JSON + PNG)              (HL7 alert msg)     (ReportLab) │</w:t>
            </w:r>
          </w:p>
          <w:p>
            <w:pPr>
              <w:spacing w:after="22" w:before="22" w:line="260"/>
            </w:pPr>
            <w:r>
              <w:rPr>
                <w:rFonts w:ascii="Courier New" w:cs="Courier New" w:eastAsia="Courier New" w:hAnsi="Courier New"/>
                <w:color w:val="1A1A1A"/>
                <w:sz w:val="19"/>
                <w:szCs w:val="19"/>
              </w:rPr>
              <w:t xml:space="preserve">└──────────────────────────────────────────────────────────────────────────┘</w:t>
            </w:r>
          </w:p>
        </w:tc>
      </w:tr>
    </w:tbl>
    <w:p>
      <w:pPr>
        <w:spacing w:after="180" w:before="60"/>
        <w:jc w:val="center"/>
      </w:pPr>
      <w:r>
        <w:rPr>
          <w:rFonts w:ascii="Calibri" w:cs="Calibri" w:eastAsia="Calibri" w:hAnsi="Calibri"/>
          <w:i/>
          <w:iCs/>
          <w:color w:val="555555"/>
          <w:sz w:val="19"/>
          <w:szCs w:val="19"/>
        </w:rPr>
        <w:t xml:space="preserve">Figure 9.1: Clinical inference pipeline from EHR data to prediction outputs.</w:t>
      </w:r>
    </w:p>
    <w:p>
      <w:pPr>
        <w:pStyle w:val="Heading2"/>
      </w:pPr>
      <w:r>
        <w:rPr>
          <w:rFonts w:ascii="Calibri" w:cs="Calibri" w:eastAsia="Calibri" w:hAnsi="Calibri"/>
          <w:b/>
          <w:bCs/>
        </w:rPr>
        <w:t xml:space="preserve">9.2 Growth Report Output</w:t>
      </w:r>
    </w:p>
    <w:p>
      <w:pPr>
        <w:spacing w:after="80" w:before="80" w:line="308"/>
        <w:jc w:val="both"/>
      </w:pPr>
      <w:r>
        <w:rPr>
          <w:rFonts w:ascii="Calibri" w:cs="Calibri" w:eastAsia="Calibri" w:hAnsi="Calibri"/>
          <w:sz w:val="22"/>
          <w:szCs w:val="22"/>
        </w:rPr>
        <w:t xml:space="preserve">The system generates two report versions automatically from the same prediction output:</w:t>
      </w:r>
    </w:p>
    <w:p>
      <w:pPr>
        <w:pStyle w:val="ListParagraph"/>
        <w:numPr>
          <w:ilvl w:val="0"/>
          <w:numId w:val="2"/>
        </w:numPr>
        <w:spacing w:after="55" w:before="55" w:line="280"/>
      </w:pPr>
      <w:r>
        <w:rPr>
          <w:rFonts w:ascii="Calibri" w:cs="Calibri" w:eastAsia="Calibri" w:hAnsi="Calibri"/>
          <w:sz w:val="22"/>
          <w:szCs w:val="22"/>
        </w:rPr>
        <w:t xml:space="preserve">Clinical Report (Clinician Version): Full z-score trajectory table, prediction intervals with confidence bands, growth velocity analysis, faltering risk score with sensitivity/specificity context, automated differential diagnostic suggestions (e.g., 'HAZ &lt; −2 with normal WHZ: consistent with chronic malnutrition; consider: constitutional short stature, hypothyroidism, growth hormone deficiency'), and next recommended assessment date.</w:t>
      </w:r>
    </w:p>
    <w:p>
      <w:pPr>
        <w:pStyle w:val="ListParagraph"/>
        <w:numPr>
          <w:ilvl w:val="0"/>
          <w:numId w:val="2"/>
        </w:numPr>
        <w:spacing w:after="55" w:before="55" w:line="280"/>
      </w:pPr>
      <w:r>
        <w:rPr>
          <w:rFonts w:ascii="Calibri" w:cs="Calibri" w:eastAsia="Calibri" w:hAnsi="Calibri"/>
          <w:sz w:val="22"/>
          <w:szCs w:val="22"/>
        </w:rPr>
        <w:t xml:space="preserve">Growth Card (Caregiver Version): Visual growth chart with child's measurements plotted on WHO percentile curves, simple color-coded status (Green: growing well / Yellow: some concern / Red: needs attention), age-appropriate nutrition and care recommendations in the caregiver's language (12 language templates supported), and next appointment reminder.</w:t>
      </w:r>
    </w:p>
    <w:p>
      <w:pPr>
        <w:spacing w:after="80" w:before="80" w:line="308"/>
        <w:jc w:val="both"/>
      </w:pPr>
      <w:r>
        <w:rPr>
          <w:rFonts w:ascii="Calibri" w:cs="Calibri" w:eastAsia="Calibri" w:hAnsi="Calibri"/>
          <w:sz w:val="22"/>
          <w:szCs w:val="22"/>
        </w:rPr>
        <w:t xml:space="preserve">All reports include a mandatory disclosure: 'This report is generated by a computer program to support your healthcare provider. The predictions shown are estimates and should always be reviewed by a qualified healthcare professional before making clinical decisions.'</w:t>
      </w:r>
    </w:p>
    <w:p>
      <w:pPr>
        <w:pStyle w:val="Heading2"/>
      </w:pPr>
      <w:r>
        <w:rPr>
          <w:rFonts w:ascii="Calibri" w:cs="Calibri" w:eastAsia="Calibri" w:hAnsi="Calibri"/>
          <w:b/>
          <w:bCs/>
        </w:rPr>
        <w:t xml:space="preserve">9.3 Alert and Escalation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Alert Level</w:t>
            </w:r>
          </w:p>
        </w:tc>
        <w:tc>
          <w:tcPr>
            <w:tcW w:type="dxa" w:w="3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Trigger Condition</w:t>
            </w:r>
          </w:p>
        </w:tc>
        <w:tc>
          <w:tcPr>
            <w:tcW w:type="dxa" w:w="2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Action</w:t>
            </w:r>
          </w:p>
        </w:tc>
        <w:tc>
          <w:tcPr>
            <w:tcW w:type="dxa" w:w="27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Clinician Notification</w:t>
            </w:r>
          </w:p>
        </w:tc>
      </w:tr>
      <w:tr>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Normal</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z-scores &gt; −1; velocity normal</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Routine monitoring note</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None (background log)</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Monitor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Any z-score −2 to −1 OR velocity declining</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Add to watchlist; next visit sooner</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Weekly summary email</w:t>
            </w:r>
          </w:p>
        </w:tc>
      </w:tr>
      <w:tr>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Concern</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 or WAZ &lt; −2 OR velocity z-score &lt; −2</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Urgent review flag in EHR</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Same-day alert in EHR system</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Critical</w:t>
            </w:r>
          </w:p>
        </w:tc>
        <w:tc>
          <w:tcPr>
            <w:tcW w:type="dxa" w:w="3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HAZ &lt; −3 OR WHZ &lt; −3 OR rapid decline (ΔHAZ &lt; −1 in 3m)</w:t>
            </w:r>
          </w:p>
        </w:tc>
        <w:tc>
          <w:tcPr>
            <w:tcW w:type="dxa" w:w="2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Immediate referral trigger</w:t>
            </w:r>
          </w:p>
        </w:tc>
        <w:tc>
          <w:tcPr>
            <w:tcW w:type="dxa" w:w="27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Real-time push notification</w:t>
            </w:r>
          </w:p>
        </w:tc>
      </w:tr>
      <w:tr>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Research</w:t>
            </w:r>
          </w:p>
        </w:tc>
        <w:tc>
          <w:tcPr>
            <w:tcW w:type="dxa" w:w="3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Model confidence &lt; 0.6 (sparse data)</w:t>
            </w:r>
          </w:p>
        </w:tc>
        <w:tc>
          <w:tcPr>
            <w:tcW w:type="dxa" w:w="2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Request additional measurements</w:t>
            </w:r>
          </w:p>
        </w:tc>
        <w:tc>
          <w:tcPr>
            <w:tcW w:type="dxa" w:w="27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Note appended to chart</w:t>
            </w:r>
          </w:p>
        </w:tc>
      </w:tr>
    </w:tbl>
    <w:p>
      <w:pPr>
        <w:spacing w:after="180" w:before="60"/>
        <w:jc w:val="center"/>
      </w:pPr>
      <w:r>
        <w:rPr>
          <w:rFonts w:ascii="Calibri" w:cs="Calibri" w:eastAsia="Calibri" w:hAnsi="Calibri"/>
          <w:i/>
          <w:iCs/>
          <w:color w:val="555555"/>
          <w:sz w:val="19"/>
          <w:szCs w:val="19"/>
        </w:rPr>
        <w:t xml:space="preserve">Table 9.1: Tiered alert and escalation system for clinical deployment.</w:t>
      </w:r>
    </w:p>
    <w:p>
      <w:r>
        <w:br w:type="page"/>
      </w:r>
    </w:p>
    <w:p>
      <w:pPr>
        <w:pStyle w:val="Heading1"/>
      </w:pPr>
      <w:r>
        <w:rPr>
          <w:rFonts w:ascii="Calibri" w:cs="Calibri" w:eastAsia="Calibri" w:hAnsi="Calibri"/>
          <w:b/>
          <w:bCs/>
        </w:rPr>
        <w:t xml:space="preserve">10. Ethical, Privacy, and Regulatory Considerations</w:t>
      </w:r>
    </w:p>
    <w:p>
      <w:pPr>
        <w:pStyle w:val="Heading2"/>
      </w:pPr>
      <w:r>
        <w:rPr>
          <w:rFonts w:ascii="Calibri" w:cs="Calibri" w:eastAsia="Calibri" w:hAnsi="Calibri"/>
          <w:b/>
          <w:bCs/>
        </w:rPr>
        <w:t xml:space="preserve">10.1 Data Privacy and HIPAA / GDPR Compliance</w:t>
      </w:r>
    </w:p>
    <w:p>
      <w:pPr>
        <w:spacing w:after="80" w:before="80" w:line="308"/>
        <w:jc w:val="both"/>
      </w:pPr>
      <w:r>
        <w:rPr>
          <w:rFonts w:ascii="Calibri" w:cs="Calibri" w:eastAsia="Calibri" w:hAnsi="Calibri"/>
          <w:sz w:val="22"/>
          <w:szCs w:val="22"/>
        </w:rPr>
        <w:t xml:space="preserve">Children's health data is among the most sensitive categories of personal information, protected by heightened legal standards in virtually every jurisdiction. The system's data handling framework enforces:</w:t>
      </w:r>
    </w:p>
    <w:p>
      <w:pPr>
        <w:pStyle w:val="ListParagraph"/>
        <w:numPr>
          <w:ilvl w:val="0"/>
          <w:numId w:val="2"/>
        </w:numPr>
        <w:spacing w:after="55" w:before="55" w:line="280"/>
      </w:pPr>
      <w:r>
        <w:rPr>
          <w:rFonts w:ascii="Calibri" w:cs="Calibri" w:eastAsia="Calibri" w:hAnsi="Calibri"/>
          <w:sz w:val="22"/>
          <w:szCs w:val="22"/>
        </w:rPr>
        <w:t xml:space="preserve">De-identification: All training and validation data is de-identified following HIPAA Safe Harbor standard (18 identifiers removed) before processing. Production deployment uses a separation of PHI (Protected Health Information) from model inputs — only de-identified features are passed to the model; the mapping back to patient identity is maintained only in the EHR system.</w:t>
      </w:r>
    </w:p>
    <w:p>
      <w:pPr>
        <w:pStyle w:val="ListParagraph"/>
        <w:numPr>
          <w:ilvl w:val="0"/>
          <w:numId w:val="2"/>
        </w:numPr>
        <w:spacing w:after="55" w:before="55" w:line="280"/>
      </w:pPr>
      <w:r>
        <w:rPr>
          <w:rFonts w:ascii="Calibri" w:cs="Calibri" w:eastAsia="Calibri" w:hAnsi="Calibri"/>
          <w:sz w:val="22"/>
          <w:szCs w:val="22"/>
        </w:rPr>
        <w:t xml:space="preserve">Minimum necessary principle: The feature engineering pipeline requests only the minimum set of variables required for the configured prediction task. Adult height prediction requires parental heights; faltering detection does not. The wizard enforces this by only requesting features needed for the selected task.</w:t>
      </w:r>
    </w:p>
    <w:p>
      <w:pPr>
        <w:pStyle w:val="ListParagraph"/>
        <w:numPr>
          <w:ilvl w:val="0"/>
          <w:numId w:val="2"/>
        </w:numPr>
        <w:spacing w:after="55" w:before="55" w:line="280"/>
      </w:pPr>
      <w:r>
        <w:rPr>
          <w:rFonts w:ascii="Calibri" w:cs="Calibri" w:eastAsia="Calibri" w:hAnsi="Calibri"/>
          <w:sz w:val="22"/>
          <w:szCs w:val="22"/>
        </w:rPr>
        <w:t xml:space="preserve">GDPR Article 22 compliance: For EU deployments, automated decision-making affecting children requires explicit parental consent and the right to human review of any algorithmically generated alert. The system implements a mandatory human-in-the-loop requirement: no clinical action can be triggered by model output alone without clinician review.</w:t>
      </w:r>
    </w:p>
    <w:p>
      <w:pPr>
        <w:pStyle w:val="ListParagraph"/>
        <w:numPr>
          <w:ilvl w:val="0"/>
          <w:numId w:val="2"/>
        </w:numPr>
        <w:spacing w:after="55" w:before="55" w:line="280"/>
      </w:pPr>
      <w:r>
        <w:rPr>
          <w:rFonts w:ascii="Calibri" w:cs="Calibri" w:eastAsia="Calibri" w:hAnsi="Calibri"/>
          <w:sz w:val="22"/>
          <w:szCs w:val="22"/>
        </w:rPr>
        <w:t xml:space="preserve">Federated learning option: For multi-institution deployment without data sharing, the system supports federated training where model gradients (not patient data) are aggregated across institutions using differential privacy (ε-differential privacy with ε ≤ 1.0).</w:t>
      </w:r>
    </w:p>
    <w:p>
      <w:pPr>
        <w:pStyle w:val="ListParagraph"/>
        <w:numPr>
          <w:ilvl w:val="0"/>
          <w:numId w:val="2"/>
        </w:numPr>
        <w:spacing w:after="55" w:before="55" w:line="280"/>
      </w:pPr>
      <w:r>
        <w:rPr>
          <w:rFonts w:ascii="Calibri" w:cs="Calibri" w:eastAsia="Calibri" w:hAnsi="Calibri"/>
          <w:sz w:val="22"/>
          <w:szCs w:val="22"/>
        </w:rPr>
        <w:t xml:space="preserve">Data retention: Model training data is retained for the minimum period required for regulatory compliance (typically 7-10 years for pediatric records). User-uploaded data in the platform's wizard interface is deleted after 30 days unless explicitly saved.</w:t>
      </w:r>
    </w:p>
    <w:p>
      <w:pPr>
        <w:pStyle w:val="Heading2"/>
      </w:pPr>
      <w:r>
        <w:rPr>
          <w:rFonts w:ascii="Calibri" w:cs="Calibri" w:eastAsia="Calibri" w:hAnsi="Calibri"/>
          <w:b/>
          <w:bCs/>
        </w:rPr>
        <w:t xml:space="preserve">10.2 Algorithmic Fairness and Bias</w:t>
      </w:r>
    </w:p>
    <w:p>
      <w:pPr>
        <w:spacing w:after="80" w:before="80" w:line="308"/>
        <w:jc w:val="both"/>
      </w:pPr>
      <w:r>
        <w:rPr>
          <w:rFonts w:ascii="Calibri" w:cs="Calibri" w:eastAsia="Calibri" w:hAnsi="Calibri"/>
          <w:sz w:val="22"/>
          <w:szCs w:val="22"/>
        </w:rPr>
        <w:t xml:space="preserve">Growth prediction models trained on data from specific populations may perform poorly on underrepresented groups. The WHO MGRS standards were specifically designed to be population-universal (children from Brazil, Ghana, India, Norway, Oman, and the USA grew similarly under optimal conditions), but ML models trained on convenience samples may amplify existing disparities:</w:t>
      </w:r>
    </w:p>
    <w:p>
      <w:pPr>
        <w:pStyle w:val="ListParagraph"/>
        <w:numPr>
          <w:ilvl w:val="0"/>
          <w:numId w:val="2"/>
        </w:numPr>
        <w:spacing w:after="55" w:before="55" w:line="280"/>
      </w:pPr>
      <w:r>
        <w:rPr>
          <w:rFonts w:ascii="Calibri" w:cs="Calibri" w:eastAsia="Calibri" w:hAnsi="Calibri"/>
          <w:sz w:val="22"/>
          <w:szCs w:val="22"/>
        </w:rPr>
        <w:t xml:space="preserve">Sex-stratified validation: Mandatory validation separately for boys and girls. Acceptable RMSE gap: ≤ 0.05 SDS.</w:t>
      </w:r>
    </w:p>
    <w:p>
      <w:pPr>
        <w:pStyle w:val="ListParagraph"/>
        <w:numPr>
          <w:ilvl w:val="0"/>
          <w:numId w:val="2"/>
        </w:numPr>
        <w:spacing w:after="55" w:before="55" w:line="280"/>
      </w:pPr>
      <w:r>
        <w:rPr>
          <w:rFonts w:ascii="Calibri" w:cs="Calibri" w:eastAsia="Calibri" w:hAnsi="Calibri"/>
          <w:sz w:val="22"/>
          <w:szCs w:val="22"/>
        </w:rPr>
        <w:t xml:space="preserve">Ethnic/regional stratification: Model performance is reported stratified by ethnicity/region. If any subgroup RMSE exceeds the overall RMSE by &gt; 0.15 SDS, the model is flagged as potentially biased and must be retrained with stratified sampling or subgroup-specific calibration.</w:t>
      </w:r>
    </w:p>
    <w:p>
      <w:pPr>
        <w:pStyle w:val="ListParagraph"/>
        <w:numPr>
          <w:ilvl w:val="0"/>
          <w:numId w:val="2"/>
        </w:numPr>
        <w:spacing w:after="55" w:before="55" w:line="280"/>
      </w:pPr>
      <w:r>
        <w:rPr>
          <w:rFonts w:ascii="Calibri" w:cs="Calibri" w:eastAsia="Calibri" w:hAnsi="Calibri"/>
          <w:sz w:val="22"/>
          <w:szCs w:val="22"/>
        </w:rPr>
        <w:t xml:space="preserve">Preterm infant handling: Models trained primarily on term infants may perform poorly for preterm infants (born &lt; 37 weeks). Age-corrected feature engineering is mandatory for the first 24 months (subtract weeks of prematurity from chronological age). A dedicated preterm cohort validation set is maintained.</w:t>
      </w:r>
    </w:p>
    <w:p>
      <w:pPr>
        <w:pStyle w:val="ListParagraph"/>
        <w:numPr>
          <w:ilvl w:val="0"/>
          <w:numId w:val="2"/>
        </w:numPr>
        <w:spacing w:after="55" w:before="55" w:line="280"/>
      </w:pPr>
      <w:r>
        <w:rPr>
          <w:rFonts w:ascii="Calibri" w:cs="Calibri" w:eastAsia="Calibri" w:hAnsi="Calibri"/>
          <w:sz w:val="22"/>
          <w:szCs w:val="22"/>
        </w:rPr>
        <w:t xml:space="preserve">Socioeconomic bias: Predictions that systematically underestimate faltering risk in low-SES children (due to training data over-representing higher-SES populations) are a primary concern. Calibration is checked separately by SES quintile.</w:t>
      </w:r>
    </w:p>
    <w:p>
      <w:pPr>
        <w:pStyle w:val="Heading2"/>
      </w:pPr>
      <w:r>
        <w:rPr>
          <w:rFonts w:ascii="Calibri" w:cs="Calibri" w:eastAsia="Calibri" w:hAnsi="Calibri"/>
          <w:b/>
          <w:bCs/>
        </w:rPr>
        <w:t xml:space="preserve">10.3 Regulatory Pathway</w:t>
      </w:r>
    </w:p>
    <w:p>
      <w:pPr>
        <w:spacing w:after="80" w:before="80" w:line="308"/>
        <w:jc w:val="both"/>
      </w:pPr>
      <w:r>
        <w:rPr>
          <w:rFonts w:ascii="Calibri" w:cs="Calibri" w:eastAsia="Calibri" w:hAnsi="Calibri"/>
          <w:sz w:val="22"/>
          <w:szCs w:val="22"/>
        </w:rPr>
        <w:t xml:space="preserve">Clinical deployment of ML-based growth prediction requires regulatory clearance in most jurisdictions. The appropriate regulatory framework depends on the intended clinical use: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700"/>
        <w:gridCol w:w="1960"/>
      </w:tblGrid>
      <w:tr>
        <w:tc>
          <w:tcPr>
            <w:tcW w:type="dxa" w:w="15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Jurisdiction</w:t>
            </w:r>
          </w:p>
        </w:tc>
        <w:tc>
          <w:tcPr>
            <w:tcW w:type="dxa" w:w="20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Regulatory Body</w:t>
            </w:r>
          </w:p>
        </w:tc>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Classification</w:t>
            </w:r>
          </w:p>
        </w:tc>
        <w:tc>
          <w:tcPr>
            <w:tcW w:type="dxa" w:w="27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Pathway</w:t>
            </w:r>
          </w:p>
        </w:tc>
        <w:tc>
          <w:tcPr>
            <w:tcW w:type="dxa" w:w="19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Timeline</w:t>
            </w:r>
          </w:p>
        </w:tc>
      </w:tr>
      <w:tr>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USA</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FDA</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SaMD (Software as a Medical Device)</w:t>
            </w:r>
          </w:p>
        </w:tc>
        <w:tc>
          <w:tcPr>
            <w:tcW w:type="dxa" w:w="2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510(k) if predicate exists; De Novo if novel</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12–24 months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European Union</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Notified Body (CE)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Class IIa Medical Device (MDR 2017/745)</w:t>
            </w:r>
          </w:p>
        </w:tc>
        <w:tc>
          <w:tcPr>
            <w:tcW w:type="dxa" w:w="2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Technical File + Clinical Evidence</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12–18 months</w:t>
            </w:r>
          </w:p>
        </w:tc>
      </w:tr>
      <w:tr>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UK (post-Brexit)</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MHRA</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Class IIa</w:t>
            </w:r>
          </w:p>
        </w:tc>
        <w:tc>
          <w:tcPr>
            <w:tcW w:type="dxa" w:w="2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UKCA marking; post-Brexit MDR equivalent</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12–18 months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India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CDSCO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Medical Device Rules 2017, Class B</w:t>
            </w:r>
          </w:p>
        </w:tc>
        <w:tc>
          <w:tcPr>
            <w:tcW w:type="dxa" w:w="27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Product registration</w:t>
            </w:r>
          </w:p>
        </w:tc>
        <w:tc>
          <w:tcPr>
            <w:tcW w:type="dxa" w:w="19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6–12 months</w:t>
            </w:r>
          </w:p>
        </w:tc>
      </w:tr>
      <w:tr>
        <w:tc>
          <w:tcPr>
            <w:tcW w:type="dxa" w:w="1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Global (LMIC)</w:t>
            </w:r>
          </w:p>
        </w:tc>
        <w:tc>
          <w:tcPr>
            <w:tcW w:type="dxa" w:w="20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 Prequalification</w:t>
            </w:r>
          </w:p>
        </w:tc>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N/A — guidance only</w:t>
            </w:r>
          </w:p>
        </w:tc>
        <w:tc>
          <w:tcPr>
            <w:tcW w:type="dxa" w:w="27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 EUL for emergency use</w:t>
            </w:r>
          </w:p>
        </w:tc>
        <w:tc>
          <w:tcPr>
            <w:tcW w:type="dxa" w:w="19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Variable</w:t>
            </w:r>
          </w:p>
        </w:tc>
      </w:tr>
    </w:tbl>
    <w:p>
      <w:pPr>
        <w:spacing w:after="180" w:before="60"/>
        <w:jc w:val="center"/>
      </w:pPr>
      <w:r>
        <w:rPr>
          <w:rFonts w:ascii="Calibri" w:cs="Calibri" w:eastAsia="Calibri" w:hAnsi="Calibri"/>
          <w:i/>
          <w:iCs/>
          <w:color w:val="555555"/>
          <w:sz w:val="19"/>
          <w:szCs w:val="19"/>
        </w:rPr>
        <w:t xml:space="preserve">Table 10.1: Regulatory pathways for clinical deployment of the growth prediction system.</w:t>
      </w:r>
    </w:p>
    <w:p>
      <w:pPr>
        <w:spacing w:after="80" w:before="80" w:line="308"/>
        <w:jc w:val="both"/>
      </w:pPr>
      <w:r>
        <w:rPr>
          <w:rFonts w:ascii="Calibri" w:cs="Calibri" w:eastAsia="Calibri" w:hAnsi="Calibri"/>
          <w:sz w:val="22"/>
          <w:szCs w:val="22"/>
        </w:rPr>
        <w:t xml:space="preserve">For research and quality improvement use (not direct clinical decision-making), regulatory clearance may not be required. The system wizard explicitly asks users to specify their intended use at setup and displays the appropriate disclaimer and usage restrictions.</w:t>
      </w:r>
    </w:p>
    <w:p>
      <w:pPr>
        <w:pStyle w:val="Heading2"/>
      </w:pPr>
      <w:r>
        <w:rPr>
          <w:rFonts w:ascii="Calibri" w:cs="Calibri" w:eastAsia="Calibri" w:hAnsi="Calibri"/>
          <w:b/>
          <w:bCs/>
        </w:rPr>
        <w:t xml:space="preserve">10.4 Model Transparency and Clinical Explainability</w:t>
      </w:r>
    </w:p>
    <w:p>
      <w:pPr>
        <w:spacing w:after="80" w:before="80" w:line="308"/>
        <w:jc w:val="both"/>
      </w:pPr>
      <w:r>
        <w:rPr>
          <w:rFonts w:ascii="Calibri" w:cs="Calibri" w:eastAsia="Calibri" w:hAnsi="Calibri"/>
          <w:sz w:val="22"/>
          <w:szCs w:val="22"/>
        </w:rPr>
        <w:t xml:space="preserve">Clinicians using the system must be able to understand and appropriately trust or distrust model outputs. The system provides three levels of explanation for every prediction:</w:t>
      </w:r>
    </w:p>
    <w:p>
      <w:pPr>
        <w:pStyle w:val="ListParagraph"/>
        <w:numPr>
          <w:ilvl w:val="0"/>
          <w:numId w:val="2"/>
        </w:numPr>
        <w:spacing w:after="55" w:before="55" w:line="280"/>
      </w:pPr>
      <w:r>
        <w:rPr>
          <w:rFonts w:ascii="Calibri" w:cs="Calibri" w:eastAsia="Calibri" w:hAnsi="Calibri"/>
          <w:sz w:val="22"/>
          <w:szCs w:val="22"/>
        </w:rPr>
        <w:t xml:space="preserve">SHAP-based feature attribution: SHAP (SHapley Additive exPlanations) values are computed for every prediction, showing which features most contributed to the prediction relative to the population average. For example: 'Height-for-age z-score at last visit (+0.43 impact), Illness days in last month (−0.31 impact), Dietary diversity score (+0.18 impact).'</w:t>
      </w:r>
    </w:p>
    <w:p>
      <w:pPr>
        <w:pStyle w:val="ListParagraph"/>
        <w:numPr>
          <w:ilvl w:val="0"/>
          <w:numId w:val="2"/>
        </w:numPr>
        <w:spacing w:after="55" w:before="55" w:line="280"/>
      </w:pPr>
      <w:r>
        <w:rPr>
          <w:rFonts w:ascii="Calibri" w:cs="Calibri" w:eastAsia="Calibri" w:hAnsi="Calibri"/>
          <w:sz w:val="22"/>
          <w:szCs w:val="22"/>
        </w:rPr>
        <w:t xml:space="preserve">Counterfactual explanations: The system generates 1-2 clinically interpretable counterfactual statements: 'If this child's dietary diversity score improved from 3 to 6, our model predicts the faltering risk would decrease from 42% to 18%.'</w:t>
      </w:r>
    </w:p>
    <w:p>
      <w:pPr>
        <w:pStyle w:val="ListParagraph"/>
        <w:numPr>
          <w:ilvl w:val="0"/>
          <w:numId w:val="2"/>
        </w:numPr>
        <w:spacing w:after="55" w:before="55" w:line="280"/>
      </w:pPr>
      <w:r>
        <w:rPr>
          <w:rFonts w:ascii="Calibri" w:cs="Calibri" w:eastAsia="Calibri" w:hAnsi="Calibri"/>
          <w:sz w:val="22"/>
          <w:szCs w:val="22"/>
        </w:rPr>
        <w:t xml:space="preserve">Uncertainty communication: Bayesian prediction intervals are displayed as growth trajectory ribbons on the WHO chart. Wide ribbons (high uncertainty) signal sparse data — the clinician is explicitly told 'This prediction has high uncertainty due to only 2 recorded measurements; we recommend collecting additional measurements before relying on this forecast.'</w:t>
      </w:r>
    </w:p>
    <w:p>
      <w:r>
        <w:br w:type="page"/>
      </w:r>
    </w:p>
    <w:p>
      <w:pPr>
        <w:pStyle w:val="Heading1"/>
      </w:pPr>
      <w:r>
        <w:rPr>
          <w:rFonts w:ascii="Calibri" w:cs="Calibri" w:eastAsia="Calibri" w:hAnsi="Calibri"/>
          <w:b/>
          <w:bCs/>
        </w:rPr>
        <w:t xml:space="preserve">11. Implementation Roadmap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600"/>
        <w:gridCol w:w="3400"/>
        <w:gridCol w:w="2860"/>
      </w:tblGrid>
      <w:tr>
        <w:tc>
          <w:tcPr>
            <w:tcW w:type="dxa" w:w="13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c>
          <w:tcPr>
            <w:tcW w:type="dxa" w:w="1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Months</w:t>
            </w:r>
          </w:p>
        </w:tc>
        <w:tc>
          <w:tcPr>
            <w:tcW w:type="dxa" w:w="16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Focus</w:t>
            </w:r>
          </w:p>
        </w:tc>
        <w:tc>
          <w:tcPr>
            <w:tcW w:type="dxa" w:w="34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Deliverables</w:t>
            </w:r>
          </w:p>
        </w:tc>
        <w:tc>
          <w:tcPr>
            <w:tcW w:type="dxa" w:w="28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Milestone</w:t>
            </w:r>
          </w:p>
        </w:tc>
      </w:tr>
      <w:tr>
        <w:tc>
          <w:tcPr>
            <w:tcW w:type="dxa" w:w="1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 Foundation</w:t>
            </w:r>
          </w:p>
        </w:tc>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w:t>
            </w:r>
          </w:p>
        </w:tc>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Data infrastructure</w:t>
            </w:r>
          </w:p>
        </w:tc>
        <w:tc>
          <w:tcPr>
            <w:tcW w:type="dxa" w:w="3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WHO/CDC LMS tables packaged; FHIR adapter; de-identification pipeline; data schema</w:t>
            </w:r>
          </w:p>
        </w:tc>
        <w:tc>
          <w:tcPr>
            <w:tcW w:type="dxa" w:w="28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Reference computations validated against WHO published tables</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 Core MVP</w:t>
            </w:r>
          </w:p>
        </w:tc>
        <w:tc>
          <w:tcPr>
            <w:tcW w:type="dxa" w:w="1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Z-score + GBM</w:t>
            </w:r>
          </w:p>
        </w:tc>
        <w:tc>
          <w:tcPr>
            <w:tcW w:type="dxa" w:w="3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steps 1–4; LMS z-score computation; XGBoost faltering detection; growth chart generation</w:t>
            </w:r>
          </w:p>
        </w:tc>
        <w:tc>
          <w:tcPr>
            <w:tcW w:type="dxa" w:w="28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 sensitivity on holdout set; clinical review #1</w:t>
            </w:r>
          </w:p>
        </w:tc>
      </w:tr>
      <w:tr>
        <w:tc>
          <w:tcPr>
            <w:tcW w:type="dxa" w:w="1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 Longitudinal</w:t>
            </w:r>
          </w:p>
        </w:tc>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6–8</w:t>
            </w:r>
          </w:p>
        </w:tc>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 + LSTM</w:t>
            </w:r>
          </w:p>
        </w:tc>
        <w:tc>
          <w:tcPr>
            <w:tcW w:type="dxa" w:w="3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steps 5–8; LME trajectory model; LSTM predictor; ensemble; temporal CV</w:t>
            </w:r>
          </w:p>
        </w:tc>
        <w:tc>
          <w:tcPr>
            <w:tcW w:type="dxa" w:w="28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RMSE &lt; 0.45 SDS at 3-month horizon; clinical review #2</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 Bayesian</w:t>
            </w:r>
          </w:p>
        </w:tc>
        <w:tc>
          <w:tcPr>
            <w:tcW w:type="dxa" w:w="1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Uncertainty + Bayesian</w:t>
            </w:r>
          </w:p>
        </w:tc>
        <w:tc>
          <w:tcPr>
            <w:tcW w:type="dxa" w:w="3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Bayesian hierarchical model; prediction intervals; calibration; SHAP explainability</w:t>
            </w:r>
          </w:p>
        </w:tc>
        <w:tc>
          <w:tcPr>
            <w:tcW w:type="dxa" w:w="28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Calibration ECE &lt; 0.05; uncertainty visualization approved</w:t>
            </w:r>
          </w:p>
        </w:tc>
      </w:tr>
      <w:tr>
        <w:tc>
          <w:tcPr>
            <w:tcW w:type="dxa" w:w="1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 Clinical UI</w:t>
            </w:r>
          </w:p>
        </w:tc>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12–13</w:t>
            </w:r>
          </w:p>
        </w:tc>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Reports + alerts</w:t>
            </w:r>
          </w:p>
        </w:tc>
        <w:tc>
          <w:tcPr>
            <w:tcW w:type="dxa" w:w="3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PDF report generator; caregiver growth card; alert system; EHR integration (FHIR)</w:t>
            </w:r>
          </w:p>
        </w:tc>
        <w:tc>
          <w:tcPr>
            <w:tcW w:type="dxa" w:w="28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Clinician usability SUS &gt; 80; caregiver readability grade ≤ 6</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 Validation</w:t>
            </w:r>
          </w:p>
        </w:tc>
        <w:tc>
          <w:tcPr>
            <w:tcW w:type="dxa" w:w="1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14–17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Prospective study</w:t>
            </w:r>
          </w:p>
        </w:tc>
        <w:tc>
          <w:tcPr>
            <w:tcW w:type="dxa" w:w="34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Shadow deployment in 3 pilot clinics; outcome tracking; subgroup fairness analysis</w:t>
            </w:r>
          </w:p>
        </w:tc>
        <w:tc>
          <w:tcPr>
            <w:tcW w:type="dxa" w:w="28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Sensitivity &gt; 85%; no subgroup RMSE gap &gt; 0.15 SDS</w:t>
            </w:r>
          </w:p>
        </w:tc>
      </w:tr>
      <w:tr>
        <w:tc>
          <w:tcPr>
            <w:tcW w:type="dxa" w:w="1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 Regulatory</w:t>
            </w:r>
          </w:p>
        </w:tc>
        <w:tc>
          <w:tcPr>
            <w:tcW w:type="dxa" w:w="1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18–24</w:t>
            </w:r>
          </w:p>
        </w:tc>
        <w:tc>
          <w:tcPr>
            <w:tcW w:type="dxa" w:w="16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FDA/CE clearance</w:t>
            </w:r>
          </w:p>
        </w:tc>
        <w:tc>
          <w:tcPr>
            <w:tcW w:type="dxa" w:w="34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Technical file; clinical evidence dossier; software lifecycle documentation; post-market plan</w:t>
            </w:r>
          </w:p>
        </w:tc>
        <w:tc>
          <w:tcPr>
            <w:tcW w:type="dxa" w:w="28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CE mark or FDA 510(k) clearance for primary market</w:t>
            </w:r>
          </w:p>
        </w:tc>
      </w:tr>
    </w:tbl>
    <w:p>
      <w:pPr>
        <w:spacing w:after="180" w:before="60"/>
        <w:jc w:val="center"/>
      </w:pPr>
      <w:r>
        <w:rPr>
          <w:rFonts w:ascii="Calibri" w:cs="Calibri" w:eastAsia="Calibri" w:hAnsi="Calibri"/>
          <w:i/>
          <w:iCs/>
          <w:color w:val="555555"/>
          <w:sz w:val="19"/>
          <w:szCs w:val="19"/>
        </w:rPr>
        <w:t xml:space="preserve">Table 11.1: Implementation roadmap for the Children Growth Prediction system.</w:t>
      </w:r>
    </w:p>
    <w:p>
      <w:pPr>
        <w:spacing w:after="30" w:before="30"/>
      </w:pPr>
      <w:r>
        <w:t xml:space="preserve"/>
      </w:r>
    </w:p>
    <w:p>
      <w:pPr>
        <w:pStyle w:val="Heading2"/>
      </w:pPr>
      <w:r>
        <w:rPr>
          <w:rFonts w:ascii="Calibri" w:cs="Calibri" w:eastAsia="Calibri" w:hAnsi="Calibri"/>
          <w:b/>
          <w:bCs/>
        </w:rPr>
        <w:t xml:space="preserve">11.1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Resource</w:t>
            </w:r>
          </w:p>
        </w:tc>
        <w:tc>
          <w:tcPr>
            <w:tcW w:type="dxa" w:w="23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 1–2</w:t>
            </w:r>
          </w:p>
        </w:tc>
        <w:tc>
          <w:tcPr>
            <w:tcW w:type="dxa" w:w="250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 3–4</w:t>
            </w:r>
          </w:p>
        </w:tc>
        <w:tc>
          <w:tcPr>
            <w:tcW w:type="dxa" w:w="2360"/>
            <w:tcBorders>
              <w:top w:val="single" w:color="BBBBBB" w:sz="4"/>
              <w:left w:val="single" w:color="BBBBBB" w:sz="4"/>
              <w:bottom w:val="single" w:color="BBBBBB" w:sz="4"/>
              <w:right w:val="single" w:color="BBBBBB" w:sz="4"/>
            </w:tcBorders>
            <w:shd w:fill="1A4731"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 5–6 (Full)</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Compute (training)</w:t>
            </w:r>
          </w:p>
        </w:tc>
        <w:tc>
          <w:tcPr>
            <w:tcW w:type="dxa" w:w="2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8-core CPU, 32 GB RAM</w:t>
            </w:r>
          </w:p>
        </w:tc>
        <w:tc>
          <w:tcPr>
            <w:tcW w:type="dxa" w:w="2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GPU (NVIDIA A10G), 64 GB RAM</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 GPU cluster for NAS + hyperparameter search</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Storage</w:t>
            </w:r>
          </w:p>
        </w:tc>
        <w:tc>
          <w:tcPr>
            <w:tcW w:type="dxa" w:w="2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 GB (SSD)</w:t>
            </w:r>
          </w:p>
        </w:tc>
        <w:tc>
          <w:tcPr>
            <w:tcW w:type="dxa" w:w="2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 TB (encrypted, HIPAA)</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 TB (encrypted; 7-year retention)</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data (min.)</w:t>
            </w:r>
          </w:p>
        </w:tc>
        <w:tc>
          <w:tcPr>
            <w:tcW w:type="dxa" w:w="2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 children, 4+ visits each</w:t>
            </w:r>
          </w:p>
        </w:tc>
        <w:tc>
          <w:tcPr>
            <w:tcW w:type="dxa" w:w="2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2,000 children</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5,000+ children, 10-year follow-up</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Team: ML Engineering</w:t>
            </w:r>
          </w:p>
        </w:tc>
        <w:tc>
          <w:tcPr>
            <w:tcW w:type="dxa" w:w="2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 FTE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 FTE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 FTE</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Team: Clinical</w:t>
            </w:r>
          </w:p>
        </w:tc>
        <w:tc>
          <w:tcPr>
            <w:tcW w:type="dxa" w:w="2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 FTE (consultant)</w:t>
            </w:r>
          </w:p>
        </w:tc>
        <w:tc>
          <w:tcPr>
            <w:tcW w:type="dxa" w:w="2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 FTE (pediatrician)</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 FTE (pediatrician + nutritionist)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Team: Regulatory</w:t>
            </w:r>
          </w:p>
        </w:tc>
        <w:tc>
          <w:tcPr>
            <w:tcW w:type="dxa" w:w="23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 (research phase)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 FTE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 FTE (regulatory affairs)</w:t>
            </w:r>
          </w:p>
        </w:tc>
      </w:tr>
      <w:tr>
        <w:tc>
          <w:tcPr>
            <w:tcW w:type="dxa" w:w="22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Estimated cost (infra)</w:t>
            </w:r>
          </w:p>
        </w:tc>
        <w:tc>
          <w:tcPr>
            <w:tcW w:type="dxa" w:w="23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$15K/month</w:t>
            </w:r>
          </w:p>
        </w:tc>
        <w:tc>
          <w:tcPr>
            <w:tcW w:type="dxa" w:w="250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$35K/month</w:t>
            </w:r>
          </w:p>
        </w:tc>
        <w:tc>
          <w:tcPr>
            <w:tcW w:type="dxa" w:w="2360"/>
            <w:tcBorders>
              <w:top w:val="single" w:color="BBBBBB" w:sz="4"/>
              <w:left w:val="single" w:color="BBBBBB" w:sz="4"/>
              <w:bottom w:val="single" w:color="BBBBBB" w:sz="4"/>
              <w:right w:val="single" w:color="BBBBBB" w:sz="4"/>
            </w:tcBorders>
            <w:shd w:fill="E8F5EE"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$80K/month</w:t>
            </w:r>
          </w:p>
        </w:tc>
      </w:tr>
    </w:tbl>
    <w:p>
      <w:pPr>
        <w:spacing w:after="180" w:before="60"/>
        <w:jc w:val="center"/>
      </w:pPr>
      <w:r>
        <w:rPr>
          <w:rFonts w:ascii="Calibri" w:cs="Calibri" w:eastAsia="Calibri" w:hAnsi="Calibri"/>
          <w:i/>
          <w:iCs/>
          <w:color w:val="555555"/>
          <w:sz w:val="19"/>
          <w:szCs w:val="19"/>
        </w:rPr>
        <w:t xml:space="preserve">Table 11.2: Resource requirements by implementation phase.</w:t>
      </w:r>
    </w:p>
    <w:p>
      <w:r>
        <w:br w:type="page"/>
      </w:r>
    </w:p>
    <w:p>
      <w:pPr>
        <w:pStyle w:val="Heading1"/>
      </w:pPr>
      <w:r>
        <w:rPr>
          <w:rFonts w:ascii="Calibri" w:cs="Calibri" w:eastAsia="Calibri" w:hAnsi="Calibri"/>
          <w:b/>
          <w:bCs/>
        </w:rPr>
        <w:t xml:space="preserve">12. Conclusion</w:t>
      </w:r>
    </w:p>
    <w:p>
      <w:pPr>
        <w:spacing w:after="80" w:before="80" w:line="308"/>
        <w:jc w:val="both"/>
      </w:pPr>
      <w:r>
        <w:rPr>
          <w:rFonts w:ascii="Calibri" w:cs="Calibri" w:eastAsia="Calibri" w:hAnsi="Calibri"/>
          <w:sz w:val="22"/>
          <w:szCs w:val="22"/>
        </w:rPr>
        <w:t xml:space="preserve">The Children Growth Prediction system represents a concrete and clinically meaningful application of the WizardML platform's wizard-mode and auto-code-generation capabilities to a domain of global public health importance. By combining WHO-standard normative reference data with modern longitudinal machine learning techniques — linear mixed-effects models, gradient boosted trees, LSTM networks, and Bayesian hierarchical models — the system offers prediction capabilities that substantially exceed what is possible with manual growth chart inspection alone.</w:t>
      </w:r>
    </w:p>
    <w:p>
      <w:pPr>
        <w:spacing w:after="80" w:before="80" w:line="308"/>
        <w:jc w:val="both"/>
      </w:pPr>
      <w:r>
        <w:rPr>
          <w:rFonts w:ascii="Calibri" w:cs="Calibri" w:eastAsia="Calibri" w:hAnsi="Calibri"/>
          <w:sz w:val="22"/>
          <w:szCs w:val="22"/>
        </w:rPr>
        <w:t xml:space="preserve">The wizard-mode interface addresses a critical adoption barrier: pediatricians, nurses, and nutritionists are domain experts in child health but not in machine learning. The eight-step wizard translates their domain knowledge into model configuration without requiring them to understand z-score imputation strategies, LSTM architecture choices, or cross-validation methodology. At the same time, the auto-code-generation module ensures that every prediction is fully reproducible, auditable, and adaptable — a research team can download the generated pipeline, understand every preprocessing decision, and build on it for publication or quality improvement projects.</w:t>
      </w:r>
    </w:p>
    <w:p>
      <w:pPr>
        <w:spacing w:after="80" w:before="80" w:line="308"/>
        <w:jc w:val="both"/>
      </w:pPr>
      <w:r>
        <w:rPr>
          <w:rFonts w:ascii="Calibri" w:cs="Calibri" w:eastAsia="Calibri" w:hAnsi="Calibri"/>
          <w:sz w:val="22"/>
          <w:szCs w:val="22"/>
        </w:rPr>
        <w:t xml:space="preserve">The technical challenges are significant but tractable. Irregular visit schedules, high missing data rates, the need for age and sex-specific normalization using LMS tables, the hierarchical data structure, and the clinical requirement for calibrated uncertainty estimates all require domain-specific solutions that go beyond standard ML practice. This draft has detailed each of these challenges and proposed validated solutions grounded in the pediatric growth literature.</w:t>
      </w:r>
    </w:p>
    <w:p>
      <w:pPr>
        <w:spacing w:after="80" w:before="80" w:line="308"/>
        <w:jc w:val="both"/>
      </w:pPr>
      <w:r>
        <w:rPr>
          <w:rFonts w:ascii="Calibri" w:cs="Calibri" w:eastAsia="Calibri" w:hAnsi="Calibri"/>
          <w:sz w:val="22"/>
          <w:szCs w:val="22"/>
        </w:rPr>
        <w:t xml:space="preserve">The ethical and regulatory considerations are non-negotiable constraints, not afterthoughts. Children are a protected population; their health data is among the most sensitive; and automated clinical decision support for pediatric growth must meet the highest standards of accuracy, fairness, and transparency. The regulatory pathway (FDA 510(k) or CE marking) is a multi-year commitment that must be integrated into the project plan from the outset, not bolted on after technical development is complete.</w:t>
      </w:r>
    </w:p>
    <w:p>
      <w:pPr>
        <w:spacing w:after="80" w:before="80" w:line="308"/>
        <w:jc w:val="both"/>
      </w:pPr>
      <w:r>
        <w:rPr>
          <w:rFonts w:ascii="Calibri" w:cs="Calibri" w:eastAsia="Calibri" w:hAnsi="Calibri"/>
          <w:sz w:val="22"/>
          <w:szCs w:val="22"/>
        </w:rPr>
        <w:t xml:space="preserve">Most importantly, the system is designed around a principle that should govern all clinical AI: the goal is to empower clinicians, not to replace clinical judgment. The growth monitoring wizard, the prediction charts with confidence bands, the SHAP-based explanations, the counterfactual statements, and the tiered alert system are all designed to give clinicians better information — earlier, more precisely, and with appropriate uncertainty — while keeping the human clinician firmly in the decision loop. A child's growth trajectory is a story; this system helps clinicians read that story more clearly.</w:t>
      </w:r>
    </w:p>
    <w:p>
      <w:r>
        <w:br w:type="page"/>
      </w:r>
    </w:p>
    <w:p>
      <w:pPr>
        <w:pStyle w:val="Heading1"/>
      </w:pPr>
      <w:r>
        <w:rPr>
          <w:rFonts w:ascii="Calibri" w:cs="Calibri" w:eastAsia="Calibri" w:hAnsi="Calibri"/>
          <w:b/>
          <w:bCs/>
        </w:rPr>
        <w:t xml:space="preserve">References</w:t>
      </w:r>
    </w:p>
    <w:p>
      <w:pPr>
        <w:spacing w:after="60" w:before="60" w:line="276"/>
        <w:ind w:left="360" w:hanging="360"/>
      </w:pPr>
      <w:r>
        <w:rPr>
          <w:rFonts w:ascii="Calibri" w:cs="Calibri" w:eastAsia="Calibri" w:hAnsi="Calibri"/>
          <w:sz w:val="19"/>
          <w:szCs w:val="19"/>
        </w:rPr>
        <w:t xml:space="preserve">[1] WHO Multicentre Growth Reference Study Group (2006). WHO Child Growth Standards: Length/height-for-age, weight-for-age, weight-for-length, weight-for-height and body mass index-for-age: Methods and development. WHO Press, Geneva.</w:t>
      </w:r>
    </w:p>
    <w:p>
      <w:pPr>
        <w:spacing w:after="60" w:before="60" w:line="276"/>
        <w:ind w:left="360" w:hanging="360"/>
      </w:pPr>
      <w:r>
        <w:rPr>
          <w:rFonts w:ascii="Calibri" w:cs="Calibri" w:eastAsia="Calibri" w:hAnsi="Calibri"/>
          <w:sz w:val="19"/>
          <w:szCs w:val="19"/>
        </w:rPr>
        <w:t xml:space="preserve">[2] Kuczmarski, R. J., et al. (2000). CDC growth charts: United States. Advance Data from Vital and Health Statistics, No. 314. National Center for Health Statistics.</w:t>
      </w:r>
    </w:p>
    <w:p>
      <w:pPr>
        <w:spacing w:after="60" w:before="60" w:line="276"/>
        <w:ind w:left="360" w:hanging="360"/>
      </w:pPr>
      <w:r>
        <w:rPr>
          <w:rFonts w:ascii="Calibri" w:cs="Calibri" w:eastAsia="Calibri" w:hAnsi="Calibri"/>
          <w:sz w:val="19"/>
          <w:szCs w:val="19"/>
        </w:rPr>
        <w:t xml:space="preserve">[3] Cole, T. J., &amp; Green, P. J. (1992). Smoothing reference centile curves: The LMS method and penalized likelihood. Statistics in Medicine, 11(10), 1305–1319.</w:t>
      </w:r>
    </w:p>
    <w:p>
      <w:pPr>
        <w:spacing w:after="60" w:before="60" w:line="276"/>
        <w:ind w:left="360" w:hanging="360"/>
      </w:pPr>
      <w:r>
        <w:rPr>
          <w:rFonts w:ascii="Calibri" w:cs="Calibri" w:eastAsia="Calibri" w:hAnsi="Calibri"/>
          <w:sz w:val="19"/>
          <w:szCs w:val="19"/>
        </w:rPr>
        <w:t xml:space="preserve">[4] UNICEF, WHO, &amp; World Bank (2023). Levels and trends in child malnutrition: Joint Malnutrition Estimates 2023 edition. WHO, Geneva.</w:t>
      </w:r>
    </w:p>
    <w:p>
      <w:pPr>
        <w:spacing w:after="60" w:before="60" w:line="276"/>
        <w:ind w:left="360" w:hanging="360"/>
      </w:pPr>
      <w:r>
        <w:rPr>
          <w:rFonts w:ascii="Calibri" w:cs="Calibri" w:eastAsia="Calibri" w:hAnsi="Calibri"/>
          <w:sz w:val="19"/>
          <w:szCs w:val="19"/>
        </w:rPr>
        <w:t xml:space="preserve">[5] Victora, C. G., et al. (2010). Worldwide timing of growth faltering: Revisiting implications for interventions. Pediatrics, 125(3), e473–e480.</w:t>
      </w:r>
    </w:p>
    <w:p>
      <w:pPr>
        <w:spacing w:after="60" w:before="60" w:line="276"/>
        <w:ind w:left="360" w:hanging="360"/>
      </w:pPr>
      <w:r>
        <w:rPr>
          <w:rFonts w:ascii="Calibri" w:cs="Calibri" w:eastAsia="Calibri" w:hAnsi="Calibri"/>
          <w:sz w:val="19"/>
          <w:szCs w:val="19"/>
        </w:rPr>
        <w:t xml:space="preserve">[6] Dewey, K. G., &amp; Begum, K. (2011). Long-term consequences of stunting in early life. Maternal &amp; Child Nutrition, 7(Suppl 3), 5–18.</w:t>
      </w:r>
    </w:p>
    <w:p>
      <w:pPr>
        <w:spacing w:after="60" w:before="60" w:line="276"/>
        <w:ind w:left="360" w:hanging="360"/>
      </w:pPr>
      <w:r>
        <w:rPr>
          <w:rFonts w:ascii="Calibri" w:cs="Calibri" w:eastAsia="Calibri" w:hAnsi="Calibri"/>
          <w:sz w:val="19"/>
          <w:szCs w:val="19"/>
        </w:rPr>
        <w:t xml:space="preserve">[7] Grajeda, R., et al. (2005). Randomised controlled trial of effect of zinc supplementation on growth of Peruvian children. Lancet, 3(7), 543–548.</w:t>
      </w:r>
    </w:p>
    <w:p>
      <w:pPr>
        <w:spacing w:after="60" w:before="60" w:line="276"/>
        <w:ind w:left="360" w:hanging="360"/>
      </w:pPr>
      <w:r>
        <w:rPr>
          <w:rFonts w:ascii="Calibri" w:cs="Calibri" w:eastAsia="Calibri" w:hAnsi="Calibri"/>
          <w:sz w:val="19"/>
          <w:szCs w:val="19"/>
        </w:rPr>
        <w:t xml:space="preserve">[8] Hochreiter, S., &amp; Schmidhuber, J. (1997). Long short-term memory. Neural Computation, 9(8), 1735–1780.</w:t>
      </w:r>
    </w:p>
    <w:p>
      <w:pPr>
        <w:spacing w:after="60" w:before="60" w:line="276"/>
        <w:ind w:left="360" w:hanging="360"/>
      </w:pPr>
      <w:r>
        <w:rPr>
          <w:rFonts w:ascii="Calibri" w:cs="Calibri" w:eastAsia="Calibri" w:hAnsi="Calibri"/>
          <w:sz w:val="19"/>
          <w:szCs w:val="19"/>
        </w:rPr>
        <w:t xml:space="preserve">[9] Vaswani, A., Shazeer, N., Parmar, N., et al. (2017). Attention is all you need. NeurIPS, 30.</w:t>
      </w:r>
    </w:p>
    <w:p>
      <w:pPr>
        <w:spacing w:after="60" w:before="60" w:line="276"/>
        <w:ind w:left="360" w:hanging="360"/>
      </w:pPr>
      <w:r>
        <w:rPr>
          <w:rFonts w:ascii="Calibri" w:cs="Calibri" w:eastAsia="Calibri" w:hAnsi="Calibri"/>
          <w:sz w:val="19"/>
          <w:szCs w:val="19"/>
        </w:rPr>
        <w:t xml:space="preserve">[10] Fitzmaurice, G. M., Laird, N. M., &amp; Ware, J. H. (2011). Applied Longitudinal Analysis (2nd Ed.). Wiley-Interscience.</w:t>
      </w:r>
    </w:p>
    <w:p>
      <w:pPr>
        <w:spacing w:after="60" w:before="60" w:line="276"/>
        <w:ind w:left="360" w:hanging="360"/>
      </w:pPr>
      <w:r>
        <w:rPr>
          <w:rFonts w:ascii="Calibri" w:cs="Calibri" w:eastAsia="Calibri" w:hAnsi="Calibri"/>
          <w:sz w:val="19"/>
          <w:szCs w:val="19"/>
        </w:rPr>
        <w:t xml:space="preserve">[11] Bates, D., Mächler, M., Bolker, B., &amp; Walker, S. (2015). Fitting linear mixed-effects models using lme4. Journal of Statistical Software, 67(1), 1–48.</w:t>
      </w:r>
    </w:p>
    <w:p>
      <w:pPr>
        <w:spacing w:after="60" w:before="60" w:line="276"/>
        <w:ind w:left="360" w:hanging="360"/>
      </w:pPr>
      <w:r>
        <w:rPr>
          <w:rFonts w:ascii="Calibri" w:cs="Calibri" w:eastAsia="Calibri" w:hAnsi="Calibri"/>
          <w:sz w:val="19"/>
          <w:szCs w:val="19"/>
        </w:rPr>
        <w:t xml:space="preserve">[12] Gelman, A., Carlin, J., Stern, H., Dunson, D., Vehtari, A., &amp; Rubin, D. (2013). Bayesian Data Analysis (3rd Ed.). CRC Press.</w:t>
      </w:r>
    </w:p>
    <w:p>
      <w:pPr>
        <w:spacing w:after="60" w:before="60" w:line="276"/>
        <w:ind w:left="360" w:hanging="360"/>
      </w:pPr>
      <w:r>
        <w:rPr>
          <w:rFonts w:ascii="Calibri" w:cs="Calibri" w:eastAsia="Calibri" w:hAnsi="Calibri"/>
          <w:sz w:val="19"/>
          <w:szCs w:val="19"/>
        </w:rPr>
        <w:t xml:space="preserve">[13] Salvatier, J., Wiecki, T. V., &amp; Fonnesbeck, C. (2016). Probabilistic programming in Python using PyMC3. PeerJ Computer Science, 2, e55.</w:t>
      </w:r>
    </w:p>
    <w:p>
      <w:pPr>
        <w:spacing w:after="60" w:before="60" w:line="276"/>
        <w:ind w:left="360" w:hanging="360"/>
      </w:pPr>
      <w:r>
        <w:rPr>
          <w:rFonts w:ascii="Calibri" w:cs="Calibri" w:eastAsia="Calibri" w:hAnsi="Calibri"/>
          <w:sz w:val="19"/>
          <w:szCs w:val="19"/>
        </w:rPr>
        <w:t xml:space="preserve">[14] Van Buuren, S. (2018). Flexible Imputation of Missing Data (2nd Ed.). CRC Press. https://stefvanbuuren.name/fimd/</w:t>
      </w:r>
    </w:p>
    <w:p>
      <w:pPr>
        <w:spacing w:after="60" w:before="60" w:line="276"/>
        <w:ind w:left="360" w:hanging="360"/>
      </w:pPr>
      <w:r>
        <w:rPr>
          <w:rFonts w:ascii="Calibri" w:cs="Calibri" w:eastAsia="Calibri" w:hAnsi="Calibri"/>
          <w:sz w:val="19"/>
          <w:szCs w:val="19"/>
        </w:rPr>
        <w:t xml:space="preserve">[15] Rubin, D. B. (1987). Multiple Imputation for Nonresponse in Surveys. Wiley.</w:t>
      </w:r>
    </w:p>
    <w:p>
      <w:pPr>
        <w:spacing w:after="60" w:before="60" w:line="276"/>
        <w:ind w:left="360" w:hanging="360"/>
      </w:pPr>
      <w:r>
        <w:rPr>
          <w:rFonts w:ascii="Calibri" w:cs="Calibri" w:eastAsia="Calibri" w:hAnsi="Calibri"/>
          <w:sz w:val="19"/>
          <w:szCs w:val="19"/>
        </w:rPr>
        <w:t xml:space="preserve">[16] Lundberg, S. M., &amp; Lee, S. I. (2017). A unified approach to interpreting model predictions. NeurIPS, 30.</w:t>
      </w:r>
    </w:p>
    <w:p>
      <w:pPr>
        <w:spacing w:after="60" w:before="60" w:line="276"/>
        <w:ind w:left="360" w:hanging="360"/>
      </w:pPr>
      <w:r>
        <w:rPr>
          <w:rFonts w:ascii="Calibri" w:cs="Calibri" w:eastAsia="Calibri" w:hAnsi="Calibri"/>
          <w:sz w:val="19"/>
          <w:szCs w:val="19"/>
        </w:rPr>
        <w:t xml:space="preserve">[17] Wachter, S., Mittelstadt, B., &amp; Russell, C. (2017). Counterfactual explanations without opening the black box. Harvard Journal of Law &amp; Technology, 31(2).</w:t>
      </w:r>
    </w:p>
    <w:p>
      <w:pPr>
        <w:spacing w:after="60" w:before="60" w:line="276"/>
        <w:ind w:left="360" w:hanging="360"/>
      </w:pPr>
      <w:r>
        <w:rPr>
          <w:rFonts w:ascii="Calibri" w:cs="Calibri" w:eastAsia="Calibri" w:hAnsi="Calibri"/>
          <w:sz w:val="19"/>
          <w:szCs w:val="19"/>
        </w:rPr>
        <w:t xml:space="preserve">[18] Chen, T., &amp; Guestrin, C. (2016). XGBoost: A scalable tree boosting system. KDD, 785–794.</w:t>
      </w:r>
    </w:p>
    <w:p>
      <w:pPr>
        <w:spacing w:after="60" w:before="60" w:line="276"/>
        <w:ind w:left="360" w:hanging="360"/>
      </w:pPr>
      <w:r>
        <w:rPr>
          <w:rFonts w:ascii="Calibri" w:cs="Calibri" w:eastAsia="Calibri" w:hAnsi="Calibri"/>
          <w:sz w:val="19"/>
          <w:szCs w:val="19"/>
        </w:rPr>
        <w:t xml:space="preserve">[19] Ke, G., et al. (2017). LightGBM: A highly efficient gradient boosting decision tree. NeurIPS, 30.</w:t>
      </w:r>
    </w:p>
    <w:p>
      <w:pPr>
        <w:spacing w:after="60" w:before="60" w:line="276"/>
        <w:ind w:left="360" w:hanging="360"/>
      </w:pPr>
      <w:r>
        <w:rPr>
          <w:rFonts w:ascii="Calibri" w:cs="Calibri" w:eastAsia="Calibri" w:hAnsi="Calibri"/>
          <w:sz w:val="19"/>
          <w:szCs w:val="19"/>
        </w:rPr>
        <w:t xml:space="preserve">[20] Khamis, H. J., &amp; Roche, A. F. (1994). Predicting adult stature without using skeletal age: The Khamis-Roche method. Pediatrics, 94(4), 504–507.</w:t>
      </w:r>
    </w:p>
    <w:p>
      <w:pPr>
        <w:spacing w:after="60" w:before="60" w:line="276"/>
        <w:ind w:left="360" w:hanging="360"/>
      </w:pPr>
      <w:r>
        <w:rPr>
          <w:rFonts w:ascii="Calibri" w:cs="Calibri" w:eastAsia="Calibri" w:hAnsi="Calibri"/>
          <w:sz w:val="19"/>
          <w:szCs w:val="19"/>
        </w:rPr>
        <w:t xml:space="preserve">[21] Tanner, J. M., &amp; Davies, P. S. W. (1985). Clinical longitudinal standards for height and height velocity for North American children. Journal of Pediatrics, 107(3), 317–329.</w:t>
      </w:r>
    </w:p>
    <w:p>
      <w:pPr>
        <w:spacing w:after="60" w:before="60" w:line="276"/>
        <w:ind w:left="360" w:hanging="360"/>
      </w:pPr>
      <w:r>
        <w:rPr>
          <w:rFonts w:ascii="Calibri" w:cs="Calibri" w:eastAsia="Calibri" w:hAnsi="Calibri"/>
          <w:sz w:val="19"/>
          <w:szCs w:val="19"/>
        </w:rPr>
        <w:t xml:space="preserve">[22] Hales, C. M., et al. (2017). Prevalence of obesity among adults and youth: United States, 2015–2016. NCHS Data Brief, No. 288.</w:t>
      </w:r>
    </w:p>
    <w:p>
      <w:pPr>
        <w:spacing w:after="60" w:before="60" w:line="276"/>
        <w:ind w:left="360" w:hanging="360"/>
      </w:pPr>
      <w:r>
        <w:rPr>
          <w:rFonts w:ascii="Calibri" w:cs="Calibri" w:eastAsia="Calibri" w:hAnsi="Calibri"/>
          <w:sz w:val="19"/>
          <w:szCs w:val="19"/>
        </w:rPr>
        <w:t xml:space="preserve">[23] WHO (2014). WHA Global Nutrition Targets 2025: Stunting Policy Brief. WHO, Geneva.</w:t>
      </w:r>
    </w:p>
    <w:p>
      <w:pPr>
        <w:spacing w:after="60" w:before="60" w:line="276"/>
        <w:ind w:left="360" w:hanging="360"/>
      </w:pPr>
      <w:r>
        <w:rPr>
          <w:rFonts w:ascii="Calibri" w:cs="Calibri" w:eastAsia="Calibri" w:hAnsi="Calibri"/>
          <w:sz w:val="19"/>
          <w:szCs w:val="19"/>
        </w:rPr>
        <w:t xml:space="preserve">[24] Piwoz, E. G., &amp; Huffman, S. L. (2015). The impact of marketing of breast-milk substitutes on WHO-recommended breastfeeding practices. Food and Nutrition Bulletin, 36(4), 373–386.</w:t>
      </w:r>
    </w:p>
    <w:p>
      <w:pPr>
        <w:spacing w:after="60" w:before="60" w:line="276"/>
        <w:ind w:left="360" w:hanging="360"/>
      </w:pPr>
      <w:r>
        <w:rPr>
          <w:rFonts w:ascii="Calibri" w:cs="Calibri" w:eastAsia="Calibri" w:hAnsi="Calibri"/>
          <w:sz w:val="19"/>
          <w:szCs w:val="19"/>
        </w:rPr>
        <w:t xml:space="preserve">[25] Danaei, G., et al. (2016). Risk factors for childhood stunting in 137 developing countries: A comparative risk assessment analysis. Lancet Global Health, 4(12), e916–e922.</w:t>
      </w:r>
    </w:p>
    <w:p>
      <w:pPr>
        <w:spacing w:after="60" w:before="60" w:line="276"/>
        <w:ind w:left="360" w:hanging="360"/>
      </w:pPr>
      <w:r>
        <w:rPr>
          <w:rFonts w:ascii="Calibri" w:cs="Calibri" w:eastAsia="Calibri" w:hAnsi="Calibri"/>
          <w:sz w:val="19"/>
          <w:szCs w:val="19"/>
        </w:rPr>
        <w:t xml:space="preserve">[26] Victora, C. G., et al. (2008). Maternal and child undernutrition: Consequences for adult health and human capital. Lancet, 371(9609), 340–357.</w:t>
      </w:r>
    </w:p>
    <w:p>
      <w:pPr>
        <w:spacing w:after="60" w:before="60" w:line="276"/>
        <w:ind w:left="360" w:hanging="360"/>
      </w:pPr>
      <w:r>
        <w:rPr>
          <w:rFonts w:ascii="Calibri" w:cs="Calibri" w:eastAsia="Calibri" w:hAnsi="Calibri"/>
          <w:sz w:val="19"/>
          <w:szCs w:val="19"/>
        </w:rPr>
        <w:t xml:space="preserve">[27] HL7 International (2023). FHIR R4 Specification — Observation Resource. https://hl7.org/fhir/observation.html.</w:t>
      </w:r>
    </w:p>
    <w:p>
      <w:pPr>
        <w:spacing w:after="60" w:before="60" w:line="276"/>
        <w:ind w:left="360" w:hanging="360"/>
      </w:pPr>
      <w:r>
        <w:rPr>
          <w:rFonts w:ascii="Calibri" w:cs="Calibri" w:eastAsia="Calibri" w:hAnsi="Calibri"/>
          <w:sz w:val="19"/>
          <w:szCs w:val="19"/>
        </w:rPr>
        <w:t xml:space="preserve">[28] U.S. Department of Health &amp; Human Services (1996). Health Insurance Portability and Accountability Act (HIPAA). Public Law 104-191.</w:t>
      </w:r>
    </w:p>
    <w:p>
      <w:pPr>
        <w:spacing w:after="60" w:before="60" w:line="276"/>
        <w:ind w:left="360" w:hanging="360"/>
      </w:pPr>
      <w:r>
        <w:rPr>
          <w:rFonts w:ascii="Calibri" w:cs="Calibri" w:eastAsia="Calibri" w:hAnsi="Calibri"/>
          <w:sz w:val="19"/>
          <w:szCs w:val="19"/>
        </w:rPr>
        <w:t xml:space="preserve">[29] European Parliament (2016). General Data Protection Regulation (GDPR). Regulation (EU) 2016/679.</w:t>
      </w:r>
    </w:p>
    <w:p>
      <w:pPr>
        <w:spacing w:after="60" w:before="60" w:line="276"/>
        <w:ind w:left="360" w:hanging="360"/>
      </w:pPr>
      <w:r>
        <w:rPr>
          <w:rFonts w:ascii="Calibri" w:cs="Calibri" w:eastAsia="Calibri" w:hAnsi="Calibri"/>
          <w:sz w:val="19"/>
          <w:szCs w:val="19"/>
        </w:rPr>
        <w:t xml:space="preserve">[30] FDA (2021). Artificial Intelligence/Machine Learning (AI/ML)-Based Software as a Medical Device (SaMD) Action Plan. U.S. Food and Drug Administration.</w:t>
      </w:r>
    </w:p>
    <w:p>
      <w:pPr>
        <w:spacing w:after="60" w:before="60" w:line="276"/>
        <w:ind w:left="360" w:hanging="360"/>
      </w:pPr>
      <w:r>
        <w:rPr>
          <w:rFonts w:ascii="Calibri" w:cs="Calibri" w:eastAsia="Calibri" w:hAnsi="Calibri"/>
          <w:sz w:val="19"/>
          <w:szCs w:val="19"/>
        </w:rPr>
        <w:t xml:space="preserve">[31] Goodfellow, I., Bengio, Y., &amp; Courville, A. (2016). Deep Learning. MIT Press.</w:t>
      </w:r>
    </w:p>
    <w:p>
      <w:pPr>
        <w:spacing w:after="60" w:before="60" w:line="276"/>
        <w:ind w:left="360" w:hanging="360"/>
      </w:pPr>
      <w:r>
        <w:rPr>
          <w:rFonts w:ascii="Calibri" w:cs="Calibri" w:eastAsia="Calibri" w:hAnsi="Calibri"/>
          <w:sz w:val="19"/>
          <w:szCs w:val="19"/>
        </w:rPr>
        <w:t xml:space="preserve">[32] Murphy, K. P. (2022). Probabilistic Machine Learning: An Introduction. MIT Press.</w:t>
      </w:r>
    </w:p>
    <w:p>
      <w:pPr>
        <w:spacing w:after="60" w:before="60" w:line="276"/>
        <w:ind w:left="360" w:hanging="360"/>
      </w:pPr>
      <w:r>
        <w:rPr>
          <w:rFonts w:ascii="Calibri" w:cs="Calibri" w:eastAsia="Calibri" w:hAnsi="Calibri"/>
          <w:sz w:val="19"/>
          <w:szCs w:val="19"/>
        </w:rPr>
        <w:t xml:space="preserve">[33] Diggle, P., Heagerty, P., Liang, K. Y., &amp; Zeger, S. L. (2002). Analysis of Longitudinal Data (2nd Ed.). Oxford University Press.</w:t>
      </w:r>
    </w:p>
    <w:p>
      <w:pPr>
        <w:spacing w:after="60" w:before="60" w:line="276"/>
        <w:ind w:left="360" w:hanging="360"/>
      </w:pPr>
      <w:r>
        <w:rPr>
          <w:rFonts w:ascii="Calibri" w:cs="Calibri" w:eastAsia="Calibri" w:hAnsi="Calibri"/>
          <w:sz w:val="19"/>
          <w:szCs w:val="19"/>
        </w:rPr>
        <w:t xml:space="preserve">[34] Dempster, A. P., Laird, N. M., &amp; Rubin, D. B. (1977). Maximum likelihood from incomplete data via the EM algorithm. Journal of the Royal Statistical Society Series B, 39(1), 1–38.</w:t>
      </w:r>
    </w:p>
    <w:p>
      <w:pPr>
        <w:spacing w:after="60" w:before="60" w:line="276"/>
        <w:ind w:left="360" w:hanging="360"/>
      </w:pPr>
      <w:r>
        <w:rPr>
          <w:rFonts w:ascii="Calibri" w:cs="Calibri" w:eastAsia="Calibri" w:hAnsi="Calibri"/>
          <w:sz w:val="19"/>
          <w:szCs w:val="19"/>
        </w:rPr>
        <w:t xml:space="preserve">[35] Breiman, L. (2001). Random forests. Machine Learning, 45(1), 5–32.</w:t>
      </w:r>
    </w:p>
    <w:p>
      <w:pPr>
        <w:spacing w:after="60" w:before="60" w:line="276"/>
        <w:ind w:left="360" w:hanging="360"/>
      </w:pPr>
      <w:r>
        <w:rPr>
          <w:rFonts w:ascii="Calibri" w:cs="Calibri" w:eastAsia="Calibri" w:hAnsi="Calibri"/>
          <w:sz w:val="19"/>
          <w:szCs w:val="19"/>
        </w:rPr>
        <w:t xml:space="preserve">[36] Arlot, S., &amp; Celisse, A. (2010). A survey of cross-validation procedures for model selection. Statistics Surveys, 4, 40–79.</w:t>
      </w:r>
    </w:p>
    <w:p>
      <w:pPr>
        <w:spacing w:after="60" w:before="60" w:line="276"/>
        <w:ind w:left="360" w:hanging="360"/>
      </w:pPr>
      <w:r>
        <w:rPr>
          <w:rFonts w:ascii="Calibri" w:cs="Calibri" w:eastAsia="Calibri" w:hAnsi="Calibri"/>
          <w:sz w:val="19"/>
          <w:szCs w:val="19"/>
        </w:rPr>
        <w:t xml:space="preserve">[37] Mitchell, M., et al. (2019). Model cards for model reporting. ACM FAccT, 220–229.</w:t>
      </w:r>
    </w:p>
    <w:p>
      <w:pPr>
        <w:spacing w:after="60" w:before="60" w:line="276"/>
        <w:ind w:left="360" w:hanging="360"/>
      </w:pPr>
      <w:r>
        <w:rPr>
          <w:rFonts w:ascii="Calibri" w:cs="Calibri" w:eastAsia="Calibri" w:hAnsi="Calibri"/>
          <w:sz w:val="19"/>
          <w:szCs w:val="19"/>
        </w:rPr>
        <w:t xml:space="preserve">[38] Buuren, S. van, &amp; Fredriks, M. (2001). Worm plot: A simple diagnostic device for modelling growth reference curves. Statistics in Medicine, 20(8), 1259–1277.</w:t>
      </w:r>
    </w:p>
    <w:p>
      <w:pPr>
        <w:spacing w:after="60" w:before="60" w:line="276"/>
        <w:ind w:left="360" w:hanging="360"/>
      </w:pPr>
      <w:r>
        <w:rPr>
          <w:rFonts w:ascii="Calibri" w:cs="Calibri" w:eastAsia="Calibri" w:hAnsi="Calibri"/>
          <w:sz w:val="19"/>
          <w:szCs w:val="19"/>
        </w:rPr>
        <w:t xml:space="preserve">[39] Filteau, S. M., &amp; Tomkins, A. M. (1994). Nutritional factors affecting susceptibility and response to infection. Transactions of the Royal Society of Tropical Medicine and Hygiene, 88(6), 616–619.</w:t>
      </w:r>
    </w:p>
    <w:p>
      <w:pPr>
        <w:spacing w:after="60" w:before="60" w:line="276"/>
        <w:ind w:left="360" w:hanging="360"/>
      </w:pPr>
      <w:r>
        <w:rPr>
          <w:rFonts w:ascii="Calibri" w:cs="Calibri" w:eastAsia="Calibri" w:hAnsi="Calibri"/>
          <w:sz w:val="19"/>
          <w:szCs w:val="19"/>
        </w:rPr>
        <w:t xml:space="preserve">[40] Victora, C. G., et al. (2016). Breastfeeding in the 21st century: Epidemiology, mechanisms, and lifelong effect. Lancet, 387(10017), 475–490.</w:t>
      </w:r>
    </w:p>
    <w:p>
      <w:pPr>
        <w:spacing w:after="60" w:before="60" w:line="276"/>
        <w:ind w:left="360" w:hanging="360"/>
      </w:pPr>
      <w:r>
        <w:rPr>
          <w:rFonts w:ascii="Calibri" w:cs="Calibri" w:eastAsia="Calibri" w:hAnsi="Calibri"/>
          <w:sz w:val="19"/>
          <w:szCs w:val="19"/>
        </w:rPr>
        <w:t xml:space="preserve">[41] Addo, O. Y., et al. (2013). Attained height during childhood and adolescence determines adult height. Journal of Nutrition, 143(5), 658–664.</w:t>
      </w:r>
    </w:p>
    <w:p>
      <w:pPr>
        <w:spacing w:after="60" w:before="60" w:line="276"/>
        <w:ind w:left="360" w:hanging="360"/>
      </w:pPr>
      <w:r>
        <w:rPr>
          <w:rFonts w:ascii="Calibri" w:cs="Calibri" w:eastAsia="Calibri" w:hAnsi="Calibri"/>
          <w:sz w:val="19"/>
          <w:szCs w:val="19"/>
        </w:rPr>
        <w:t xml:space="preserve">[42] Hermanussen, M. (2013). Auxology: Studying Human Growth and Development. Schweizerbart Science Publishers.</w:t>
      </w:r>
    </w:p>
    <w:p>
      <w:pPr>
        <w:spacing w:after="60" w:before="60" w:line="276"/>
        <w:ind w:left="360" w:hanging="360"/>
      </w:pPr>
      <w:r>
        <w:rPr>
          <w:rFonts w:ascii="Calibri" w:cs="Calibri" w:eastAsia="Calibri" w:hAnsi="Calibri"/>
          <w:sz w:val="19"/>
          <w:szCs w:val="19"/>
        </w:rPr>
        <w:t xml:space="preserve">[43] Sinha, P., Calfee, C. S., &amp; Delucchi, K. L. (2021). Practitioner's guide to latent class analysis. Critical Care Medicine, 49(1), e63–e79.</w:t>
      </w:r>
    </w:p>
    <w:p>
      <w:pPr>
        <w:spacing w:after="60" w:before="60" w:line="276"/>
        <w:ind w:left="360" w:hanging="360"/>
      </w:pPr>
      <w:r>
        <w:rPr>
          <w:rFonts w:ascii="Calibri" w:cs="Calibri" w:eastAsia="Calibri" w:hAnsi="Calibri"/>
          <w:sz w:val="19"/>
          <w:szCs w:val="19"/>
        </w:rPr>
        <w:t xml:space="preserve">[44] Vonesh, E. F., &amp; Chinchilli, V. M. (1997). Linear and Nonlinear Models for the Analysis of Repeated Measurements. Marcel Dekker.</w:t>
      </w:r>
    </w:p>
    <w:p>
      <w:pPr>
        <w:spacing w:after="60" w:before="60" w:line="276"/>
        <w:ind w:left="360" w:hanging="360"/>
      </w:pPr>
      <w:r>
        <w:rPr>
          <w:rFonts w:ascii="Calibri" w:cs="Calibri" w:eastAsia="Calibri" w:hAnsi="Calibri"/>
          <w:sz w:val="19"/>
          <w:szCs w:val="19"/>
        </w:rPr>
        <w:t xml:space="preserve">[45] WHO (2007). WHO Reference 2007 for school-aged children and adolescents. Bulletin of the World Health Organization, 85(9), 660–667.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A40" w:sz="4" w:space="4"/>
      </w:pBdr>
      <w:jc w:val="center"/>
    </w:pPr>
    <w:r>
      <w:rPr>
        <w:rFonts w:ascii="Calibri" w:cs="Calibri" w:eastAsia="Calibri" w:hAnsi="Calibri"/>
        <w:color w:val="888888"/>
        <w:sz w:val="18"/>
        <w:szCs w:val="18"/>
      </w:rPr>
      <w:t xml:space="preserve">DRAFT — For Clinical Review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A40" w:sz="4" w:space="4"/>
      </w:pBdr>
    </w:pPr>
    <w:r>
      <w:rPr>
        <w:rFonts w:ascii="Calibri" w:cs="Calibri" w:eastAsia="Calibri" w:hAnsi="Calibri"/>
        <w:b/>
        <w:bCs/>
        <w:color w:val="1A4731"/>
        <w:sz w:val="18"/>
        <w:szCs w:val="18"/>
      </w:rPr>
      <w:t xml:space="preserve">Children Growth Prediction — Wizard &amp; AutoCode ML Platform</w:t>
    </w:r>
    <w:r>
      <w:rPr>
        <w:rFonts w:ascii="Calibri" w:cs="Calibri" w:eastAsia="Calibri" w:hAnsi="Calibri"/>
        <w:color w:val="888888"/>
        <w:sz w:val="18"/>
        <w:szCs w:val="18"/>
      </w:rPr>
      <w:t xml:space="preserve">   |   Research &amp; Implementation 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A40" w:sz="8" w:space="2"/>
      </w:pBdr>
      <w:spacing w:after="180" w:before="400"/>
      <w:outlineLvl w:val="0"/>
    </w:pPr>
    <w:rPr>
      <w:rFonts w:ascii="Calibri" w:cs="Calibri" w:eastAsia="Calibri" w:hAnsi="Calibri"/>
      <w:b/>
      <w:bCs/>
      <w:color w:val="1A4731"/>
      <w:sz w:val="38"/>
      <w:szCs w:val="38"/>
    </w:rPr>
  </w:style>
  <w:style w:type="paragraph" w:styleId="Heading2">
    <w:name w:val="Heading 2"/>
    <w:basedOn w:val="Normal"/>
    <w:next w:val="Normal"/>
    <w:qFormat/>
    <w:pPr>
      <w:spacing w:after="100" w:before="280"/>
      <w:outlineLvl w:val="1"/>
    </w:pPr>
    <w:rPr>
      <w:rFonts w:ascii="Calibri" w:cs="Calibri" w:eastAsia="Calibri" w:hAnsi="Calibri"/>
      <w:b/>
      <w:bCs/>
      <w:color w:val="1D6A40"/>
      <w:sz w:val="28"/>
      <w:szCs w:val="28"/>
    </w:rPr>
  </w:style>
  <w:style w:type="paragraph" w:styleId="Heading3">
    <w:name w:val="Heading 3"/>
    <w:basedOn w:val="Normal"/>
    <w:next w:val="Normal"/>
    <w:qFormat/>
    <w:pPr>
      <w:spacing w:after="60" w:before="180"/>
      <w:outlineLvl w:val="2"/>
    </w:pPr>
    <w:rPr>
      <w:rFonts w:ascii="Calibri" w:cs="Calibri" w:eastAsia="Calibri" w:hAnsi="Calibri"/>
      <w:b/>
      <w:bCs/>
      <w:i/>
      <w:i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2026-05-20T04:39:09.857Z</dcterms:created>
  <dcterms:modified xsi:type="dcterms:W3CDTF">2026-05-20T04:39:09.872Z</dcterms:modified>
</cp:coreProperties>
</file>

<file path=docProps/custom.xml><?xml version="1.0" encoding="utf-8"?>
<Properties xmlns="http://schemas.openxmlformats.org/officeDocument/2006/custom-properties" xmlns:vt="http://schemas.openxmlformats.org/officeDocument/2006/docPropsVTypes"/>
</file>