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35.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Mixed cropping of narrow‑leaved lupin with oat enhances grain‑yield stability across five European locations</w:t>
      </w:r>
    </w:p>
    <w:p>
      <w:pPr>
        <w:pStyle w:val="Date"/>
      </w:pPr>
      <w:r>
        <w:t xml:space="preserve">2026-03-20, 18:18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Yannik Schlup¹ ³</w:t>
      </w:r>
      <w:r>
        <w:t xml:space="preserve">✉,</w:t>
      </w:r>
      <w:r>
        <w:t xml:space="preserve"> </w:t>
      </w:r>
      <w:r>
        <w:rPr>
          <w:b/>
          <w:bCs/>
        </w:rPr>
        <w:t xml:space="preserve">Vesna Župunski²</w:t>
      </w:r>
      <w:r>
        <w:t xml:space="preserve">,</w:t>
      </w:r>
      <w:r>
        <w:t xml:space="preserve"> </w:t>
      </w:r>
      <w:r>
        <w:rPr>
          <w:b/>
          <w:bCs/>
        </w:rPr>
        <w:t xml:space="preserve">Radivoje Jevtić²</w:t>
      </w:r>
      <w:r>
        <w:t xml:space="preserve">,</w:t>
      </w:r>
      <w:r>
        <w:t xml:space="preserve"> </w:t>
      </w:r>
      <w:r>
        <w:rPr>
          <w:b/>
          <w:bCs/>
        </w:rPr>
        <w:t xml:space="preserve">Selma Schurack⁴</w:t>
      </w:r>
      <w:r>
        <w:t xml:space="preserve">,</w:t>
      </w:r>
      <w:r>
        <w:br/>
      </w:r>
      <w:r>
        <w:rPr>
          <w:b/>
          <w:bCs/>
        </w:rPr>
        <w:t xml:space="preserve">Matthias Heinrich Herrmann⁴</w:t>
      </w:r>
      <w:r>
        <w:t xml:space="preserve">,</w:t>
      </w:r>
      <w:r>
        <w:br/>
      </w:r>
      <w:r>
        <w:rPr>
          <w:b/>
          <w:bCs/>
        </w:rPr>
        <w:t xml:space="preserve">Andrea Gallehr⁵</w:t>
      </w:r>
      <w:r>
        <w:t xml:space="preserve">,</w:t>
      </w:r>
      <w:r>
        <w:br/>
      </w:r>
      <w:r>
        <w:rPr>
          <w:b/>
          <w:bCs/>
        </w:rPr>
        <w:t xml:space="preserve">Kathrin Neubeck⁵</w:t>
      </w:r>
      <w:r>
        <w:t xml:space="preserve">,</w:t>
      </w:r>
      <w:r>
        <w:t xml:space="preserve"> </w:t>
      </w:r>
      <w:r>
        <w:rPr>
          <w:b/>
          <w:bCs/>
        </w:rPr>
        <w:t xml:space="preserve">Annette Haak⁵</w:t>
      </w:r>
      <w:r>
        <w:t xml:space="preserve">,</w:t>
      </w:r>
      <w:r>
        <w:br/>
      </w:r>
      <w:r>
        <w:rPr>
          <w:b/>
          <w:bCs/>
        </w:rPr>
        <w:t xml:space="preserve">Lukas Graz⁶</w:t>
      </w:r>
      <w:r>
        <w:t xml:space="preserve">,</w:t>
      </w:r>
      <w:r>
        <w:br/>
      </w:r>
      <w:r>
        <w:rPr>
          <w:b/>
          <w:bCs/>
        </w:rPr>
        <w:t xml:space="preserve">Johan Six³</w:t>
      </w:r>
      <w:r>
        <w:t xml:space="preserve">,</w:t>
      </w:r>
      <w:r>
        <w:br/>
      </w:r>
      <w:r>
        <w:rPr>
          <w:b/>
          <w:bCs/>
        </w:rPr>
        <w:t xml:space="preserve">Susanne Vogelgsang¹</w:t>
      </w:r>
      <w:r>
        <w:t xml:space="preserve">✉</w:t>
      </w:r>
    </w:p>
    <w:p>
      <w:pPr>
        <w:pStyle w:val="BodyText"/>
      </w:pPr>
      <w:r>
        <w:t xml:space="preserve">¹ Research group Extension Arable Crops, Competence Division Plant and Plant Products, Agroscope, Zurich, Switzerland</w:t>
      </w:r>
      <w:r>
        <w:br/>
      </w:r>
      <w:r>
        <w:t xml:space="preserve">² Institute of Field and Vegetable Crops, Novi Sad, Serbia</w:t>
      </w:r>
      <w:r>
        <w:t xml:space="preserve"> </w:t>
      </w:r>
      <w:r>
        <w:t xml:space="preserve">³ Sustainable Agroecosystems, Department of Environmental Systems Science, ETH Zurich, Zurich, Switzerland</w:t>
      </w:r>
      <w:r>
        <w:t xml:space="preserve"> </w:t>
      </w:r>
      <w:r>
        <w:t xml:space="preserve">⁴ Institute for Breeding Research on Agricultural Crops, Julius Kühn Institute (JKI), Federal Research Centre for Cultivated Plants, Sanitz, Germany</w:t>
      </w:r>
      <w:r>
        <w:t xml:space="preserve"> </w:t>
      </w:r>
      <w:r>
        <w:t xml:space="preserve">⁵ Research &amp; Breeding department (FZD) at Landbauschule Dottenfelderhof, Bad Vilbel, Germany</w:t>
      </w:r>
      <w:r>
        <w:t xml:space="preserve"> </w:t>
      </w:r>
      <w:r>
        <w:t xml:space="preserve">⁶ Seminar for Statistics, Department of Mathematics, ETH Zurich, Zurich, Switzerland</w:t>
      </w:r>
    </w:p>
    <w:p>
      <w:pPr>
        <w:pStyle w:val="BodyText"/>
      </w:pPr>
      <w:r>
        <w:t xml:space="preserve">✉ Corresponding authors: schlupy@ethz.ch, susanne.vogelgsang@agroscope.admin.ch</w:t>
      </w:r>
    </w:p>
    <w:bookmarkStart w:id="20" w:name="abstract"/>
    <w:p>
      <w:pPr>
        <w:pStyle w:val="Heading1"/>
      </w:pPr>
      <w:r>
        <w:t xml:space="preserve">Abstract</w:t>
      </w:r>
    </w:p>
    <w:p>
      <w:pPr>
        <w:pStyle w:val="FirstParagraph"/>
      </w:pPr>
      <w:r>
        <w:rPr>
          <w:b/>
          <w:bCs/>
        </w:rPr>
        <w:t xml:space="preserve">Background &amp; aims:</w:t>
      </w:r>
      <w:r>
        <w:t xml:space="preserve"> </w:t>
      </w:r>
      <w:r>
        <w:t xml:space="preserve">Pulse x cereal mixtures are promoted to stabilise yield and reduce fertiliser dependence, yet robust multi‑environment evidence for narrow‑leaved lupin (NLL,</w:t>
      </w:r>
      <w:r>
        <w:t xml:space="preserve"> </w:t>
      </w:r>
      <w:r>
        <w:rPr>
          <w:i/>
          <w:iCs/>
        </w:rPr>
        <w:t xml:space="preserve">Lupinus angustifolius</w:t>
      </w:r>
      <w:r>
        <w:t xml:space="preserve">) × oat (</w:t>
      </w:r>
      <w:r>
        <w:rPr>
          <w:i/>
          <w:iCs/>
        </w:rPr>
        <w:t xml:space="preserve">Avena sativa</w:t>
      </w:r>
      <w:r>
        <w:t xml:space="preserve">) mixed cropping remains scarce. We tested whether NLL × oat mixtures maintain productivity while enhancing grain yield stability.</w:t>
      </w:r>
    </w:p>
    <w:p>
      <w:pPr>
        <w:pStyle w:val="BodyText"/>
      </w:pPr>
      <w:r>
        <w:rPr>
          <w:b/>
          <w:bCs/>
        </w:rPr>
        <w:t xml:space="preserve">Methods:</w:t>
      </w:r>
      <w:r>
        <w:t xml:space="preserve"> </w:t>
      </w:r>
      <w:r>
        <w:t xml:space="preserve">A randomised complete block design (four blocks) evaluated three NLL and three oat varieties grown as pure stands and as all nine pairwise mixtures in a replacement design (NLL 90%, oat 10% of pure‑stand density). The experiments ran for 13 environment‑years across five European locations. Productivity was summarised with land equivalent ratio (LER) and crop performance ratio (CPR). Yield stability was assessed using (i) the coefficient of variation (CV), (ii) Finlay-Wilkinson regression slope (</w:t>
      </w:r>
      <m:oMath>
        <m:sSub>
          <m:e>
            <m:r>
              <m:t>b</m:t>
            </m:r>
          </m:e>
          <m:sub>
            <m:r>
              <m:t>1</m:t>
            </m:r>
          </m:sub>
        </m:sSub>
      </m:oMath>
      <w:r>
        <w:t xml:space="preserve">) and Eberhart–Russell deviation variance (</w:t>
      </w:r>
      <m:oMath>
        <m:sSubSup>
          <m:e>
            <m:r>
              <m:t>S</m:t>
            </m:r>
          </m:e>
          <m:sub>
            <m:r>
              <m:t>d</m:t>
            </m:r>
            <m:r>
              <m:t>i</m:t>
            </m:r>
          </m:sub>
          <m:sup>
            <m:r>
              <m:t>2</m:t>
            </m:r>
          </m:sup>
        </m:sSubSup>
      </m:oMath>
      <w:r>
        <w:t xml:space="preserve">), and (iii) additive main effects and multiplicative interaction‑derived weighted average of absolute scores (AMMI-WAAS). Mixed‑effects models were used to assess mixed cropping effects.</w:t>
      </w:r>
    </w:p>
    <w:p>
      <w:pPr>
        <w:pStyle w:val="BodyText"/>
      </w:pPr>
      <w:r>
        <w:rPr>
          <w:b/>
          <w:bCs/>
        </w:rPr>
        <w:t xml:space="preserve">Results:</w:t>
      </w:r>
      <w:r>
        <w:t xml:space="preserve"> </w:t>
      </w:r>
      <w:r>
        <w:t xml:space="preserve">Across environments, LER did not differ from unity (LER = 1) whether fertilised or unfertilised oat monocultures were the reference. By contrast, total CPR and oat specific CPR consistently exceeded 1 (mean CPR = 5.3; CPR_N = 4.6), indicating system level gains driven by the oat component without penalising NLL. While CVs did not separate treatments, many mixtures and pure stands were environmentally responsive, but the most stable mixtures combined near average responsiveness with very low variation and sensitivity to the environmental conditions (Bison × Probor and Troll × Jowisz). Lastly, fertilised oat monocultures were more stable than unfertilised counterparts.</w:t>
      </w:r>
    </w:p>
    <w:p>
      <w:pPr>
        <w:pStyle w:val="BodyText"/>
      </w:pPr>
      <w:r>
        <w:rPr>
          <w:b/>
          <w:bCs/>
        </w:rPr>
        <w:t xml:space="preserve">Conclusions:</w:t>
      </w:r>
      <w:r>
        <w:t xml:space="preserve"> </w:t>
      </w:r>
      <w:r>
        <w:t xml:space="preserve">Stability gains arose from reduced environmental sensitivity of the mixture rather than the individual variety, underscoring the need to evaluate mixtures directly rather than inferring stability from monocultures. These results support deploying pulse‑centric cereal × legume mixtures as a pragmatic option to buffer climate variability while sustaining protein‑rich production.</w:t>
      </w:r>
    </w:p>
    <w:p>
      <w:pPr>
        <w:pStyle w:val="BodyText"/>
      </w:pPr>
      <w:r>
        <w:rPr>
          <w:b/>
          <w:bCs/>
        </w:rPr>
        <w:t xml:space="preserve">Keywords</w:t>
      </w:r>
      <w:r>
        <w:t xml:space="preserve">: mixed cropping,</w:t>
      </w:r>
      <w:r>
        <w:t xml:space="preserve"> </w:t>
      </w:r>
      <w:r>
        <w:rPr>
          <w:i/>
          <w:iCs/>
        </w:rPr>
        <w:t xml:space="preserve">Lupinus angustifolius</w:t>
      </w:r>
      <w:r>
        <w:t xml:space="preserve">,</w:t>
      </w:r>
      <w:r>
        <w:t xml:space="preserve"> </w:t>
      </w:r>
      <w:r>
        <w:rPr>
          <w:i/>
          <w:iCs/>
        </w:rPr>
        <w:t xml:space="preserve">Avena sativa</w:t>
      </w:r>
      <w:r>
        <w:t xml:space="preserve">, LER, CPR, Finlay–Wilkinson, AMMI, WAAS, yield stability, genotype × environment.</w:t>
      </w:r>
    </w:p>
    <w:bookmarkEnd w:id="20"/>
    <w:bookmarkStart w:id="21" w:name="introduction"/>
    <w:p>
      <w:pPr>
        <w:pStyle w:val="Heading1"/>
      </w:pPr>
      <w:r>
        <w:t xml:space="preserve">Introduction</w:t>
      </w:r>
    </w:p>
    <w:p>
      <w:pPr>
        <w:pStyle w:val="FirstParagraph"/>
      </w:pPr>
      <w:r>
        <w:t xml:space="preserve">Global demand for protein‐rich plants is growing while climate volatility continues to undermine the year‑to‑year reliability of monocultures</w:t>
      </w:r>
      <w:r>
        <w:t xml:space="preserve"> </w:t>
      </w:r>
      <w:r>
        <w:t xml:space="preserve">(Ismail et al., 2020; Raseduzzaman and Jensen, 2017)</w:t>
      </w:r>
      <w:r>
        <w:t xml:space="preserve">. Mixed cropping of cereals with grain legumes (pulses) has re‑emerged as a promising strategy to improve yield stability, decrease fertiliser dependence and improve resource‑use efficiency</w:t>
      </w:r>
      <w:r>
        <w:t xml:space="preserve"> </w:t>
      </w:r>
      <w:r>
        <w:t xml:space="preserve">(Kumawat et al., 2022; Raseduzzaman and Jensen, 2017; Rodriguez et al., 2020; Tang et al., 2021)</w:t>
      </w:r>
      <w:r>
        <w:t xml:space="preserve">. Narrow‑leaved lupin (NLL,</w:t>
      </w:r>
      <w:r>
        <w:t xml:space="preserve"> </w:t>
      </w:r>
      <w:r>
        <w:rPr>
          <w:i/>
          <w:iCs/>
        </w:rPr>
        <w:t xml:space="preserve">Lupinus angustifolius</w:t>
      </w:r>
      <w:r>
        <w:t xml:space="preserve"> </w:t>
      </w:r>
      <w:r>
        <w:t xml:space="preserve">L.) is among the few pulses that combine high seed protein with the ability to thrive on nutrient poor soils</w:t>
      </w:r>
      <w:r>
        <w:t xml:space="preserve"> </w:t>
      </w:r>
      <w:r>
        <w:t xml:space="preserve">(Lopez-Bellido and Fuente, 1986)</w:t>
      </w:r>
      <w:r>
        <w:t xml:space="preserve">; however, its sole‑crop yield is notoriously unstable</w:t>
      </w:r>
      <w:r>
        <w:t xml:space="preserve"> </w:t>
      </w:r>
      <w:r>
        <w:t xml:space="preserve">(Reckling et al., 2018)</w:t>
      </w:r>
      <w:r>
        <w:t xml:space="preserve">. Oat (</w:t>
      </w:r>
      <w:r>
        <w:rPr>
          <w:i/>
          <w:iCs/>
        </w:rPr>
        <w:t xml:space="preserve">Avena sativa</w:t>
      </w:r>
      <w:r>
        <w:t xml:space="preserve"> </w:t>
      </w:r>
      <w:r>
        <w:t xml:space="preserve">L.) offers complementary morphology, rapid early growth and serves as a cereal break crop</w:t>
      </w:r>
      <w:r>
        <w:t xml:space="preserve"> </w:t>
      </w:r>
      <w:r>
        <w:t xml:space="preserve">(e.g. Danso et al., 1993; Pálmason et al., 1992)</w:t>
      </w:r>
      <w:r>
        <w:t xml:space="preserve">. Integrating the two species in mixed cropping can therefore address both agronomic resilience and nutritional targets at farm and food‑system level, respectively.</w:t>
      </w:r>
    </w:p>
    <w:p>
      <w:pPr>
        <w:pStyle w:val="BodyText"/>
      </w:pPr>
      <w:r>
        <w:t xml:space="preserve">Numerous studies on genotype × cropping‑system interactions have demonstrated that performance gains from cereal × pulse mixtures depend on both the mixed varieties and the environment in which they were evaluated (e.g.</w:t>
      </w:r>
      <w:r>
        <w:t xml:space="preserve"> </w:t>
      </w:r>
      <w:r>
        <w:t xml:space="preserve">(Demie et al., 2022)</w:t>
      </w:r>
      <w:r>
        <w:t xml:space="preserve">). Meta‑analyses consistently report average land‑equivalent ratios (LER) between 1.2 and 1.3 for cereal-pulse mixtures, indicating a median 24% land‑use advantage over pure stands</w:t>
      </w:r>
      <w:r>
        <w:t xml:space="preserve"> </w:t>
      </w:r>
      <w:r>
        <w:t xml:space="preserve">(Demie et al., 2022)</w:t>
      </w:r>
      <w:r>
        <w:t xml:space="preserve">. Grain-yield stability has been assessed with both static and dynamic metrics; in many cases, mixtures outperformed monocultures, yet the magnitude and drivers of this stability remain unclear</w:t>
      </w:r>
      <w:r>
        <w:t xml:space="preserve"> </w:t>
      </w:r>
      <w:r>
        <w:t xml:space="preserve">(Raseduzzaman and Jensen, 2017; Weih et al., 2021)</w:t>
      </w:r>
      <w:r>
        <w:t xml:space="preserve">.</w:t>
      </w:r>
    </w:p>
    <w:p>
      <w:pPr>
        <w:pStyle w:val="BodyText"/>
      </w:pPr>
      <w:r>
        <w:t xml:space="preserve">Fertiliser regimes of cereals in pure stands are pivotal for interpreting mixed‑cropping metrics because both LER and crop performance ratio (CPR) are normalised by monoculture benchmarks</w:t>
      </w:r>
      <w:r>
        <w:t xml:space="preserve"> </w:t>
      </w:r>
      <w:r>
        <w:t xml:space="preserve">(Hauggaard-Nielsen and Jensen, 2001; Liu et al., 2023)</w:t>
      </w:r>
      <w:r>
        <w:t xml:space="preserve">. In formal terms, the CPR compares observed mixed cropping output to the output expected from monoculture yields at the same sowing proportions</w:t>
      </w:r>
      <w:r>
        <w:t xml:space="preserve"> </w:t>
      </w:r>
      <w:r>
        <w:t xml:space="preserve">(Zustovi et al., 2024)</w:t>
      </w:r>
      <w:r>
        <w:t xml:space="preserve">. As a consequence of fertilising cereals in pure stands and the resulting increase in yield, the denominator of the cereal LER and CPR raises, which results in lower LER and CPR-metrics for the same mixed crop. Though rarely investigated, reference treatment fertilisation exhibits significant effects on the mixed cropping performance metrics</w:t>
      </w:r>
      <w:r>
        <w:t xml:space="preserve"> </w:t>
      </w:r>
      <w:r>
        <w:t xml:space="preserve">(Baxevanos et al., 2020)</w:t>
      </w:r>
      <w:r>
        <w:t xml:space="preserve">. Additionally, medium to high fertiliser levels were shown to stabilise cereal yield</w:t>
      </w:r>
      <w:r>
        <w:t xml:space="preserve"> </w:t>
      </w:r>
      <w:r>
        <w:t xml:space="preserve">(Silva et al., 2016)</w:t>
      </w:r>
      <w:r>
        <w:t xml:space="preserve">. Thus, the choice of baseline (fertilised vs. unfertilised) pure cereal stands directly affects mixed‑cropping advantages in terms of productivity and stability metrics</w:t>
      </w:r>
      <w:r>
        <w:t xml:space="preserve"> </w:t>
      </w:r>
      <w:r>
        <w:t xml:space="preserve">(Li et al., 2020; Mead and Willey, 1980)</w:t>
      </w:r>
      <w:r>
        <w:t xml:space="preserve">.</w:t>
      </w:r>
    </w:p>
    <w:p>
      <w:pPr>
        <w:pStyle w:val="BodyText"/>
      </w:pPr>
      <w:r>
        <w:t xml:space="preserve">Despite this theory, robust multi‑environment evidence for NLL × oat mixtures is scarce. Previous experiments have often been confined to single locations, or ad‑hoc varietal choices, leaving unresolved (i) whether crop‑level indices such as the CPR validate classical LER assessments, (ii) how canopy height difference between the varieties influence the agronomic performance, (iii) whether the expected grain-yield stability gains of mixed cropping materialise across contrasting European agroclimates and (iv) how fertilisation of the pure reference cereal crop affects yield indices and stability metrics in mixed stands. Addressing these gaps is critical, since pulses are pivotal to climate‑change mitigation strategies and nitrogen‑fertiliser reduction programmes</w:t>
      </w:r>
      <w:r>
        <w:t xml:space="preserve"> </w:t>
      </w:r>
      <w:r>
        <w:t xml:space="preserve">(Rahman et al., 2022)</w:t>
      </w:r>
      <w:r>
        <w:t xml:space="preserve">.</w:t>
      </w:r>
    </w:p>
    <w:p>
      <w:pPr>
        <w:pStyle w:val="BodyText"/>
      </w:pPr>
      <w:r>
        <w:t xml:space="preserve">Accordingly, we expect</w:t>
      </w:r>
    </w:p>
    <w:p>
      <w:pPr>
        <w:pStyle w:val="BodyText"/>
      </w:pPr>
      <w:r>
        <w:t xml:space="preserve">- Mixed stands to achieve LER values above 1, indicating superior land use compared with pure stands</w:t>
      </w:r>
    </w:p>
    <w:p>
      <w:pPr>
        <w:pStyle w:val="BodyText"/>
      </w:pPr>
      <w:r>
        <w:t xml:space="preserve">- Total CPR and the oat CPR to exceed unity (CPR above 1), reflecting an overall mixed cropping advantage</w:t>
      </w:r>
    </w:p>
    <w:p>
      <w:pPr>
        <w:pStyle w:val="Compact"/>
        <w:numPr>
          <w:ilvl w:val="0"/>
          <w:numId w:val="1001"/>
        </w:numPr>
      </w:pPr>
      <w:r>
        <w:t xml:space="preserve">The CPR and LER to be relatively smaller if those metrics are compared with fertilised rather than unfertilised pure stands of oats</w:t>
      </w:r>
    </w:p>
    <w:p>
      <w:pPr>
        <w:pStyle w:val="FirstParagraph"/>
      </w:pPr>
      <w:r>
        <w:t xml:space="preserve">- NLL × oat mixed cropping to increase both static and dynamic grain-yield stability across the five European locations relative to their corresponding pure stands and</w:t>
      </w:r>
    </w:p>
    <w:p>
      <w:pPr>
        <w:pStyle w:val="Compact"/>
        <w:numPr>
          <w:ilvl w:val="0"/>
          <w:numId w:val="1002"/>
        </w:numPr>
      </w:pPr>
      <w:r>
        <w:t xml:space="preserve">The gain in grain-yield stability of mixed stands to be relatively smaller if that gain is compared with fertilised rather than unfertilised pure stands of oats.</w:t>
      </w:r>
    </w:p>
    <w:bookmarkEnd w:id="21"/>
    <w:bookmarkStart w:id="34" w:name="methods"/>
    <w:p>
      <w:pPr>
        <w:pStyle w:val="Heading1"/>
      </w:pPr>
      <w:r>
        <w:t xml:space="preserve">Methods</w:t>
      </w:r>
    </w:p>
    <w:bookmarkStart w:id="22" w:name="varieties"/>
    <w:p>
      <w:pPr>
        <w:pStyle w:val="Heading2"/>
      </w:pPr>
      <w:r>
        <w:t xml:space="preserve">Varieties</w:t>
      </w:r>
    </w:p>
    <w:p>
      <w:pPr>
        <w:pStyle w:val="FirstParagraph"/>
      </w:pPr>
      <w:r>
        <w:t xml:space="preserve">Three branching spring NLL and three spring oat varieties were chosen based on the breeders’ fact sheets and the variety list of the German variety institute</w:t>
      </w:r>
      <w:r>
        <w:t xml:space="preserve"> </w:t>
      </w:r>
      <w:r>
        <w:t xml:space="preserve">(Bundessortenamt, 2021)</w:t>
      </w:r>
      <w:r>
        <w:t xml:space="preserve">. Branching, spring-NLLs and early maturing spring oat varieties were selected to increase the chances of coincidental ripening. The selected, NLL varieties were</w:t>
      </w:r>
    </w:p>
    <w:p>
      <w:pPr>
        <w:pStyle w:val="Compact"/>
        <w:numPr>
          <w:ilvl w:val="0"/>
          <w:numId w:val="1003"/>
        </w:numPr>
      </w:pPr>
      <w:r>
        <w:t xml:space="preserve">Lunabor, bred by Saatzucht Steinach in Germany</w:t>
      </w:r>
    </w:p>
    <w:p>
      <w:pPr>
        <w:pStyle w:val="Compact"/>
        <w:numPr>
          <w:ilvl w:val="0"/>
          <w:numId w:val="1003"/>
        </w:numPr>
      </w:pPr>
      <w:r>
        <w:t xml:space="preserve">Probor, bred by Saatzucht Steinach in Germany</w:t>
      </w:r>
    </w:p>
    <w:p>
      <w:pPr>
        <w:pStyle w:val="Compact"/>
        <w:numPr>
          <w:ilvl w:val="0"/>
          <w:numId w:val="1003"/>
        </w:numPr>
      </w:pPr>
      <w:r>
        <w:t xml:space="preserve">Jowisz (synonym: Jupiter), bred by HR Smolic in Poland</w:t>
      </w:r>
    </w:p>
    <w:p>
      <w:pPr>
        <w:pStyle w:val="FirstParagraph"/>
      </w:pPr>
      <w:r>
        <w:t xml:space="preserve">The selected early maturing spring oat varieties were:</w:t>
      </w:r>
    </w:p>
    <w:p>
      <w:pPr>
        <w:pStyle w:val="Compact"/>
        <w:numPr>
          <w:ilvl w:val="0"/>
          <w:numId w:val="1004"/>
        </w:numPr>
      </w:pPr>
      <w:r>
        <w:t xml:space="preserve">Bison, Hauptsaaten für die Rheinprovinz GmbH, Germany, medium tall</w:t>
      </w:r>
    </w:p>
    <w:p>
      <w:pPr>
        <w:pStyle w:val="Compact"/>
        <w:numPr>
          <w:ilvl w:val="0"/>
          <w:numId w:val="1004"/>
        </w:numPr>
      </w:pPr>
      <w:r>
        <w:t xml:space="preserve">Lion, Nordsaat Saatzucht GmbH, Germany, medium tall</w:t>
      </w:r>
    </w:p>
    <w:p>
      <w:pPr>
        <w:pStyle w:val="Compact"/>
        <w:numPr>
          <w:ilvl w:val="0"/>
          <w:numId w:val="1004"/>
        </w:numPr>
      </w:pPr>
      <w:r>
        <w:t xml:space="preserve">Troll, Saatzucht Bauer GmbH &amp; Co. KG, Germany, short.</w:t>
      </w:r>
    </w:p>
    <w:bookmarkEnd w:id="22"/>
    <w:bookmarkStart w:id="24" w:name="treatments-and-experimental-design"/>
    <w:p>
      <w:pPr>
        <w:pStyle w:val="Heading2"/>
      </w:pPr>
      <w:r>
        <w:t xml:space="preserve">Treatments and experimental design</w:t>
      </w:r>
    </w:p>
    <w:p>
      <w:pPr>
        <w:pStyle w:val="FirstParagraph"/>
      </w:pPr>
      <w:r>
        <w:t xml:space="preserve">The NLL and oat varieties were cultivated as spring crops in pure and mixed stands. The pure oat stands were fertilised according to the local guidelines (Supplemental materials - Table S1). In the mixed stands, each NLL variety was co-cultivated with each oat variety in a replacement design: the NLLs were sown at 90% of their pure stand’s density, whereas the oats, due to their high competitiveness and the focus on the NLL crop, were sown at 10% of their pure stand’s density</w:t>
      </w:r>
      <w:r>
        <w:t xml:space="preserve"> </w:t>
      </w:r>
      <w:r>
        <w:t xml:space="preserve">(Böhm et al., 2008; Kato-Noguchi et al., 1994)</w:t>
      </w:r>
      <w:r>
        <w:t xml:space="preserve"> </w:t>
      </w:r>
      <w:r>
        <w:t xml:space="preserve">(</w:t>
      </w:r>
      <w:hyperlink w:anchor="tbl_trt">
        <w:r>
          <w:rPr>
            <w:rStyle w:val="Hyperlink"/>
          </w:rPr>
          <w:t xml:space="preserve">Table 1</w:t>
        </w:r>
      </w:hyperlink>
      <w:r>
        <w:t xml:space="preserve">). The sowing amounts were adapted to the germination rate.</w:t>
      </w:r>
    </w:p>
    <w:tbl>
      <w:tblPr>
        <w:tblStyle w:val="Table"/>
        <w:tblW w:type="pct" w:w="5000"/>
        <w:tblLayout w:type="fixed"/>
        <w:tblLook w:firstRow="0" w:lastRow="0" w:firstColumn="0" w:lastColumn="0" w:noHBand="0" w:noVBand="0" w:val="0000"/>
      </w:tblPr>
      <w:tblGrid>
        <w:gridCol w:w="7920"/>
      </w:tblGrid>
      <w:tr>
        <w:tc>
          <w:tcPr/>
          <w:bookmarkStart w:id="23" w:name="tbl-trt"/>
          <w:p>
            <w:pPr>
              <w:jc w:val="center"/>
            </w:pPr>
            <w:pPr>
              <w:jc w:val="left"/>
              <w:spacing w:before="200"/>
              <w:pStyle w:val="ImageCaption"/>
            </w:pPr>
            <w:r>
              <w:t xml:space="preserve">Table 1</w:t>
            </w:r>
          </w:p>
          <w:p>
            <w:pPr>
              <w:pStyle w:val="Compact"/>
              <w:jc w:val="center"/>
            </w:pPr>
            <w:r>
              <w:t xml:space="preserve">Treatments of the study: narrow-leaved lupin and oat varieties, the stand (pure versus mixed), fertilisation, sowing ratios, respective sowing densities and corresponding amount of seeds per hectare. For the two numbers presented in the mixed treatments, the first one refers to the narrow-leaved lupins, the second one to the oats. The sowing density and fertilisation of the oat crop varied depending on the local recommendations.</w:t>
            </w:r>
          </w:p>
          <w:bookmarkEnd w:id="23"/>
        </w:tc>
      </w:tr>
    </w:tbl>
    <w:p>
      <w:pPr>
        <w:pStyle w:val="BodyText"/>
      </w:pPr>
      <w:r>
        <w:t xml:space="preserve"> </w:t>
      </w:r>
    </w:p>
    <w:tbl>
      <w:tblPr>
        <w:tblStyle w:val="Table"/>
        <w:tblW w:type="pct" w:w="5000"/>
        <w:tblLayout w:type="fixed"/>
        <w:tblLook w:firstRow="1" w:lastRow="0" w:firstColumn="0" w:lastColumn="0" w:noHBand="0" w:noVBand="0" w:val="0020"/>
      </w:tblPr>
      <w:tblGrid>
        <w:gridCol w:w="1657"/>
        <w:gridCol w:w="828"/>
        <w:gridCol w:w="1381"/>
        <w:gridCol w:w="2578"/>
        <w:gridCol w:w="1473"/>
      </w:tblGrid>
      <w:tr>
        <w:trPr>
          <w:tblHeader w:val="on"/>
        </w:trPr>
        <w:tc>
          <w:tcPr/>
          <w:p>
            <w:pPr>
              <w:pStyle w:val="Compact"/>
            </w:pPr>
            <w:r>
              <w:t xml:space="preserve">Treatment</w:t>
            </w:r>
          </w:p>
        </w:tc>
        <w:tc>
          <w:tcPr/>
          <w:p>
            <w:pPr>
              <w:pStyle w:val="Compact"/>
            </w:pPr>
            <w:r>
              <w:t xml:space="preserve">Stand</w:t>
            </w:r>
          </w:p>
        </w:tc>
        <w:tc>
          <w:tcPr/>
          <w:p>
            <w:pPr>
              <w:pStyle w:val="Compact"/>
            </w:pPr>
            <w:r>
              <w:t xml:space="preserve">Fertilisation*</w:t>
            </w:r>
          </w:p>
        </w:tc>
        <w:tc>
          <w:tcPr/>
          <w:p>
            <w:pPr>
              <w:pStyle w:val="Compact"/>
            </w:pPr>
            <w:r>
              <w:t xml:space="preserve">Sowing density** (plantsm</w:t>
            </w:r>
            <w:r>
              <w:rPr>
                <w:vertAlign w:val="superscript"/>
              </w:rPr>
              <w:t xml:space="preserve">-2</w:t>
            </w:r>
            <w:r>
              <w:t xml:space="preserve">)</w:t>
            </w:r>
          </w:p>
        </w:tc>
        <w:tc>
          <w:tcPr/>
          <w:p>
            <w:pPr>
              <w:pStyle w:val="Compact"/>
            </w:pPr>
            <w:r>
              <w:t xml:space="preserve">Amount (kgha</w:t>
            </w:r>
            <w:r>
              <w:rPr>
                <w:vertAlign w:val="superscript"/>
              </w:rPr>
              <w:t xml:space="preserve">-1</w:t>
            </w:r>
            <w:r>
              <w:t xml:space="preserve">)</w:t>
            </w:r>
          </w:p>
        </w:tc>
      </w:tr>
      <w:tr>
        <w:tc>
          <w:tcPr/>
          <w:p>
            <w:pPr>
              <w:pStyle w:val="Compact"/>
            </w:pPr>
            <w:r>
              <w:t xml:space="preserve">Bison</w:t>
            </w:r>
          </w:p>
        </w:tc>
        <w:tc>
          <w:tcPr/>
          <w:p>
            <w:pPr>
              <w:pStyle w:val="Compact"/>
            </w:pPr>
            <w:r>
              <w:t xml:space="preserve">pure</w:t>
            </w:r>
          </w:p>
        </w:tc>
        <w:tc>
          <w:tcPr/>
          <w:p>
            <w:pPr>
              <w:pStyle w:val="Compact"/>
            </w:pPr>
            <w:r>
              <w:t xml:space="preserve">no</w:t>
            </w:r>
          </w:p>
        </w:tc>
        <w:tc>
          <w:tcPr/>
          <w:p>
            <w:pPr>
              <w:pStyle w:val="Compact"/>
            </w:pPr>
            <w:r>
              <w:t xml:space="preserve">300 - 400</w:t>
            </w:r>
          </w:p>
        </w:tc>
        <w:tc>
          <w:tcPr/>
          <w:p>
            <w:pPr>
              <w:pStyle w:val="Compact"/>
            </w:pPr>
            <w:r>
              <w:t xml:space="preserve">168 - 224</w:t>
            </w:r>
          </w:p>
        </w:tc>
      </w:tr>
      <w:tr>
        <w:tc>
          <w:tcPr/>
          <w:p>
            <w:pPr>
              <w:pStyle w:val="Compact"/>
            </w:pPr>
            <w:r>
              <w:t xml:space="preserve">Lion</w:t>
            </w:r>
          </w:p>
        </w:tc>
        <w:tc>
          <w:tcPr/>
          <w:p>
            <w:pPr>
              <w:pStyle w:val="Compact"/>
            </w:pPr>
            <w:r>
              <w:t xml:space="preserve">pure</w:t>
            </w:r>
          </w:p>
        </w:tc>
        <w:tc>
          <w:tcPr/>
          <w:p>
            <w:pPr>
              <w:pStyle w:val="Compact"/>
            </w:pPr>
            <w:r>
              <w:t xml:space="preserve">no</w:t>
            </w:r>
          </w:p>
        </w:tc>
        <w:tc>
          <w:tcPr/>
          <w:p>
            <w:pPr>
              <w:pStyle w:val="Compact"/>
            </w:pPr>
            <w:r>
              <w:t xml:space="preserve">300 - 400</w:t>
            </w:r>
          </w:p>
        </w:tc>
        <w:tc>
          <w:tcPr/>
          <w:p>
            <w:pPr>
              <w:pStyle w:val="Compact"/>
            </w:pPr>
            <w:r>
              <w:t xml:space="preserve">121 - 161</w:t>
            </w:r>
          </w:p>
        </w:tc>
      </w:tr>
      <w:tr>
        <w:tc>
          <w:tcPr/>
          <w:p>
            <w:pPr>
              <w:pStyle w:val="Compact"/>
            </w:pPr>
            <w:r>
              <w:t xml:space="preserve">Troll</w:t>
            </w:r>
          </w:p>
        </w:tc>
        <w:tc>
          <w:tcPr/>
          <w:p>
            <w:pPr>
              <w:pStyle w:val="Compact"/>
            </w:pPr>
            <w:r>
              <w:t xml:space="preserve">pure</w:t>
            </w:r>
          </w:p>
        </w:tc>
        <w:tc>
          <w:tcPr/>
          <w:p>
            <w:pPr>
              <w:pStyle w:val="Compact"/>
            </w:pPr>
            <w:r>
              <w:t xml:space="preserve">no</w:t>
            </w:r>
          </w:p>
        </w:tc>
        <w:tc>
          <w:tcPr/>
          <w:p>
            <w:pPr>
              <w:pStyle w:val="Compact"/>
            </w:pPr>
            <w:r>
              <w:t xml:space="preserve">300 - 400</w:t>
            </w:r>
          </w:p>
        </w:tc>
        <w:tc>
          <w:tcPr/>
          <w:p>
            <w:pPr>
              <w:pStyle w:val="Compact"/>
            </w:pPr>
            <w:r>
              <w:t xml:space="preserve">110 - 147</w:t>
            </w:r>
          </w:p>
        </w:tc>
      </w:tr>
      <w:tr>
        <w:tc>
          <w:tcPr/>
          <w:p>
            <w:pPr>
              <w:pStyle w:val="Compact"/>
            </w:pPr>
            <w:r>
              <w:t xml:space="preserve">Bison</w:t>
            </w:r>
          </w:p>
        </w:tc>
        <w:tc>
          <w:tcPr/>
          <w:p>
            <w:pPr>
              <w:pStyle w:val="Compact"/>
            </w:pPr>
            <w:r>
              <w:t xml:space="preserve">pure</w:t>
            </w:r>
          </w:p>
        </w:tc>
        <w:tc>
          <w:tcPr/>
          <w:p>
            <w:pPr>
              <w:pStyle w:val="Compact"/>
            </w:pPr>
            <w:r>
              <w:t xml:space="preserve">yes</w:t>
            </w:r>
          </w:p>
        </w:tc>
        <w:tc>
          <w:tcPr/>
          <w:p>
            <w:pPr>
              <w:pStyle w:val="Compact"/>
            </w:pPr>
            <w:r>
              <w:t xml:space="preserve">300 - 400</w:t>
            </w:r>
          </w:p>
        </w:tc>
        <w:tc>
          <w:tcPr/>
          <w:p>
            <w:pPr>
              <w:pStyle w:val="Compact"/>
            </w:pPr>
            <w:r>
              <w:t xml:space="preserve">168 - 224</w:t>
            </w:r>
          </w:p>
        </w:tc>
      </w:tr>
      <w:tr>
        <w:tc>
          <w:tcPr/>
          <w:p>
            <w:pPr>
              <w:pStyle w:val="Compact"/>
            </w:pPr>
            <w:r>
              <w:t xml:space="preserve">Lion</w:t>
            </w:r>
          </w:p>
        </w:tc>
        <w:tc>
          <w:tcPr/>
          <w:p>
            <w:pPr>
              <w:pStyle w:val="Compact"/>
            </w:pPr>
            <w:r>
              <w:t xml:space="preserve">pure</w:t>
            </w:r>
          </w:p>
        </w:tc>
        <w:tc>
          <w:tcPr/>
          <w:p>
            <w:pPr>
              <w:pStyle w:val="Compact"/>
            </w:pPr>
            <w:r>
              <w:t xml:space="preserve">yes</w:t>
            </w:r>
          </w:p>
        </w:tc>
        <w:tc>
          <w:tcPr/>
          <w:p>
            <w:pPr>
              <w:pStyle w:val="Compact"/>
            </w:pPr>
            <w:r>
              <w:t xml:space="preserve">300 - 400</w:t>
            </w:r>
          </w:p>
        </w:tc>
        <w:tc>
          <w:tcPr/>
          <w:p>
            <w:pPr>
              <w:pStyle w:val="Compact"/>
            </w:pPr>
            <w:r>
              <w:t xml:space="preserve">121 - 161</w:t>
            </w:r>
          </w:p>
        </w:tc>
      </w:tr>
      <w:tr>
        <w:tc>
          <w:tcPr/>
          <w:p>
            <w:pPr>
              <w:pStyle w:val="Compact"/>
            </w:pPr>
            <w:r>
              <w:t xml:space="preserve">Troll</w:t>
            </w:r>
          </w:p>
        </w:tc>
        <w:tc>
          <w:tcPr/>
          <w:p>
            <w:pPr>
              <w:pStyle w:val="Compact"/>
            </w:pPr>
            <w:r>
              <w:t xml:space="preserve">pure</w:t>
            </w:r>
          </w:p>
        </w:tc>
        <w:tc>
          <w:tcPr/>
          <w:p>
            <w:pPr>
              <w:pStyle w:val="Compact"/>
            </w:pPr>
            <w:r>
              <w:t xml:space="preserve">yes</w:t>
            </w:r>
          </w:p>
        </w:tc>
        <w:tc>
          <w:tcPr/>
          <w:p>
            <w:pPr>
              <w:pStyle w:val="Compact"/>
            </w:pPr>
            <w:r>
              <w:t xml:space="preserve">300 - 400</w:t>
            </w:r>
          </w:p>
        </w:tc>
        <w:tc>
          <w:tcPr/>
          <w:p>
            <w:pPr>
              <w:pStyle w:val="Compact"/>
            </w:pPr>
            <w:r>
              <w:t xml:space="preserve">110 - 147</w:t>
            </w:r>
          </w:p>
        </w:tc>
      </w:tr>
      <w:tr>
        <w:tc>
          <w:tcPr/>
          <w:p>
            <w:pPr>
              <w:pStyle w:val="Compact"/>
            </w:pPr>
            <w:r>
              <w:t xml:space="preserve">Lunabor</w:t>
            </w:r>
          </w:p>
        </w:tc>
        <w:tc>
          <w:tcPr/>
          <w:p>
            <w:pPr>
              <w:pStyle w:val="Compact"/>
            </w:pPr>
            <w:r>
              <w:t xml:space="preserve">pure</w:t>
            </w:r>
          </w:p>
        </w:tc>
        <w:tc>
          <w:tcPr/>
          <w:p>
            <w:pPr>
              <w:pStyle w:val="Compact"/>
            </w:pPr>
            <w:r>
              <w:t xml:space="preserve">no</w:t>
            </w:r>
          </w:p>
        </w:tc>
        <w:tc>
          <w:tcPr/>
          <w:p>
            <w:pPr>
              <w:pStyle w:val="Compact"/>
            </w:pPr>
            <w:r>
              <w:t xml:space="preserve">120</w:t>
            </w:r>
          </w:p>
        </w:tc>
        <w:tc>
          <w:tcPr/>
          <w:p>
            <w:pPr>
              <w:pStyle w:val="Compact"/>
            </w:pPr>
            <w:r>
              <w:t xml:space="preserve">220</w:t>
            </w:r>
          </w:p>
        </w:tc>
      </w:tr>
      <w:tr>
        <w:tc>
          <w:tcPr/>
          <w:p>
            <w:pPr>
              <w:pStyle w:val="Compact"/>
            </w:pPr>
            <w:r>
              <w:t xml:space="preserve">Probor</w:t>
            </w:r>
          </w:p>
        </w:tc>
        <w:tc>
          <w:tcPr/>
          <w:p>
            <w:pPr>
              <w:pStyle w:val="Compact"/>
            </w:pPr>
            <w:r>
              <w:t xml:space="preserve">pure</w:t>
            </w:r>
          </w:p>
        </w:tc>
        <w:tc>
          <w:tcPr/>
          <w:p>
            <w:pPr>
              <w:pStyle w:val="Compact"/>
            </w:pPr>
            <w:r>
              <w:t xml:space="preserve">no</w:t>
            </w:r>
          </w:p>
        </w:tc>
        <w:tc>
          <w:tcPr/>
          <w:p>
            <w:pPr>
              <w:pStyle w:val="Compact"/>
            </w:pPr>
            <w:r>
              <w:t xml:space="preserve">120</w:t>
            </w:r>
          </w:p>
        </w:tc>
        <w:tc>
          <w:tcPr/>
          <w:p>
            <w:pPr>
              <w:pStyle w:val="Compact"/>
            </w:pPr>
            <w:r>
              <w:t xml:space="preserve">170</w:t>
            </w:r>
          </w:p>
        </w:tc>
      </w:tr>
      <w:tr>
        <w:tc>
          <w:tcPr/>
          <w:p>
            <w:pPr>
              <w:pStyle w:val="Compact"/>
            </w:pPr>
            <w:r>
              <w:t xml:space="preserve">Jowisz</w:t>
            </w:r>
          </w:p>
        </w:tc>
        <w:tc>
          <w:tcPr/>
          <w:p>
            <w:pPr>
              <w:pStyle w:val="Compact"/>
            </w:pPr>
            <w:r>
              <w:t xml:space="preserve">pure</w:t>
            </w:r>
          </w:p>
        </w:tc>
        <w:tc>
          <w:tcPr/>
          <w:p>
            <w:pPr>
              <w:pStyle w:val="Compact"/>
            </w:pPr>
            <w:r>
              <w:t xml:space="preserve">no</w:t>
            </w:r>
          </w:p>
        </w:tc>
        <w:tc>
          <w:tcPr/>
          <w:p>
            <w:pPr>
              <w:pStyle w:val="Compact"/>
            </w:pPr>
            <w:r>
              <w:t xml:space="preserve">120</w:t>
            </w:r>
          </w:p>
        </w:tc>
        <w:tc>
          <w:tcPr/>
          <w:p>
            <w:pPr>
              <w:pStyle w:val="Compact"/>
            </w:pPr>
            <w:r>
              <w:t xml:space="preserve">214</w:t>
            </w:r>
          </w:p>
        </w:tc>
      </w:tr>
      <w:tr>
        <w:tc>
          <w:tcPr/>
          <w:p>
            <w:pPr>
              <w:pStyle w:val="Compact"/>
            </w:pPr>
            <w:r>
              <w:t xml:space="preserve">Lunabor × Bison</w:t>
            </w:r>
          </w:p>
        </w:tc>
        <w:tc>
          <w:tcPr/>
          <w:p>
            <w:pPr>
              <w:pStyle w:val="Compact"/>
            </w:pPr>
            <w:r>
              <w:t xml:space="preserve">mixed</w:t>
            </w:r>
          </w:p>
        </w:tc>
        <w:tc>
          <w:tcPr/>
          <w:p>
            <w:pPr>
              <w:pStyle w:val="Compact"/>
            </w:pPr>
            <w:r>
              <w:t xml:space="preserve">no</w:t>
            </w:r>
          </w:p>
        </w:tc>
        <w:tc>
          <w:tcPr/>
          <w:p>
            <w:pPr>
              <w:pStyle w:val="Compact"/>
            </w:pPr>
            <w:r>
              <w:t xml:space="preserve">108 / 30 - 40</w:t>
            </w:r>
          </w:p>
        </w:tc>
        <w:tc>
          <w:tcPr/>
          <w:p>
            <w:pPr>
              <w:pStyle w:val="Compact"/>
            </w:pPr>
            <w:r>
              <w:t xml:space="preserve">198 / 17 - 22</w:t>
            </w:r>
          </w:p>
        </w:tc>
      </w:tr>
      <w:tr>
        <w:tc>
          <w:tcPr/>
          <w:p>
            <w:pPr>
              <w:pStyle w:val="Compact"/>
            </w:pPr>
            <w:r>
              <w:t xml:space="preserve">Lunabor × Lion</w:t>
            </w:r>
          </w:p>
        </w:tc>
        <w:tc>
          <w:tcPr/>
          <w:p>
            <w:pPr>
              <w:pStyle w:val="Compact"/>
            </w:pPr>
            <w:r>
              <w:t xml:space="preserve">mixed</w:t>
            </w:r>
          </w:p>
        </w:tc>
        <w:tc>
          <w:tcPr/>
          <w:p>
            <w:pPr>
              <w:pStyle w:val="Compact"/>
            </w:pPr>
            <w:r>
              <w:t xml:space="preserve">no</w:t>
            </w:r>
          </w:p>
        </w:tc>
        <w:tc>
          <w:tcPr/>
          <w:p>
            <w:pPr>
              <w:pStyle w:val="Compact"/>
            </w:pPr>
            <w:r>
              <w:t xml:space="preserve">108 / 30 - 40</w:t>
            </w:r>
          </w:p>
        </w:tc>
        <w:tc>
          <w:tcPr/>
          <w:p>
            <w:pPr>
              <w:pStyle w:val="Compact"/>
            </w:pPr>
            <w:r>
              <w:t xml:space="preserve">198 / 12 - 16</w:t>
            </w:r>
          </w:p>
        </w:tc>
      </w:tr>
      <w:tr>
        <w:tc>
          <w:tcPr/>
          <w:p>
            <w:pPr>
              <w:pStyle w:val="Compact"/>
            </w:pPr>
            <w:r>
              <w:t xml:space="preserve">Lunabor × Troll</w:t>
            </w:r>
          </w:p>
        </w:tc>
        <w:tc>
          <w:tcPr/>
          <w:p>
            <w:pPr>
              <w:pStyle w:val="Compact"/>
            </w:pPr>
            <w:r>
              <w:t xml:space="preserve">mixed</w:t>
            </w:r>
          </w:p>
        </w:tc>
        <w:tc>
          <w:tcPr/>
          <w:p>
            <w:pPr>
              <w:pStyle w:val="Compact"/>
            </w:pPr>
            <w:r>
              <w:t xml:space="preserve">no</w:t>
            </w:r>
          </w:p>
        </w:tc>
        <w:tc>
          <w:tcPr/>
          <w:p>
            <w:pPr>
              <w:pStyle w:val="Compact"/>
            </w:pPr>
            <w:r>
              <w:t xml:space="preserve">108 / 30 - 40</w:t>
            </w:r>
          </w:p>
        </w:tc>
        <w:tc>
          <w:tcPr/>
          <w:p>
            <w:pPr>
              <w:pStyle w:val="Compact"/>
            </w:pPr>
            <w:r>
              <w:t xml:space="preserve">198 / 11 - 15</w:t>
            </w:r>
          </w:p>
        </w:tc>
      </w:tr>
      <w:tr>
        <w:tc>
          <w:tcPr/>
          <w:p>
            <w:pPr>
              <w:pStyle w:val="Compact"/>
            </w:pPr>
            <w:r>
              <w:t xml:space="preserve">Probor × Bison</w:t>
            </w:r>
          </w:p>
        </w:tc>
        <w:tc>
          <w:tcPr/>
          <w:p>
            <w:pPr>
              <w:pStyle w:val="Compact"/>
            </w:pPr>
            <w:r>
              <w:t xml:space="preserve">mixed</w:t>
            </w:r>
          </w:p>
        </w:tc>
        <w:tc>
          <w:tcPr/>
          <w:p>
            <w:pPr>
              <w:pStyle w:val="Compact"/>
            </w:pPr>
            <w:r>
              <w:t xml:space="preserve">no</w:t>
            </w:r>
          </w:p>
        </w:tc>
        <w:tc>
          <w:tcPr/>
          <w:p>
            <w:pPr>
              <w:pStyle w:val="Compact"/>
            </w:pPr>
            <w:r>
              <w:t xml:space="preserve">108 / 30 - 40</w:t>
            </w:r>
          </w:p>
        </w:tc>
        <w:tc>
          <w:tcPr/>
          <w:p>
            <w:pPr>
              <w:pStyle w:val="Compact"/>
            </w:pPr>
            <w:r>
              <w:t xml:space="preserve">153 / 17 - 22</w:t>
            </w:r>
          </w:p>
        </w:tc>
      </w:tr>
      <w:tr>
        <w:tc>
          <w:tcPr/>
          <w:p>
            <w:pPr>
              <w:pStyle w:val="Compact"/>
            </w:pPr>
            <w:r>
              <w:t xml:space="preserve">Probor × Lion</w:t>
            </w:r>
          </w:p>
        </w:tc>
        <w:tc>
          <w:tcPr/>
          <w:p>
            <w:pPr>
              <w:pStyle w:val="Compact"/>
            </w:pPr>
            <w:r>
              <w:t xml:space="preserve">mixed</w:t>
            </w:r>
          </w:p>
        </w:tc>
        <w:tc>
          <w:tcPr/>
          <w:p>
            <w:pPr>
              <w:pStyle w:val="Compact"/>
            </w:pPr>
            <w:r>
              <w:t xml:space="preserve">no</w:t>
            </w:r>
          </w:p>
        </w:tc>
        <w:tc>
          <w:tcPr/>
          <w:p>
            <w:pPr>
              <w:pStyle w:val="Compact"/>
            </w:pPr>
            <w:r>
              <w:t xml:space="preserve">108 / 30 - 40</w:t>
            </w:r>
          </w:p>
        </w:tc>
        <w:tc>
          <w:tcPr/>
          <w:p>
            <w:pPr>
              <w:pStyle w:val="Compact"/>
            </w:pPr>
            <w:r>
              <w:t xml:space="preserve">153 / 12 - 16</w:t>
            </w:r>
          </w:p>
        </w:tc>
      </w:tr>
      <w:tr>
        <w:tc>
          <w:tcPr/>
          <w:p>
            <w:pPr>
              <w:pStyle w:val="Compact"/>
            </w:pPr>
            <w:r>
              <w:t xml:space="preserve">Probor × Troll</w:t>
            </w:r>
          </w:p>
        </w:tc>
        <w:tc>
          <w:tcPr/>
          <w:p>
            <w:pPr>
              <w:pStyle w:val="Compact"/>
            </w:pPr>
            <w:r>
              <w:t xml:space="preserve">mixed</w:t>
            </w:r>
          </w:p>
        </w:tc>
        <w:tc>
          <w:tcPr/>
          <w:p>
            <w:pPr>
              <w:pStyle w:val="Compact"/>
            </w:pPr>
            <w:r>
              <w:t xml:space="preserve">no</w:t>
            </w:r>
          </w:p>
        </w:tc>
        <w:tc>
          <w:tcPr/>
          <w:p>
            <w:pPr>
              <w:pStyle w:val="Compact"/>
            </w:pPr>
            <w:r>
              <w:t xml:space="preserve">108 / 30 - 40</w:t>
            </w:r>
          </w:p>
        </w:tc>
        <w:tc>
          <w:tcPr/>
          <w:p>
            <w:pPr>
              <w:pStyle w:val="Compact"/>
            </w:pPr>
            <w:r>
              <w:t xml:space="preserve">153 / 11 - 15</w:t>
            </w:r>
          </w:p>
        </w:tc>
      </w:tr>
      <w:tr>
        <w:tc>
          <w:tcPr/>
          <w:p>
            <w:pPr>
              <w:pStyle w:val="Compact"/>
            </w:pPr>
            <w:r>
              <w:t xml:space="preserve">Jowisz × Bison</w:t>
            </w:r>
          </w:p>
        </w:tc>
        <w:tc>
          <w:tcPr/>
          <w:p>
            <w:pPr>
              <w:pStyle w:val="Compact"/>
            </w:pPr>
            <w:r>
              <w:t xml:space="preserve">mixed</w:t>
            </w:r>
          </w:p>
        </w:tc>
        <w:tc>
          <w:tcPr/>
          <w:p>
            <w:pPr>
              <w:pStyle w:val="Compact"/>
            </w:pPr>
            <w:r>
              <w:t xml:space="preserve">no</w:t>
            </w:r>
          </w:p>
        </w:tc>
        <w:tc>
          <w:tcPr/>
          <w:p>
            <w:pPr>
              <w:pStyle w:val="Compact"/>
            </w:pPr>
            <w:r>
              <w:t xml:space="preserve">108 / 30 - 40</w:t>
            </w:r>
          </w:p>
        </w:tc>
        <w:tc>
          <w:tcPr/>
          <w:p>
            <w:pPr>
              <w:pStyle w:val="Compact"/>
            </w:pPr>
            <w:r>
              <w:t xml:space="preserve">193 / 17 - 22</w:t>
            </w:r>
          </w:p>
        </w:tc>
      </w:tr>
      <w:tr>
        <w:tc>
          <w:tcPr/>
          <w:p>
            <w:pPr>
              <w:pStyle w:val="Compact"/>
            </w:pPr>
            <w:r>
              <w:t xml:space="preserve">Jowisz × Lion</w:t>
            </w:r>
          </w:p>
        </w:tc>
        <w:tc>
          <w:tcPr/>
          <w:p>
            <w:pPr>
              <w:pStyle w:val="Compact"/>
            </w:pPr>
            <w:r>
              <w:t xml:space="preserve">mixed</w:t>
            </w:r>
          </w:p>
        </w:tc>
        <w:tc>
          <w:tcPr/>
          <w:p>
            <w:pPr>
              <w:pStyle w:val="Compact"/>
            </w:pPr>
            <w:r>
              <w:t xml:space="preserve">no</w:t>
            </w:r>
          </w:p>
        </w:tc>
        <w:tc>
          <w:tcPr/>
          <w:p>
            <w:pPr>
              <w:pStyle w:val="Compact"/>
            </w:pPr>
            <w:r>
              <w:t xml:space="preserve">108 / 30 - 40</w:t>
            </w:r>
          </w:p>
        </w:tc>
        <w:tc>
          <w:tcPr/>
          <w:p>
            <w:pPr>
              <w:pStyle w:val="Compact"/>
            </w:pPr>
            <w:r>
              <w:t xml:space="preserve">193 / 12 - 16</w:t>
            </w:r>
          </w:p>
        </w:tc>
      </w:tr>
      <w:tr>
        <w:tc>
          <w:tcPr/>
          <w:p>
            <w:pPr>
              <w:pStyle w:val="Compact"/>
            </w:pPr>
            <w:r>
              <w:t xml:space="preserve">Jowisz × Troll</w:t>
            </w:r>
          </w:p>
        </w:tc>
        <w:tc>
          <w:tcPr/>
          <w:p>
            <w:pPr>
              <w:pStyle w:val="Compact"/>
            </w:pPr>
            <w:r>
              <w:t xml:space="preserve">mixed</w:t>
            </w:r>
          </w:p>
        </w:tc>
        <w:tc>
          <w:tcPr/>
          <w:p>
            <w:pPr>
              <w:pStyle w:val="Compact"/>
            </w:pPr>
            <w:r>
              <w:t xml:space="preserve">no</w:t>
            </w:r>
          </w:p>
        </w:tc>
        <w:tc>
          <w:tcPr/>
          <w:p>
            <w:pPr>
              <w:pStyle w:val="Compact"/>
            </w:pPr>
            <w:r>
              <w:t xml:space="preserve">108 / 30 - 40</w:t>
            </w:r>
          </w:p>
        </w:tc>
        <w:tc>
          <w:tcPr/>
          <w:p>
            <w:pPr>
              <w:pStyle w:val="Compact"/>
            </w:pPr>
            <w:r>
              <w:t xml:space="preserve">193 / 11 - 15</w:t>
            </w:r>
          </w:p>
        </w:tc>
      </w:tr>
    </w:tbl>
    <w:p>
      <w:pPr>
        <w:pStyle w:val="BodyText"/>
      </w:pPr>
      <w:r>
        <w:t xml:space="preserve">*Fertilisation was performed according to local guidelines (Supplemental materials - Table S1).</w:t>
      </w:r>
      <w:r>
        <w:t xml:space="preserve"> </w:t>
      </w:r>
      <w:r>
        <w:t xml:space="preserve">**Novi Sad: 400 plants·m</w:t>
      </w:r>
      <w:r>
        <w:rPr>
          <w:vertAlign w:val="superscript"/>
        </w:rPr>
        <w:t xml:space="preserve">-2</w:t>
      </w:r>
      <w:r>
        <w:t xml:space="preserve">, Bad Vilbel and Gross Lüewitz: 350 plants·m</w:t>
      </w:r>
      <w:r>
        <w:rPr>
          <w:vertAlign w:val="superscript"/>
        </w:rPr>
        <w:t xml:space="preserve">-2</w:t>
      </w:r>
      <w:r>
        <w:t xml:space="preserve">, Reckenholz and Seegräben: 300 plants·m</w:t>
      </w:r>
      <w:r>
        <w:rPr>
          <w:vertAlign w:val="superscript"/>
        </w:rPr>
        <w:t xml:space="preserve">-2</w:t>
      </w:r>
    </w:p>
    <w:p>
      <w:pPr>
        <w:pStyle w:val="BodyText"/>
      </w:pPr>
      <w:r>
        <w:t xml:space="preserve">The fields of this two-year study were arranged as a randomised complete block design (RCBD), consisting of four blocks. To lower the border effect to a minimum, each treatment was sown in three adjacent plots and only the middle plot was scored and harvested. The size of each harvested plot was 9m</w:t>
      </w:r>
      <w:r>
        <w:rPr>
          <w:vertAlign w:val="superscript"/>
        </w:rPr>
        <w:t xml:space="preserve">2</w:t>
      </w:r>
      <w:r>
        <w:t xml:space="preserve">.</w:t>
      </w:r>
    </w:p>
    <w:bookmarkEnd w:id="24"/>
    <w:bookmarkStart w:id="26" w:name="locations-husbandry-and-weather-data"/>
    <w:p>
      <w:pPr>
        <w:pStyle w:val="Heading2"/>
      </w:pPr>
      <w:r>
        <w:t xml:space="preserve">Locations, husbandry and weather data</w:t>
      </w:r>
    </w:p>
    <w:p>
      <w:pPr>
        <w:pStyle w:val="FirstParagraph"/>
      </w:pPr>
      <w:r>
        <w:t xml:space="preserve">The experiments were conducted in Germany (Bad Vilbel and Gross Lüsewitz), Serbia (Novi Sad) and in Switzerland (Seegräben and Reckenholz) and were chosen based on their differing latitude, longitude, soil type (Supplemental materials - Table S1) and weather conditions (Table 2). In Switzerland, the experiments were performed in 2022 and 2023, while in Serbia and Germany, they were conducted in 2022, 2023 and 2024. All fields were ploughed and harrowed before sowing. The NLL seeds were inoculated with peat inoculum containing the rhizobium bacterium</w:t>
      </w:r>
      <w:r>
        <w:t xml:space="preserve"> </w:t>
      </w:r>
      <w:r>
        <w:rPr>
          <w:i/>
          <w:iCs/>
        </w:rPr>
        <w:t xml:space="preserve">Bradyrhizobium lupinus</w:t>
      </w:r>
      <w:r>
        <w:t xml:space="preserve">. The inoculum was produced by Legume Technology Ltd, Nottinghamshire, UK. The same batch of inoculum was used in all years and stored dry and under exclusion of humidity at 10°C. After the inoculation, every 9m</w:t>
      </w:r>
      <w:r>
        <w:rPr>
          <w:vertAlign w:val="superscript"/>
        </w:rPr>
        <w:t xml:space="preserve">2</w:t>
      </w:r>
      <w:r>
        <w:t xml:space="preserve"> </w:t>
      </w:r>
      <w:r>
        <w:t xml:space="preserve">plot was sown individually in rows with 18 cm spacing. The plots were sown with a plot sowing tractor and RTK-GPS-orientation. Spring-tine and shallow inter-row cultivation was performed for the mechanical weeding. Chemical weed control was applied only at Gross Lüsewitz in 2022 and 2024 using the pre-emergence herbicide Stomp Aqua; at all other sites, weeds were controlled mechanically or manually, or no weeding was required (Supplementary Materials - Table S1). The fertilised pure oats were fertilised during late tillering, before the elongation stage, according to local guidelines (Supplemental materials - Table S1). At Bad Vilbel, following organic production principles, horn grit was used as fertiliser.</w:t>
      </w:r>
    </w:p>
    <w:tbl>
      <w:tblPr>
        <w:tblStyle w:val="Table"/>
        <w:tblW w:type="pct" w:w="5000"/>
        <w:tblLayout w:type="fixed"/>
        <w:tblLook w:firstRow="0" w:lastRow="0" w:firstColumn="0" w:lastColumn="0" w:noHBand="0" w:noVBand="0" w:val="0000"/>
      </w:tblPr>
      <w:tblGrid>
        <w:gridCol w:w="7920"/>
      </w:tblGrid>
      <w:tr>
        <w:tc>
          <w:tcPr/>
          <w:bookmarkStart w:id="25" w:name="tbl-weather"/>
          <w:p>
            <w:pPr>
              <w:jc w:val="center"/>
            </w:pPr>
            <w:pPr>
              <w:jc w:val="left"/>
              <w:spacing w:before="200"/>
              <w:pStyle w:val="ImageCaption"/>
            </w:pPr>
            <w:r>
              <w:t xml:space="preserve">Table 2</w:t>
            </w:r>
          </w:p>
          <w:p>
            <w:pPr>
              <w:pStyle w:val="Compact"/>
              <w:jc w:val="center"/>
            </w:pPr>
            <w:r>
              <w:t xml:space="preserve">Weather data of the location and year in the cultivation seasons 2022, 2023 and 2024 (13 environment-years), retrieved from the closest official weather stations (the distance of the weather station to the location was between 0.25 and 5 km). Data were retrieved daily and the average temperature as well as the sum of precipitation across the location- and year-specific cultivation period were calculated.</w:t>
            </w:r>
          </w:p>
          <w:bookmarkEnd w:id="25"/>
        </w:tc>
      </w:tr>
    </w:tbl>
    <w:p>
      <w:pPr>
        <w:pStyle w:val="BodyText"/>
      </w:pP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Location and year</w:t>
            </w:r>
          </w:p>
        </w:tc>
        <w:tc>
          <w:tcPr/>
          <w:p>
            <w:pPr>
              <w:pStyle w:val="Compact"/>
            </w:pPr>
            <w:r>
              <w:t xml:space="preserve">Mean temperature (°C)</w:t>
            </w:r>
          </w:p>
        </w:tc>
        <w:tc>
          <w:tcPr/>
          <w:p>
            <w:pPr>
              <w:pStyle w:val="Compact"/>
            </w:pPr>
            <w:r>
              <w:t xml:space="preserve">Precipitation sum (mm)</w:t>
            </w:r>
          </w:p>
        </w:tc>
      </w:tr>
      <w:tr>
        <w:tc>
          <w:tcPr/>
          <w:p>
            <w:pPr>
              <w:pStyle w:val="Compact"/>
            </w:pPr>
            <w:r>
              <w:t xml:space="preserve">Bad Vilbel 2022</w:t>
            </w:r>
          </w:p>
        </w:tc>
        <w:tc>
          <w:tcPr/>
          <w:p>
            <w:pPr>
              <w:pStyle w:val="Compact"/>
            </w:pPr>
            <w:r>
              <w:t xml:space="preserve">13.4</w:t>
            </w:r>
          </w:p>
        </w:tc>
        <w:tc>
          <w:tcPr/>
          <w:p>
            <w:pPr>
              <w:pStyle w:val="Compact"/>
            </w:pPr>
            <w:r>
              <w:t xml:space="preserve">174</w:t>
            </w:r>
          </w:p>
        </w:tc>
      </w:tr>
      <w:tr>
        <w:tc>
          <w:tcPr/>
          <w:p>
            <w:pPr>
              <w:pStyle w:val="Compact"/>
            </w:pPr>
            <w:r>
              <w:t xml:space="preserve">Bad Vilbel 2023</w:t>
            </w:r>
          </w:p>
        </w:tc>
        <w:tc>
          <w:tcPr/>
          <w:p>
            <w:pPr>
              <w:pStyle w:val="Compact"/>
            </w:pPr>
            <w:r>
              <w:t xml:space="preserve">13.1</w:t>
            </w:r>
          </w:p>
        </w:tc>
        <w:tc>
          <w:tcPr/>
          <w:p>
            <w:pPr>
              <w:pStyle w:val="Compact"/>
            </w:pPr>
            <w:r>
              <w:t xml:space="preserve">293</w:t>
            </w:r>
          </w:p>
        </w:tc>
      </w:tr>
      <w:tr>
        <w:tc>
          <w:tcPr/>
          <w:p>
            <w:pPr>
              <w:pStyle w:val="Compact"/>
            </w:pPr>
            <w:r>
              <w:t xml:space="preserve">Bad Vilbel 2024</w:t>
            </w:r>
          </w:p>
        </w:tc>
        <w:tc>
          <w:tcPr/>
          <w:p>
            <w:pPr>
              <w:pStyle w:val="Compact"/>
            </w:pPr>
            <w:r>
              <w:t xml:space="preserve">13.8</w:t>
            </w:r>
          </w:p>
        </w:tc>
        <w:tc>
          <w:tcPr/>
          <w:p>
            <w:pPr>
              <w:pStyle w:val="Compact"/>
            </w:pPr>
            <w:r>
              <w:t xml:space="preserve">402</w:t>
            </w:r>
          </w:p>
        </w:tc>
      </w:tr>
      <w:tr>
        <w:tc>
          <w:tcPr/>
          <w:p>
            <w:pPr>
              <w:pStyle w:val="Compact"/>
            </w:pPr>
            <w:r>
              <w:t xml:space="preserve">Gross Lüsewitz 2022</w:t>
            </w:r>
          </w:p>
        </w:tc>
        <w:tc>
          <w:tcPr/>
          <w:p>
            <w:pPr>
              <w:pStyle w:val="Compact"/>
            </w:pPr>
            <w:r>
              <w:t xml:space="preserve">11.8</w:t>
            </w:r>
          </w:p>
        </w:tc>
        <w:tc>
          <w:tcPr/>
          <w:p>
            <w:pPr>
              <w:pStyle w:val="Compact"/>
            </w:pPr>
            <w:r>
              <w:t xml:space="preserve">234</w:t>
            </w:r>
          </w:p>
        </w:tc>
      </w:tr>
      <w:tr>
        <w:tc>
          <w:tcPr/>
          <w:p>
            <w:pPr>
              <w:pStyle w:val="Compact"/>
            </w:pPr>
            <w:r>
              <w:t xml:space="preserve">Gross Lüsewitz 2023</w:t>
            </w:r>
          </w:p>
        </w:tc>
        <w:tc>
          <w:tcPr/>
          <w:p>
            <w:pPr>
              <w:pStyle w:val="Compact"/>
            </w:pPr>
            <w:r>
              <w:t xml:space="preserve">11.8</w:t>
            </w:r>
          </w:p>
        </w:tc>
        <w:tc>
          <w:tcPr/>
          <w:p>
            <w:pPr>
              <w:pStyle w:val="Compact"/>
            </w:pPr>
            <w:r>
              <w:t xml:space="preserve">258</w:t>
            </w:r>
          </w:p>
        </w:tc>
      </w:tr>
      <w:tr>
        <w:tc>
          <w:tcPr/>
          <w:p>
            <w:pPr>
              <w:pStyle w:val="Compact"/>
            </w:pPr>
            <w:r>
              <w:t xml:space="preserve">Gross Lüsewitz 2024</w:t>
            </w:r>
          </w:p>
        </w:tc>
        <w:tc>
          <w:tcPr/>
          <w:p>
            <w:pPr>
              <w:pStyle w:val="Compact"/>
            </w:pPr>
            <w:r>
              <w:t xml:space="preserve">13</w:t>
            </w:r>
          </w:p>
        </w:tc>
        <w:tc>
          <w:tcPr/>
          <w:p>
            <w:pPr>
              <w:pStyle w:val="Compact"/>
            </w:pPr>
            <w:r>
              <w:t xml:space="preserve">367</w:t>
            </w:r>
          </w:p>
        </w:tc>
      </w:tr>
      <w:tr>
        <w:tc>
          <w:tcPr/>
          <w:p>
            <w:pPr>
              <w:pStyle w:val="Compact"/>
            </w:pPr>
            <w:r>
              <w:t xml:space="preserve">Novi Sad 2022</w:t>
            </w:r>
          </w:p>
        </w:tc>
        <w:tc>
          <w:tcPr/>
          <w:p>
            <w:pPr>
              <w:pStyle w:val="Compact"/>
            </w:pPr>
            <w:r>
              <w:t xml:space="preserve">22.7</w:t>
            </w:r>
          </w:p>
        </w:tc>
        <w:tc>
          <w:tcPr/>
          <w:p>
            <w:pPr>
              <w:pStyle w:val="Compact"/>
            </w:pPr>
            <w:r>
              <w:t xml:space="preserve">75</w:t>
            </w:r>
          </w:p>
        </w:tc>
      </w:tr>
      <w:tr>
        <w:tc>
          <w:tcPr/>
          <w:p>
            <w:pPr>
              <w:pStyle w:val="Compact"/>
            </w:pPr>
            <w:r>
              <w:t xml:space="preserve">Novi Sad 2023</w:t>
            </w:r>
          </w:p>
        </w:tc>
        <w:tc>
          <w:tcPr/>
          <w:p>
            <w:pPr>
              <w:pStyle w:val="Compact"/>
            </w:pPr>
            <w:r>
              <w:t xml:space="preserve">17.8</w:t>
            </w:r>
          </w:p>
        </w:tc>
        <w:tc>
          <w:tcPr/>
          <w:p>
            <w:pPr>
              <w:pStyle w:val="Compact"/>
            </w:pPr>
            <w:r>
              <w:t xml:space="preserve">234</w:t>
            </w:r>
          </w:p>
        </w:tc>
      </w:tr>
      <w:tr>
        <w:tc>
          <w:tcPr/>
          <w:p>
            <w:pPr>
              <w:pStyle w:val="Compact"/>
            </w:pPr>
            <w:r>
              <w:t xml:space="preserve">Novi Sad 2024</w:t>
            </w:r>
          </w:p>
        </w:tc>
        <w:tc>
          <w:tcPr/>
          <w:p>
            <w:pPr>
              <w:pStyle w:val="Compact"/>
            </w:pPr>
            <w:r>
              <w:t xml:space="preserve">17.4</w:t>
            </w:r>
          </w:p>
        </w:tc>
        <w:tc>
          <w:tcPr/>
          <w:p>
            <w:pPr>
              <w:pStyle w:val="Compact"/>
            </w:pPr>
            <w:r>
              <w:t xml:space="preserve">175</w:t>
            </w:r>
          </w:p>
        </w:tc>
      </w:tr>
      <w:tr>
        <w:tc>
          <w:tcPr/>
          <w:p>
            <w:pPr>
              <w:pStyle w:val="Compact"/>
            </w:pPr>
            <w:r>
              <w:t xml:space="preserve">Seegräben 2022</w:t>
            </w:r>
          </w:p>
        </w:tc>
        <w:tc>
          <w:tcPr/>
          <w:p>
            <w:pPr>
              <w:pStyle w:val="Compact"/>
            </w:pPr>
            <w:r>
              <w:t xml:space="preserve">14.1</w:t>
            </w:r>
          </w:p>
        </w:tc>
        <w:tc>
          <w:tcPr/>
          <w:p>
            <w:pPr>
              <w:pStyle w:val="Compact"/>
            </w:pPr>
            <w:r>
              <w:t xml:space="preserve">504</w:t>
            </w:r>
          </w:p>
        </w:tc>
      </w:tr>
      <w:tr>
        <w:tc>
          <w:tcPr/>
          <w:p>
            <w:pPr>
              <w:pStyle w:val="Compact"/>
            </w:pPr>
            <w:r>
              <w:t xml:space="preserve">Seegräben 2023</w:t>
            </w:r>
          </w:p>
        </w:tc>
        <w:tc>
          <w:tcPr/>
          <w:p>
            <w:pPr>
              <w:pStyle w:val="Compact"/>
            </w:pPr>
            <w:r>
              <w:t xml:space="preserve">13.8</w:t>
            </w:r>
          </w:p>
        </w:tc>
        <w:tc>
          <w:tcPr/>
          <w:p>
            <w:pPr>
              <w:pStyle w:val="Compact"/>
            </w:pPr>
            <w:r>
              <w:t xml:space="preserve">500</w:t>
            </w:r>
          </w:p>
        </w:tc>
      </w:tr>
      <w:tr>
        <w:tc>
          <w:tcPr/>
          <w:p>
            <w:pPr>
              <w:pStyle w:val="Compact"/>
            </w:pPr>
            <w:r>
              <w:t xml:space="preserve">Reckenholz 2022</w:t>
            </w:r>
          </w:p>
        </w:tc>
        <w:tc>
          <w:tcPr/>
          <w:p>
            <w:pPr>
              <w:pStyle w:val="Compact"/>
            </w:pPr>
            <w:r>
              <w:t xml:space="preserve">17.7</w:t>
            </w:r>
          </w:p>
        </w:tc>
        <w:tc>
          <w:tcPr/>
          <w:p>
            <w:pPr>
              <w:pStyle w:val="Compact"/>
            </w:pPr>
            <w:r>
              <w:t xml:space="preserve">244</w:t>
            </w:r>
          </w:p>
        </w:tc>
      </w:tr>
      <w:tr>
        <w:tc>
          <w:tcPr/>
          <w:p>
            <w:pPr>
              <w:pStyle w:val="Compact"/>
            </w:pPr>
            <w:r>
              <w:t xml:space="preserve">Reckenholz 2023</w:t>
            </w:r>
          </w:p>
        </w:tc>
        <w:tc>
          <w:tcPr/>
          <w:p>
            <w:pPr>
              <w:pStyle w:val="Compact"/>
            </w:pPr>
            <w:r>
              <w:t xml:space="preserve">17.4</w:t>
            </w:r>
          </w:p>
        </w:tc>
        <w:tc>
          <w:tcPr/>
          <w:p>
            <w:pPr>
              <w:pStyle w:val="Compact"/>
            </w:pPr>
            <w:r>
              <w:t xml:space="preserve">362</w:t>
            </w:r>
          </w:p>
        </w:tc>
      </w:tr>
    </w:tbl>
    <w:bookmarkEnd w:id="26"/>
    <w:bookmarkStart w:id="27" w:name="harvest-and-post-harvest-analyses"/>
    <w:p>
      <w:pPr>
        <w:pStyle w:val="Heading2"/>
      </w:pPr>
      <w:r>
        <w:t xml:space="preserve">Harvest and post-harvest analyses</w:t>
      </w:r>
    </w:p>
    <w:p>
      <w:pPr>
        <w:pStyle w:val="FirstParagraph"/>
      </w:pPr>
      <w:r>
        <w:t xml:space="preserve">Final plant canopy heights of the NLLs and oats were scored before harvesting. The crops were harvested with a plot combine harvester. The samples were then dried to a moisture content below 13%. In mixed treatments, the oats were separated from the NLLs with grain cleaners, where a 6mm oval-cut sieve was deployed. The cleaned samples were weighted to measure the partial and total yield.</w:t>
      </w:r>
    </w:p>
    <w:bookmarkEnd w:id="27"/>
    <w:bookmarkStart w:id="33" w:name="statistical-analysis"/>
    <w:p>
      <w:pPr>
        <w:pStyle w:val="Heading2"/>
      </w:pPr>
      <w:r>
        <w:t xml:space="preserve">Statistical analysis</w:t>
      </w:r>
    </w:p>
    <w:bookmarkStart w:id="28" w:name="data-preparation-and-calculations"/>
    <w:p>
      <w:pPr>
        <w:pStyle w:val="Heading3"/>
      </w:pPr>
      <w:r>
        <w:t xml:space="preserve">Data preparation and calculations</w:t>
      </w:r>
    </w:p>
    <w:p>
      <w:pPr>
        <w:pStyle w:val="FirstParagraph"/>
      </w:pPr>
      <w:r>
        <w:t xml:space="preserve">Based on the primary data, productivity metrics were calculated to assess the the LER of the mixture based on unfertilised oats (LER) and fertilised oats (LER_N) in pure stands, respectively. Further, the CPR of each crop based on unfertilised oats in pure stands (CPR</w:t>
      </w:r>
      <w:r>
        <w:t xml:space="preserve">lupin</w:t>
      </w:r>
      <w:r>
        <w:t xml:space="preserve">, CPR</w:t>
      </w:r>
      <w:r>
        <w:t xml:space="preserve">oat</w:t>
      </w:r>
      <w:r>
        <w:t xml:space="preserve">), and based on fertilised oats in pure stands (CPR</w:t>
      </w:r>
      <w:r>
        <w:t xml:space="preserve">oat</w:t>
      </w:r>
      <w:r>
        <w:t xml:space="preserve">_N) was determined, respectively, and the total CPR based on unfertilised oats in pure stands (CPR) and fertilised oats in pure stands (CPR_N) was calculated, respectively</w:t>
      </w:r>
      <w:r>
        <w:t xml:space="preserve"> </w:t>
      </w:r>
      <w:r>
        <w:t xml:space="preserve">(Zustovi et al., 2024)</w:t>
      </w:r>
      <w:r>
        <w:t xml:space="preserve">:</w:t>
      </w:r>
    </w:p>
    <w:p>
      <w:pPr>
        <w:pStyle w:val="BodyText"/>
      </w:pPr>
      <m:oMathPara>
        <m:oMathParaPr>
          <m:jc m:val="center"/>
        </m:oMathParaPr>
        <m:oMath>
          <m:r>
            <m:rPr>
              <m:nor/>
              <m:sty m:val="p"/>
            </m:rPr>
            <m:t>LER</m:t>
          </m:r>
          <m:r>
            <m:rPr>
              <m:sty m:val="p"/>
            </m:rPr>
            <m:t>=</m:t>
          </m:r>
          <m:f>
            <m:fPr>
              <m:type m:val="bar"/>
            </m:fPr>
            <m:num>
              <m:sSub>
                <m:e>
                  <m:r>
                    <m:rPr>
                      <m:nor/>
                      <m:sty m:val="p"/>
                    </m:rPr>
                    <m:t>Yield</m:t>
                  </m:r>
                </m:e>
                <m:sub>
                  <m:r>
                    <m:rPr>
                      <m:nor/>
                      <m:sty m:val="p"/>
                    </m:rPr>
                    <m:t>lupin, mixed</m:t>
                  </m:r>
                </m:sub>
              </m:sSub>
            </m:num>
            <m:den>
              <m:sSub>
                <m:e>
                  <m:r>
                    <m:rPr>
                      <m:nor/>
                      <m:sty m:val="p"/>
                    </m:rPr>
                    <m:t>Yield</m:t>
                  </m:r>
                </m:e>
                <m:sub>
                  <m:r>
                    <m:rPr>
                      <m:nor/>
                      <m:sty m:val="p"/>
                    </m:rPr>
                    <m:t>lupin, pure</m:t>
                  </m:r>
                </m:sub>
              </m:sSub>
            </m:den>
          </m:f>
          <m:r>
            <m:rPr>
              <m:sty m:val="p"/>
            </m:rPr>
            <m:t>+</m:t>
          </m:r>
          <m:f>
            <m:fPr>
              <m:type m:val="bar"/>
            </m:fPr>
            <m:num>
              <m:sSub>
                <m:e>
                  <m:r>
                    <m:rPr>
                      <m:nor/>
                      <m:sty m:val="p"/>
                    </m:rPr>
                    <m:t>Yield</m:t>
                  </m:r>
                </m:e>
                <m:sub>
                  <m:r>
                    <m:rPr>
                      <m:nor/>
                      <m:sty m:val="p"/>
                    </m:rPr>
                    <m:t>oat, mixed</m:t>
                  </m:r>
                </m:sub>
              </m:sSub>
            </m:num>
            <m:den>
              <m:sSub>
                <m:e>
                  <m:r>
                    <m:rPr>
                      <m:nor/>
                      <m:sty m:val="p"/>
                    </m:rPr>
                    <m:t>Yield</m:t>
                  </m:r>
                </m:e>
                <m:sub>
                  <m:r>
                    <m:rPr>
                      <m:nor/>
                      <m:sty m:val="p"/>
                    </m:rPr>
                    <m:t>oat, unfertilised, pure</m:t>
                  </m:r>
                </m:sub>
              </m:sSub>
            </m:den>
          </m:f>
        </m:oMath>
      </m:oMathPara>
    </w:p>
    <w:p>
      <w:pPr>
        <w:pStyle w:val="FirstParagraph"/>
      </w:pPr>
      <m:oMathPara>
        <m:oMathParaPr>
          <m:jc m:val="center"/>
        </m:oMathParaPr>
        <m:oMath>
          <m:r>
            <m:rPr>
              <m:nor/>
              <m:sty m:val="p"/>
            </m:rPr>
            <m:t>LER_N</m:t>
          </m:r>
          <m:r>
            <m:rPr>
              <m:sty m:val="p"/>
            </m:rPr>
            <m:t>=</m:t>
          </m:r>
          <m:f>
            <m:fPr>
              <m:type m:val="bar"/>
            </m:fPr>
            <m:num>
              <m:sSub>
                <m:e>
                  <m:r>
                    <m:rPr>
                      <m:nor/>
                      <m:sty m:val="p"/>
                    </m:rPr>
                    <m:t>Yield</m:t>
                  </m:r>
                </m:e>
                <m:sub>
                  <m:r>
                    <m:rPr>
                      <m:nor/>
                      <m:sty m:val="p"/>
                    </m:rPr>
                    <m:t>lupin, mixed</m:t>
                  </m:r>
                </m:sub>
              </m:sSub>
            </m:num>
            <m:den>
              <m:sSub>
                <m:e>
                  <m:r>
                    <m:rPr>
                      <m:nor/>
                      <m:sty m:val="p"/>
                    </m:rPr>
                    <m:t>Yield</m:t>
                  </m:r>
                </m:e>
                <m:sub>
                  <m:r>
                    <m:rPr>
                      <m:nor/>
                      <m:sty m:val="p"/>
                    </m:rPr>
                    <m:t>lupin, pure</m:t>
                  </m:r>
                </m:sub>
              </m:sSub>
            </m:den>
          </m:f>
          <m:r>
            <m:rPr>
              <m:sty m:val="p"/>
            </m:rPr>
            <m:t>+</m:t>
          </m:r>
          <m:f>
            <m:fPr>
              <m:type m:val="bar"/>
            </m:fPr>
            <m:num>
              <m:sSub>
                <m:e>
                  <m:r>
                    <m:rPr>
                      <m:nor/>
                      <m:sty m:val="p"/>
                    </m:rPr>
                    <m:t>Yield</m:t>
                  </m:r>
                </m:e>
                <m:sub>
                  <m:r>
                    <m:rPr>
                      <m:nor/>
                      <m:sty m:val="p"/>
                    </m:rPr>
                    <m:t>oat, mixed</m:t>
                  </m:r>
                </m:sub>
              </m:sSub>
            </m:num>
            <m:den>
              <m:sSub>
                <m:e>
                  <m:r>
                    <m:rPr>
                      <m:nor/>
                      <m:sty m:val="p"/>
                    </m:rPr>
                    <m:t>Yield</m:t>
                  </m:r>
                </m:e>
                <m:sub>
                  <m:r>
                    <m:rPr>
                      <m:nor/>
                      <m:sty m:val="p"/>
                    </m:rPr>
                    <m:t>oat, fertilised, pure</m:t>
                  </m:r>
                </m:sub>
              </m:sSub>
            </m:den>
          </m:f>
        </m:oMath>
      </m:oMathPara>
    </w:p>
    <w:p>
      <w:pPr>
        <w:pStyle w:val="FirstParagraph"/>
      </w:pPr>
      <m:oMathPara>
        <m:oMathParaPr>
          <m:jc m:val="center"/>
        </m:oMathParaPr>
        <m:oMath>
          <m:sSub>
            <m:e>
              <m:r>
                <m:rPr>
                  <m:nor/>
                  <m:sty m:val="p"/>
                </m:rPr>
                <m:t>CPR</m:t>
              </m:r>
            </m:e>
            <m:sub>
              <m:r>
                <m:rPr>
                  <m:nor/>
                  <m:sty m:val="p"/>
                </m:rPr>
                <m:t>crop</m:t>
              </m:r>
            </m:sub>
          </m:sSub>
          <m:r>
            <m:rPr>
              <m:sty m:val="p"/>
            </m:rPr>
            <m:t>=</m:t>
          </m:r>
          <m:f>
            <m:fPr>
              <m:type m:val="bar"/>
            </m:fPr>
            <m:num>
              <m:sSub>
                <m:e>
                  <m:r>
                    <m:rPr>
                      <m:nor/>
                      <m:sty m:val="p"/>
                    </m:rPr>
                    <m:t>Yield</m:t>
                  </m:r>
                </m:e>
                <m:sub>
                  <m:r>
                    <m:rPr>
                      <m:nor/>
                      <m:sty m:val="p"/>
                    </m:rPr>
                    <m:t>crop, mix</m:t>
                  </m:r>
                </m:sub>
              </m:sSub>
            </m:num>
            <m:den>
              <m:sSub>
                <m:e>
                  <m:r>
                    <m:t>p</m:t>
                  </m:r>
                </m:e>
                <m:sub>
                  <m:r>
                    <m:rPr>
                      <m:nor/>
                      <m:sty m:val="p"/>
                    </m:rPr>
                    <m:t>crop</m:t>
                  </m:r>
                </m:sub>
              </m:sSub>
              <m:r>
                <m:rPr>
                  <m:sty m:val="p"/>
                </m:rPr>
                <m:t>×</m:t>
              </m:r>
              <m:sSub>
                <m:e>
                  <m:r>
                    <m:rPr>
                      <m:nor/>
                      <m:sty m:val="p"/>
                    </m:rPr>
                    <m:t>Yield</m:t>
                  </m:r>
                </m:e>
                <m:sub>
                  <m:r>
                    <m:rPr>
                      <m:nor/>
                      <m:sty m:val="p"/>
                    </m:rPr>
                    <m:t>crop, unfertilised, pure</m:t>
                  </m:r>
                </m:sub>
              </m:sSub>
            </m:den>
          </m:f>
        </m:oMath>
      </m:oMathPara>
    </w:p>
    <w:p>
      <w:pPr>
        <w:pStyle w:val="FirstParagraph"/>
      </w:pPr>
      <m:oMathPara>
        <m:oMathParaPr>
          <m:jc m:val="center"/>
        </m:oMathParaPr>
        <m:oMath>
          <m:sSub>
            <m:e>
              <m:r>
                <m:rPr>
                  <m:sty m:val="p"/>
                </m:rPr>
                <m:t>CPR</m:t>
              </m:r>
            </m:e>
            <m:sub>
              <m:r>
                <m:rPr>
                  <m:nor/>
                  <m:sty m:val="p"/>
                </m:rPr>
                <m:t>oat_N</m:t>
              </m:r>
            </m:sub>
          </m:sSub>
          <m:r>
            <m:rPr>
              <m:sty m:val="p"/>
            </m:rPr>
            <m:t>=</m:t>
          </m:r>
          <m:f>
            <m:fPr>
              <m:type m:val="bar"/>
            </m:fPr>
            <m:num>
              <m:sSub>
                <m:e>
                  <m:r>
                    <m:rPr>
                      <m:nor/>
                      <m:sty m:val="p"/>
                    </m:rPr>
                    <m:t>Yield</m:t>
                  </m:r>
                </m:e>
                <m:sub>
                  <m:r>
                    <m:rPr>
                      <m:nor/>
                      <m:sty m:val="p"/>
                    </m:rPr>
                    <m:t>oat, mix</m:t>
                  </m:r>
                </m:sub>
              </m:sSub>
            </m:num>
            <m:den>
              <m:sSub>
                <m:e>
                  <m:r>
                    <m:t>p</m:t>
                  </m:r>
                </m:e>
                <m:sub>
                  <m:r>
                    <m:rPr>
                      <m:nor/>
                      <m:sty m:val="p"/>
                    </m:rPr>
                    <m:t>oat</m:t>
                  </m:r>
                </m:sub>
              </m:sSub>
              <m:r>
                <m:rPr>
                  <m:sty m:val="p"/>
                </m:rPr>
                <m:t>⋅</m:t>
              </m:r>
              <m:sSub>
                <m:e>
                  <m:r>
                    <m:rPr>
                      <m:nor/>
                      <m:sty m:val="p"/>
                    </m:rPr>
                    <m:t>Yield</m:t>
                  </m:r>
                </m:e>
                <m:sub>
                  <m:r>
                    <m:rPr>
                      <m:nor/>
                      <m:sty m:val="p"/>
                    </m:rPr>
                    <m:t>oat, fertilised, pure</m:t>
                  </m:r>
                </m:sub>
              </m:sSub>
            </m:den>
          </m:f>
        </m:oMath>
      </m:oMathPara>
    </w:p>
    <w:p>
      <w:pPr>
        <w:pStyle w:val="FirstParagraph"/>
      </w:pPr>
      <m:oMathPara>
        <m:oMathParaPr>
          <m:jc m:val="center"/>
        </m:oMathParaPr>
        <m:oMath>
          <m:r>
            <m:rPr>
              <m:nor/>
              <m:sty m:val="p"/>
            </m:rPr>
            <m:t>CPR</m:t>
          </m:r>
          <m:r>
            <m:rPr>
              <m:sty m:val="p"/>
            </m:rPr>
            <m:t>=</m:t>
          </m:r>
          <m:sSub>
            <m:e>
              <m:r>
                <m:rPr>
                  <m:nor/>
                  <m:sty m:val="p"/>
                </m:rPr>
                <m:t>CPR</m:t>
              </m:r>
            </m:e>
            <m:sub>
              <m:r>
                <m:rPr>
                  <m:nor/>
                  <m:sty m:val="p"/>
                </m:rPr>
                <m:t>oat</m:t>
              </m:r>
            </m:sub>
          </m:sSub>
          <m:r>
            <m:rPr>
              <m:sty m:val="p"/>
            </m:rPr>
            <m:t>+</m:t>
          </m:r>
          <m:sSub>
            <m:e>
              <m:r>
                <m:rPr>
                  <m:nor/>
                  <m:sty m:val="p"/>
                </m:rPr>
                <m:t>CPR</m:t>
              </m:r>
            </m:e>
            <m:sub>
              <m:r>
                <m:rPr>
                  <m:nor/>
                  <m:sty m:val="p"/>
                </m:rPr>
                <m:t>lupin</m:t>
              </m:r>
            </m:sub>
          </m:sSub>
        </m:oMath>
      </m:oMathPara>
    </w:p>
    <w:p>
      <w:pPr>
        <w:pStyle w:val="FirstParagraph"/>
      </w:pPr>
      <m:oMathPara>
        <m:oMathParaPr>
          <m:jc m:val="center"/>
        </m:oMathParaPr>
        <m:oMath>
          <m:r>
            <m:rPr>
              <m:nor/>
              <m:sty m:val="p"/>
            </m:rPr>
            <m:t>CPR_N</m:t>
          </m:r>
          <m:r>
            <m:rPr>
              <m:sty m:val="p"/>
            </m:rPr>
            <m:t>=</m:t>
          </m:r>
          <m:sSub>
            <m:e>
              <m:r>
                <m:rPr>
                  <m:nor/>
                  <m:sty m:val="p"/>
                </m:rPr>
                <m:t>CPR</m:t>
              </m:r>
            </m:e>
            <m:sub>
              <m:r>
                <m:rPr>
                  <m:nor/>
                  <m:sty m:val="p"/>
                </m:rPr>
                <m:t>oat</m:t>
              </m:r>
            </m:sub>
          </m:sSub>
          <m:r>
            <m:rPr>
              <m:nor/>
              <m:sty m:val="p"/>
            </m:rPr>
            <m:t>_N</m:t>
          </m:r>
          <m:r>
            <m:rPr>
              <m:sty m:val="p"/>
            </m:rPr>
            <m:t>+</m:t>
          </m:r>
          <m:sSub>
            <m:e>
              <m:r>
                <m:rPr>
                  <m:nor/>
                  <m:sty m:val="p"/>
                </m:rPr>
                <m:t>CPR</m:t>
              </m:r>
            </m:e>
            <m:sub>
              <m:r>
                <m:rPr>
                  <m:nor/>
                  <m:sty m:val="p"/>
                </m:rPr>
                <m:t>lupin</m:t>
              </m:r>
            </m:sub>
          </m:sSub>
        </m:oMath>
      </m:oMathPara>
    </w:p>
    <w:p>
      <w:pPr>
        <w:pStyle w:val="FirstParagraph"/>
      </w:pPr>
      <w:r>
        <w:t xml:space="preserve">Where:</w:t>
      </w:r>
    </w:p>
    <w:p>
      <w:pPr>
        <w:pStyle w:val="BodyText"/>
      </w:pPr>
      <m:oMath>
        <m:sSub>
          <m:e>
            <m:r>
              <m:rPr>
                <m:nor/>
                <m:sty m:val="p"/>
              </m:rPr>
              <m:t>Yield</m:t>
            </m:r>
          </m:e>
          <m:sub>
            <m:r>
              <m:rPr>
                <m:nor/>
                <m:sty m:val="p"/>
              </m:rPr>
              <m:t>crop, mixed</m:t>
            </m:r>
          </m:sub>
        </m:sSub>
      </m:oMath>
      <w:r>
        <w:t xml:space="preserve"> </w:t>
      </w:r>
      <w:r>
        <w:t xml:space="preserve">is the yield of the crop in mixture (t·ha⁻¹),</w:t>
      </w:r>
    </w:p>
    <w:p>
      <w:pPr>
        <w:pStyle w:val="BodyText"/>
      </w:pPr>
      <m:oMath>
        <m:sSub>
          <m:e>
            <m:r>
              <m:rPr>
                <m:nor/>
                <m:sty m:val="p"/>
              </m:rPr>
              <m:t>Yield</m:t>
            </m:r>
          </m:e>
          <m:sub>
            <m:r>
              <m:rPr>
                <m:nor/>
                <m:sty m:val="p"/>
              </m:rPr>
              <m:t>crop, pure</m:t>
            </m:r>
          </m:sub>
        </m:sSub>
      </m:oMath>
      <w:r>
        <w:t xml:space="preserve"> </w:t>
      </w:r>
      <w:r>
        <w:t xml:space="preserve">is the yield of the same crop in pure stand (t·ha⁻¹), where unfertilised and fertilised specifies if the pure reference stands of oats were fertilised or not</w:t>
      </w:r>
    </w:p>
    <w:p>
      <w:pPr>
        <w:pStyle w:val="BodyText"/>
      </w:pPr>
      <m:oMath>
        <m:sSub>
          <m:e>
            <m:r>
              <m:t>p</m:t>
            </m:r>
          </m:e>
          <m:sub>
            <m:r>
              <m:rPr>
                <m:nor/>
                <m:sty m:val="p"/>
              </m:rPr>
              <m:t>crop</m:t>
            </m:r>
          </m:sub>
        </m:sSub>
      </m:oMath>
      <w:r>
        <w:t xml:space="preserve"> </w:t>
      </w:r>
      <w:r>
        <w:t xml:space="preserve">is the proportion of the crop’s sowing density in the mixture relative to its pure stand, and</w:t>
      </w:r>
    </w:p>
    <w:p>
      <w:pPr>
        <w:pStyle w:val="BodyText"/>
      </w:pPr>
      <m:oMath>
        <m:r>
          <m:rPr>
            <m:nor/>
            <m:sty m:val="p"/>
          </m:rPr>
          <m:t>crop</m:t>
        </m:r>
      </m:oMath>
      <w:r>
        <w:t xml:space="preserve"> </w:t>
      </w:r>
      <w:r>
        <w:t xml:space="preserve">represents either NLL or oat.</w:t>
      </w:r>
    </w:p>
    <w:p>
      <w:pPr>
        <w:pStyle w:val="BodyText"/>
      </w:pPr>
      <w:r>
        <w:t xml:space="preserve">Those metrics allowed to compare the mixed cropping system’s land use and crop performance relative to their monocropping equivalents. By definition, the LER in pure stands is 1, the CPR of one crop is 1 if a crop does not benefit nor suffer from mixed cropping, and the total CPR of two crops is 2 if the two crops do not interact with each other.</w:t>
      </w:r>
    </w:p>
    <w:bookmarkEnd w:id="28"/>
    <w:bookmarkStart w:id="29" w:name="modelling"/>
    <w:p>
      <w:pPr>
        <w:pStyle w:val="Heading3"/>
      </w:pPr>
      <w:r>
        <w:t xml:space="preserve">Modelling</w:t>
      </w:r>
    </w:p>
    <w:p>
      <w:pPr>
        <w:pStyle w:val="FirstParagraph"/>
      </w:pPr>
      <w:r>
        <w:t xml:space="preserve">The response variables were analysed using linear mixed-effects models. Four model-classes M1-M4 were designed to suit the target-variables (Supplemental materials - Table S2). The treatment, year, location, and their interaction effects were modelled as fixed effects and the block within a field as a random effect. The models were fitted using the</w:t>
      </w:r>
      <w:r>
        <w:t xml:space="preserve"> </w:t>
      </w:r>
      <w:r>
        <w:rPr>
          <w:rStyle w:val="VerbatimChar"/>
        </w:rPr>
        <w:t xml:space="preserve">lme4</w:t>
      </w:r>
      <w:r>
        <w:t xml:space="preserve"> </w:t>
      </w:r>
      <w:r>
        <w:t xml:space="preserve">package within the R programming language</w:t>
      </w:r>
      <w:r>
        <w:t xml:space="preserve"> </w:t>
      </w:r>
      <w:r>
        <w:t xml:space="preserve">(Bates et al., 2015; Team, 2025)</w:t>
      </w:r>
      <w:r>
        <w:t xml:space="preserve">. Inferences were calculated using the lmerTest package, which provides the Satterthwaite degree of freedom adjustment for the type-III ANOVA and the</w:t>
      </w:r>
      <w:r>
        <w:t xml:space="preserve"> </w:t>
      </w:r>
      <w:r>
        <w:rPr>
          <w:rStyle w:val="VerbatimChar"/>
        </w:rPr>
        <w:t xml:space="preserve">contest</w:t>
      </w:r>
      <w:r>
        <w:t xml:space="preserve">-function, which was used to test linear contrasts</w:t>
      </w:r>
      <w:r>
        <w:t xml:space="preserve"> </w:t>
      </w:r>
      <w:r>
        <w:t xml:space="preserve">(Kuznetsova et al., 2017)</w:t>
      </w:r>
      <w:r>
        <w:t xml:space="preserve">. The contrast sum parametrisation was used to allow the interpretability of the regression coefficients to the population mean, and partially fitted intercepts were used for each group in case of the M2 and M4 models (R syntax:</w:t>
      </w:r>
      <w:r>
        <w:t xml:space="preserve"> </w:t>
      </w:r>
      <w:r>
        <w:t xml:space="preserve">‘y~0+group’</w:t>
      </w:r>
      <w:r>
        <w:t xml:space="preserve">). Post-hoc pairwise comparisons (alpha = 0.05) were performed to assess varietal differences.</w:t>
      </w:r>
    </w:p>
    <w:bookmarkEnd w:id="29"/>
    <w:bookmarkStart w:id="30" w:name="robustification"/>
    <w:p>
      <w:pPr>
        <w:pStyle w:val="Heading3"/>
      </w:pPr>
      <w:r>
        <w:t xml:space="preserve">Robustification</w:t>
      </w:r>
    </w:p>
    <w:p>
      <w:pPr>
        <w:pStyle w:val="FirstParagraph"/>
      </w:pPr>
      <w:r>
        <w:t xml:space="preserve">To mitigate the influence of outliers, the outlier weights were automatically adapted using the weights from the analogous model derived by the</w:t>
      </w:r>
      <w:r>
        <w:t xml:space="preserve"> </w:t>
      </w:r>
      <w:r>
        <w:rPr>
          <w:rStyle w:val="VerbatimChar"/>
        </w:rPr>
        <w:t xml:space="preserve">rlmer</w:t>
      </w:r>
      <w:r>
        <w:t xml:space="preserve"> </w:t>
      </w:r>
      <w:r>
        <w:t xml:space="preserve">function of the robustlmm package</w:t>
      </w:r>
      <w:r>
        <w:t xml:space="preserve"> </w:t>
      </w:r>
      <w:r>
        <w:t xml:space="preserve">(Koller, 2016)</w:t>
      </w:r>
      <w:r>
        <w:t xml:space="preserve">. Target outliers were selected by applying the bounded influence function of Huber loss. This application of the robustification is indicated in the Supplemental materials, Appendix A (robustify = TRUE).</w:t>
      </w:r>
    </w:p>
    <w:bookmarkEnd w:id="30"/>
    <w:bookmarkStart w:id="31" w:name="static-grain-yield-stability"/>
    <w:p>
      <w:pPr>
        <w:pStyle w:val="Heading3"/>
      </w:pPr>
      <w:r>
        <w:t xml:space="preserve">Static grain-yield stability</w:t>
      </w:r>
    </w:p>
    <w:p>
      <w:pPr>
        <w:pStyle w:val="FirstParagraph"/>
      </w:pPr>
      <w:r>
        <w:t xml:space="preserve">To assess treatment‐level differences in the static grain-yield stability, the coefficient of variation (CV) of the partial NLL, partial oat and the total yield for each treatment were calculated. The CV was computed using the standard deviation and mean of total yield, following the implementation in the metan package</w:t>
      </w:r>
      <w:r>
        <w:t xml:space="preserve"> </w:t>
      </w:r>
      <w:r>
        <w:t xml:space="preserve">(Olivoto, 2020)</w:t>
      </w:r>
      <w:r>
        <w:t xml:space="preserve">. A permutational multivariate analysis of variance (PERMANOVA) was applied for differences among treatments, years and locations on Bray–Curtis distances to compare treatments pairwise (9999 permutations; strata = block)</w:t>
      </w:r>
      <w:r>
        <w:t xml:space="preserve"> </w:t>
      </w:r>
      <w:r>
        <w:t xml:space="preserve">(Arbizu, 2020; Oksanen et al., 2001)</w:t>
      </w:r>
      <w:r>
        <w:t xml:space="preserve">. P-values were adjusted by Benjamini–Hochberg across all pairs.</w:t>
      </w:r>
    </w:p>
    <w:bookmarkEnd w:id="31"/>
    <w:bookmarkStart w:id="32" w:name="dynamic-grain-yield-stability"/>
    <w:p>
      <w:pPr>
        <w:pStyle w:val="Heading3"/>
      </w:pPr>
      <w:r>
        <w:t xml:space="preserve">Dynamic grain-yield stability</w:t>
      </w:r>
    </w:p>
    <w:p>
      <w:pPr>
        <w:pStyle w:val="FirstParagraph"/>
      </w:pPr>
      <w:r>
        <w:t xml:space="preserve">The dynamic grain-yield stability across environments (location × year) was assessed using the univariate Finlay–Wilkinson regression approach, also known as joint regression</w:t>
      </w:r>
      <w:r>
        <w:t xml:space="preserve"> </w:t>
      </w:r>
      <w:r>
        <w:t xml:space="preserve">(Finlay and Wilkinson, 1963)</w:t>
      </w:r>
      <w:r>
        <w:t xml:space="preserve">. The analysis was implemented performing the regression-based stability analysis according to</w:t>
      </w:r>
      <w:r>
        <w:t xml:space="preserve"> </w:t>
      </w:r>
      <w:r>
        <w:t xml:space="preserve">Eberhart and Russell (1966)</w:t>
      </w:r>
      <w:r>
        <w:t xml:space="preserve"> </w:t>
      </w:r>
      <w:r>
        <w:t xml:space="preserve">(Supplemental materials - Formulas 1 and 2). The calculated slope coefficient,</w:t>
      </w:r>
      <w:r>
        <w:t xml:space="preserve"> </w:t>
      </w:r>
      <m:oMath>
        <m:sSub>
          <m:e>
            <m:r>
              <m:t>b</m:t>
            </m:r>
          </m:e>
          <m:sub>
            <m:r>
              <m:t>1</m:t>
            </m:r>
          </m:sub>
        </m:sSub>
      </m:oMath>
      <w:r>
        <w:t xml:space="preserve">, represents treatment responsiveness to the environment. A</w:t>
      </w:r>
      <w:r>
        <w:t xml:space="preserve"> </w:t>
      </w:r>
      <m:oMath>
        <m:sSub>
          <m:e>
            <m:r>
              <m:t>b</m:t>
            </m:r>
          </m:e>
          <m:sub>
            <m:r>
              <m:t>1</m:t>
            </m:r>
          </m:sub>
        </m:sSub>
      </m:oMath>
      <w:r>
        <w:t xml:space="preserve"> </w:t>
      </w:r>
      <w:r>
        <w:t xml:space="preserve">slope coefficient close to 1 indicates average responsiveness: the treatment performs proportionally to environmental productivity. Values of</w:t>
      </w:r>
      <w:r>
        <w:t xml:space="preserve"> </w:t>
      </w:r>
      <m:oMath>
        <m:sSub>
          <m:e>
            <m:r>
              <m:t>b</m:t>
            </m:r>
          </m:e>
          <m:sub>
            <m:r>
              <m:t>1</m:t>
            </m:r>
          </m:sub>
        </m:sSub>
      </m:oMath>
      <w:r>
        <w:t xml:space="preserve"> </w:t>
      </w:r>
      <w:r>
        <w:t xml:space="preserve">above 1 reflect a more responsive or opportunistic treatment, showing above-average yield under favourable conditions but reduced performance in less productive environments, whereas</w:t>
      </w:r>
      <w:r>
        <w:t xml:space="preserve"> </w:t>
      </w:r>
      <m:oMath>
        <m:sSub>
          <m:e>
            <m:r>
              <m:t>b</m:t>
            </m:r>
          </m:e>
          <m:sub>
            <m:r>
              <m:t>1</m:t>
            </m:r>
          </m:sub>
        </m:sSub>
      </m:oMath>
      <w:r>
        <w:t xml:space="preserve"> </w:t>
      </w:r>
      <w:r>
        <w:t xml:space="preserve">below 1 denote a stable or conservative treatment that maintains relatively consistent yield across environments. The calculated Eberhart-Russell deviation variance</w:t>
      </w:r>
      <w:r>
        <w:t xml:space="preserve"> </w:t>
      </w:r>
      <m:oMath>
        <m:sSubSup>
          <m:e>
            <m:r>
              <m:t>S</m:t>
            </m:r>
          </m:e>
          <m:sub>
            <m:r>
              <m:t>d</m:t>
            </m:r>
            <m:r>
              <m:t>i</m:t>
            </m:r>
          </m:sub>
          <m:sup>
            <m:r>
              <m:t>2</m:t>
            </m:r>
          </m:sup>
        </m:sSubSup>
      </m:oMath>
      <w:r>
        <w:t xml:space="preserve"> </w:t>
      </w:r>
      <w:r>
        <w:t xml:space="preserve">at low levels indicates that the treatment’s response to the environment is highly predictable and stable (consistent across environments), whereas a high variance indicates erratic or inconsistent performance across environments, i.e. high dispersion of the data points around the slope coefficient</w:t>
      </w:r>
      <w:r>
        <w:t xml:space="preserve"> </w:t>
      </w:r>
      <m:oMath>
        <m:sSub>
          <m:e>
            <m:r>
              <m:t>b</m:t>
            </m:r>
          </m:e>
          <m:sub>
            <m:r>
              <m:t>1</m:t>
            </m:r>
          </m:sub>
        </m:sSub>
      </m:oMath>
      <w:r>
        <w:t xml:space="preserve">.</w:t>
      </w:r>
    </w:p>
    <w:p>
      <w:pPr>
        <w:pStyle w:val="BodyText"/>
      </w:pPr>
      <w:r>
        <w:t xml:space="preserve">To analyse the treatment-by-location interactions, and to quantify the grain-yield stability based on a multivariate model, the additive main effects and multiplicative interaction (AMMI) model was applied</w:t>
      </w:r>
      <w:r>
        <w:t xml:space="preserve"> </w:t>
      </w:r>
      <w:r>
        <w:t xml:space="preserve">(Gauch, 1992; Zobel et al., 1988)</w:t>
      </w:r>
      <w:r>
        <w:t xml:space="preserve">. The AMMI model decomposed the observed total yield response</w:t>
      </w:r>
      <w:r>
        <w:t xml:space="preserve"> </w:t>
      </w:r>
      <m:oMath>
        <m:sSub>
          <m:e>
            <m:r>
              <m:t>Y</m:t>
            </m:r>
          </m:e>
          <m:sub>
            <m:r>
              <m:t>i</m:t>
            </m:r>
            <m:r>
              <m:t>j</m:t>
            </m:r>
          </m:sub>
        </m:sSub>
      </m:oMath>
      <w:r>
        <w:t xml:space="preserve">​ of treatment</w:t>
      </w:r>
      <w:r>
        <w:t xml:space="preserve"> </w:t>
      </w:r>
      <m:oMath>
        <m:r>
          <m:t>i</m:t>
        </m:r>
      </m:oMath>
      <w:r>
        <w:t xml:space="preserve"> </w:t>
      </w:r>
      <w:r>
        <w:t xml:space="preserve">in location</w:t>
      </w:r>
      <w:r>
        <w:t xml:space="preserve"> </w:t>
      </w:r>
      <m:oMath>
        <m:r>
          <m:t>j</m:t>
        </m:r>
      </m:oMath>
      <w:r>
        <w:t xml:space="preserve"> </w:t>
      </w:r>
      <w:r>
        <w:t xml:space="preserve">into additive main effects for treatment and location, plus multiplicative interaction effects captured by principal components axes (IPCAs):</w:t>
      </w:r>
    </w:p>
    <w:p>
      <w:pPr>
        <w:pStyle w:val="BodyText"/>
      </w:pPr>
      <m:oMathPara>
        <m:oMathParaPr>
          <m:jc m:val="center"/>
        </m:oMathParaPr>
        <m:oMath>
          <m:sSub>
            <m:e>
              <m:r>
                <m:t>Y</m:t>
              </m:r>
            </m:e>
            <m:sub>
              <m:r>
                <m:t>i</m:t>
              </m:r>
              <m:r>
                <m:t>j</m:t>
              </m:r>
            </m:sub>
          </m:sSub>
          <m:r>
            <m:rPr>
              <m:sty m:val="p"/>
            </m:rPr>
            <m:t>=</m:t>
          </m:r>
          <m:r>
            <m:t>μ</m:t>
          </m:r>
          <m:r>
            <m:rPr>
              <m:sty m:val="p"/>
            </m:rPr>
            <m:t>+</m:t>
          </m:r>
          <m:sSub>
            <m:e>
              <m:r>
                <m:t>G</m:t>
              </m:r>
            </m:e>
            <m:sub>
              <m:r>
                <m:t>i</m:t>
              </m:r>
            </m:sub>
          </m:sSub>
          <m:r>
            <m:rPr>
              <m:sty m:val="p"/>
            </m:rPr>
            <m:t>+</m:t>
          </m:r>
          <m:sSub>
            <m:e>
              <m:r>
                <m:t>E</m:t>
              </m:r>
            </m:e>
            <m:sub>
              <m:r>
                <m:t>j</m:t>
              </m:r>
            </m:sub>
          </m:sSub>
          <m:r>
            <m:rPr>
              <m:sty m:val="p"/>
            </m:rPr>
            <m:t>+</m:t>
          </m:r>
          <m:nary>
            <m:naryPr>
              <m:chr m:val="∑"/>
              <m:limLoc m:val="undOvr"/>
              <m:subHide m:val="off"/>
              <m:supHide m:val="off"/>
            </m:naryPr>
            <m:sub>
              <m:r>
                <m:t>k</m:t>
              </m:r>
              <m:r>
                <m:rPr>
                  <m:sty m:val="p"/>
                </m:rPr>
                <m:t>=</m:t>
              </m:r>
              <m:r>
                <m:t>1</m:t>
              </m:r>
            </m:sub>
            <m:sup>
              <m:r>
                <m:t>N</m:t>
              </m:r>
            </m:sup>
            <m:e>
              <m:sSub>
                <m:e>
                  <m:r>
                    <m:t>λ</m:t>
                  </m:r>
                </m:e>
                <m:sub>
                  <m:r>
                    <m:t>k</m:t>
                  </m:r>
                </m:sub>
              </m:sSub>
            </m:e>
          </m:nary>
          <m:r>
            <m:t> </m:t>
          </m:r>
          <m:sSub>
            <m:e>
              <m:r>
                <m:t>γ</m:t>
              </m:r>
            </m:e>
            <m:sub>
              <m:r>
                <m:t>i</m:t>
              </m:r>
              <m:r>
                <m:t>k</m:t>
              </m:r>
            </m:sub>
          </m:sSub>
          <m:r>
            <m:t> </m:t>
          </m:r>
          <m:sSub>
            <m:e>
              <m:r>
                <m:t>δ</m:t>
              </m:r>
            </m:e>
            <m:sub>
              <m:r>
                <m:t>j</m:t>
              </m:r>
              <m:r>
                <m:t>k</m:t>
              </m:r>
            </m:sub>
          </m:sSub>
          <m:r>
            <m:rPr>
              <m:sty m:val="p"/>
            </m:rPr>
            <m:t>+</m:t>
          </m:r>
          <m:sSub>
            <m:e>
              <m:r>
                <m:t>ε</m:t>
              </m:r>
            </m:e>
            <m:sub>
              <m:r>
                <m:t>i</m:t>
              </m:r>
              <m:r>
                <m:t>j</m:t>
              </m:r>
            </m:sub>
          </m:sSub>
        </m:oMath>
      </m:oMathPara>
    </w:p>
    <w:p>
      <w:pPr>
        <w:pStyle w:val="FirstParagraph"/>
      </w:pPr>
      <w:r>
        <w:t xml:space="preserve">Where:</w:t>
      </w:r>
    </w:p>
    <w:p>
      <w:pPr>
        <w:pStyle w:val="BodyText"/>
      </w:pPr>
      <m:oMath>
        <m:r>
          <m:t>μ</m:t>
        </m:r>
      </m:oMath>
      <w:r>
        <w:t xml:space="preserve"> </w:t>
      </w:r>
      <w:r>
        <w:t xml:space="preserve">is the grand mean,</w:t>
      </w:r>
    </w:p>
    <w:p>
      <w:pPr>
        <w:pStyle w:val="BodyText"/>
      </w:pPr>
      <m:oMath>
        <m:sSub>
          <m:e>
            <m:r>
              <m:t>G</m:t>
            </m:r>
          </m:e>
          <m:sub>
            <m:r>
              <m:t>i</m:t>
            </m:r>
          </m:sub>
        </m:sSub>
      </m:oMath>
      <w:r>
        <w:t xml:space="preserve"> </w:t>
      </w:r>
      <w:r>
        <w:t xml:space="preserve">and</w:t>
      </w:r>
      <w:r>
        <w:t xml:space="preserve"> </w:t>
      </w:r>
      <m:oMath>
        <m:sSub>
          <m:e>
            <m:r>
              <m:t>E</m:t>
            </m:r>
          </m:e>
          <m:sub>
            <m:r>
              <m:t>j</m:t>
            </m:r>
          </m:sub>
        </m:sSub>
      </m:oMath>
      <w:r>
        <w:t xml:space="preserve"> </w:t>
      </w:r>
      <w:r>
        <w:t xml:space="preserve">are the treatment and location main effects,</w:t>
      </w:r>
    </w:p>
    <w:p>
      <w:pPr>
        <w:pStyle w:val="BodyText"/>
      </w:pPr>
      <m:oMath>
        <m:sSub>
          <m:e>
            <m:r>
              <m:t>λ</m:t>
            </m:r>
          </m:e>
          <m:sub>
            <m:r>
              <m:t>k</m:t>
            </m:r>
          </m:sub>
        </m:sSub>
      </m:oMath>
      <w:r>
        <w:t xml:space="preserve"> </w:t>
      </w:r>
      <w:r>
        <w:t xml:space="preserve">is the singular value of the</w:t>
      </w:r>
      <w:r>
        <w:t xml:space="preserve"> </w:t>
      </w:r>
      <m:oMath>
        <m:sSup>
          <m:e>
            <m:r>
              <m:t>k</m:t>
            </m:r>
          </m:e>
          <m:sup>
            <m:r>
              <m:t>t</m:t>
            </m:r>
            <m:r>
              <m:t>h</m:t>
            </m:r>
          </m:sup>
        </m:sSup>
      </m:oMath>
      <w:r>
        <w:t xml:space="preserve"> </w:t>
      </w:r>
      <w:r>
        <w:t xml:space="preserve">interaction principal component axis (IPCA),</w:t>
      </w:r>
    </w:p>
    <w:p>
      <w:pPr>
        <w:pStyle w:val="BodyText"/>
      </w:pPr>
      <m:oMath>
        <m:sSub>
          <m:e>
            <m:r>
              <m:t>γ</m:t>
            </m:r>
          </m:e>
          <m:sub>
            <m:r>
              <m:t>i</m:t>
            </m:r>
            <m:r>
              <m:t>k</m:t>
            </m:r>
          </m:sub>
        </m:sSub>
      </m:oMath>
      <w:r>
        <w:t xml:space="preserve"> </w:t>
      </w:r>
      <w:r>
        <w:t xml:space="preserve">and</w:t>
      </w:r>
      <w:r>
        <w:t xml:space="preserve"> </w:t>
      </w:r>
      <m:oMath>
        <m:sSub>
          <m:e>
            <m:r>
              <m:t>δ</m:t>
            </m:r>
          </m:e>
          <m:sub>
            <m:r>
              <m:t>j</m:t>
            </m:r>
            <m:r>
              <m:t>k</m:t>
            </m:r>
          </m:sub>
        </m:sSub>
      </m:oMath>
      <w:r>
        <w:t xml:space="preserve"> </w:t>
      </w:r>
      <w:r>
        <w:t xml:space="preserve">are the treatment and location scores for the</w:t>
      </w:r>
      <w:r>
        <w:t xml:space="preserve"> </w:t>
      </w:r>
      <m:oMath>
        <m:sSup>
          <m:e>
            <m:r>
              <m:t>k</m:t>
            </m:r>
          </m:e>
          <m:sup>
            <m:r>
              <m:t>t</m:t>
            </m:r>
            <m:r>
              <m:t>h</m:t>
            </m:r>
          </m:sup>
        </m:sSup>
      </m:oMath>
      <w:r>
        <w:t xml:space="preserve"> </w:t>
      </w:r>
      <w:r>
        <w:t xml:space="preserve">IPCA, and</w:t>
      </w:r>
    </w:p>
    <w:p>
      <w:pPr>
        <w:pStyle w:val="BodyText"/>
      </w:pPr>
      <m:oMath>
        <m:sSub>
          <m:e>
            <m:r>
              <m:t>ε</m:t>
            </m:r>
          </m:e>
          <m:sub>
            <m:r>
              <m:t>i</m:t>
            </m:r>
            <m:r>
              <m:t>j</m:t>
            </m:r>
          </m:sub>
        </m:sSub>
      </m:oMath>
      <w:r>
        <w:t xml:space="preserve"> </w:t>
      </w:r>
      <w:r>
        <w:t xml:space="preserve">is the residual term.</w:t>
      </w:r>
    </w:p>
    <w:p>
      <w:pPr>
        <w:pStyle w:val="BodyText"/>
      </w:pPr>
      <w:r>
        <w:t xml:space="preserve">Based on the AMMI-model, the weighted average of absolute scores (WAAS) was computed to summarise multi‐dimensional interaction effects into a single stability index, following</w:t>
      </w:r>
      <w:r>
        <w:t xml:space="preserve"> </w:t>
      </w:r>
      <w:r>
        <w:t xml:space="preserve">Olivoto et al. (2019)</w:t>
      </w:r>
      <w:r>
        <w:t xml:space="preserve"> </w:t>
      </w:r>
      <w:r>
        <w:t xml:space="preserve">as implemented in the metan R package (</w:t>
      </w:r>
      <w:r>
        <w:t xml:space="preserve">Olivoto (2020)</w:t>
      </w:r>
      <w:r>
        <w:t xml:space="preserve">):</w:t>
      </w:r>
    </w:p>
    <w:p>
      <w:pPr>
        <w:pStyle w:val="BodyText"/>
      </w:pPr>
      <m:oMathPara>
        <m:oMathParaPr>
          <m:jc m:val="center"/>
        </m:oMathParaPr>
        <m:oMath>
          <m:sSub>
            <m:e>
              <m:r>
                <m:rPr>
                  <m:nor/>
                  <m:sty m:val="p"/>
                </m:rPr>
                <m:t>WAAS</m:t>
              </m:r>
            </m:e>
            <m:sub>
              <m:r>
                <m:t>i</m:t>
              </m:r>
            </m:sub>
          </m:sSub>
          <m:r>
            <m:rPr>
              <m:sty m:val="p"/>
            </m:rPr>
            <m:t>=</m:t>
          </m:r>
          <m:nary>
            <m:naryPr>
              <m:chr m:val="∑"/>
              <m:limLoc m:val="undOvr"/>
              <m:subHide m:val="off"/>
              <m:supHide m:val="off"/>
            </m:naryPr>
            <m:sub>
              <m:r>
                <m:t>k</m:t>
              </m:r>
              <m:r>
                <m:rPr>
                  <m:sty m:val="p"/>
                </m:rPr>
                <m:t>=</m:t>
              </m:r>
              <m:r>
                <m:t>1</m:t>
              </m:r>
            </m:sub>
            <m:sup>
              <m:r>
                <m:t>N</m:t>
              </m:r>
            </m:sup>
            <m:e>
              <m:sSub>
                <m:e>
                  <m:r>
                    <m:t>w</m:t>
                  </m:r>
                </m:e>
                <m:sub>
                  <m:r>
                    <m:t>k</m:t>
                  </m:r>
                </m:sub>
              </m:sSub>
            </m:e>
          </m:nary>
          <m:r>
            <m:t> </m:t>
          </m:r>
          <m:r>
            <m:rPr>
              <m:sty m:val="p"/>
            </m:rPr>
            <m:t>|</m:t>
          </m:r>
          <m:sSub>
            <m:e>
              <m:r>
                <m:rPr>
                  <m:nor/>
                  <m:sty m:val="p"/>
                </m:rPr>
                <m:t>IPCA</m:t>
              </m:r>
            </m:e>
            <m:sub>
              <m:r>
                <m:t>i</m:t>
              </m:r>
              <m:r>
                <m:t>k</m:t>
              </m:r>
            </m:sub>
          </m:sSub>
          <m:r>
            <m:rPr>
              <m:sty m:val="p"/>
            </m:rPr>
            <m:t>|</m:t>
          </m:r>
        </m:oMath>
      </m:oMathPara>
    </w:p>
    <w:p>
      <w:pPr>
        <w:pStyle w:val="FirstParagraph"/>
      </w:pPr>
      <w:r>
        <w:t xml:space="preserve">Where</w:t>
      </w:r>
      <w:r>
        <w:t xml:space="preserve"> </w:t>
      </w:r>
      <m:oMath>
        <m:sSub>
          <m:e>
            <m:r>
              <m:t>w</m:t>
            </m:r>
          </m:e>
          <m:sub>
            <m:r>
              <m:t>k</m:t>
            </m:r>
          </m:sub>
        </m:sSub>
      </m:oMath>
      <w:r>
        <w:t xml:space="preserve"> </w:t>
      </w:r>
      <w:r>
        <w:t xml:space="preserve">is the proportion of the interaction sum of squares explained by the</w:t>
      </w:r>
      <w:r>
        <w:t xml:space="preserve"> </w:t>
      </w:r>
      <m:oMath>
        <m:sSup>
          <m:e>
            <m:r>
              <m:t>k</m:t>
            </m:r>
          </m:e>
          <m:sup>
            <m:r>
              <m:t>t</m:t>
            </m:r>
            <m:r>
              <m:t>h</m:t>
            </m:r>
          </m:sup>
        </m:sSup>
      </m:oMath>
      <w:r>
        <w:t xml:space="preserve"> </w:t>
      </w:r>
      <w:r>
        <w:t xml:space="preserve">IPCA.</w:t>
      </w:r>
    </w:p>
    <w:p>
      <w:pPr>
        <w:pStyle w:val="BodyText"/>
      </w:pPr>
      <w:r>
        <w:t xml:space="preserve">The WAAS summarises the multi-dimensional treatment-by-location interaction from the AMMI model into a single index of stability. Lower WAAS values indicate smaller absolute interaction effects and thus higher grain-yield stability, while higher WAAS values denote stronger environmental sensitivity. Together, the</w:t>
      </w:r>
      <w:r>
        <w:t xml:space="preserve"> </w:t>
      </w:r>
      <m:oMath>
        <m:sSub>
          <m:e>
            <m:r>
              <m:t>b</m:t>
            </m:r>
          </m:e>
          <m:sub>
            <m:r>
              <m:t>1</m:t>
            </m:r>
          </m:sub>
        </m:sSub>
      </m:oMath>
      <w:r>
        <w:t xml:space="preserve">,</w:t>
      </w:r>
      <w:r>
        <w:t xml:space="preserve"> </w:t>
      </w:r>
      <m:oMath>
        <m:sSubSup>
          <m:e>
            <m:r>
              <m:t>S</m:t>
            </m:r>
          </m:e>
          <m:sub>
            <m:r>
              <m:t>d</m:t>
            </m:r>
            <m:r>
              <m:t>i</m:t>
            </m:r>
          </m:sub>
          <m:sup>
            <m:r>
              <m:t>2</m:t>
            </m:r>
          </m:sup>
        </m:sSubSup>
      </m:oMath>
      <w:r>
        <w:t xml:space="preserve"> </w:t>
      </w:r>
      <w:r>
        <w:t xml:space="preserve">and WAAS indices capture the facets of yield stability:</w:t>
      </w:r>
      <w:r>
        <w:t xml:space="preserve"> </w:t>
      </w:r>
      <m:oMath>
        <m:sSub>
          <m:e>
            <m:r>
              <m:t>b</m:t>
            </m:r>
          </m:e>
          <m:sub>
            <m:r>
              <m:t>1</m:t>
            </m:r>
          </m:sub>
        </m:sSub>
      </m:oMath>
      <w:r>
        <w:t xml:space="preserve"> </w:t>
      </w:r>
      <w:r>
        <w:t xml:space="preserve">describes the directional response to the location,</w:t>
      </w:r>
      <w:r>
        <w:t xml:space="preserve"> </w:t>
      </w:r>
      <m:oMath>
        <m:sSubSup>
          <m:e>
            <m:r>
              <m:t>S</m:t>
            </m:r>
          </m:e>
          <m:sub>
            <m:r>
              <m:t>d</m:t>
            </m:r>
            <m:r>
              <m:t>i</m:t>
            </m:r>
          </m:sub>
          <m:sup>
            <m:r>
              <m:t>2</m:t>
            </m:r>
          </m:sup>
        </m:sSubSup>
      </m:oMath>
      <w:r>
        <w:t xml:space="preserve"> </w:t>
      </w:r>
      <w:r>
        <w:t xml:space="preserve">the dispersion around the direction of the response, and WAAS quantifies the magnitude of interaction-driven variability across locations and years, i.e. the treatment’s sensitivity to environmental changes.</w:t>
      </w:r>
    </w:p>
    <w:bookmarkEnd w:id="32"/>
    <w:bookmarkEnd w:id="33"/>
    <w:bookmarkEnd w:id="34"/>
    <w:bookmarkStart w:id="53" w:name="results"/>
    <w:p>
      <w:pPr>
        <w:pStyle w:val="Heading1"/>
      </w:pPr>
      <w:r>
        <w:t xml:space="preserve">Results</w:t>
      </w:r>
    </w:p>
    <w:bookmarkStart w:id="39" w:name="grain-yield"/>
    <w:p>
      <w:pPr>
        <w:pStyle w:val="Heading2"/>
      </w:pPr>
      <w:r>
        <w:t xml:space="preserve">Grain yield</w:t>
      </w:r>
    </w:p>
    <w:p>
      <w:pPr>
        <w:pStyle w:val="FirstParagraph"/>
      </w:pPr>
      <w:r>
        <w:t xml:space="preserve">In Reckenholz, the most productive location, median grain yield of the pure fertilised oat stands ranged between 4.9 and 5.4 t·ha</w:t>
      </w:r>
      <w:r>
        <w:rPr>
          <w:vertAlign w:val="superscript"/>
        </w:rPr>
        <w:t xml:space="preserve">-1</w:t>
      </w:r>
      <w:r>
        <w:t xml:space="preserve">. Pure NLL stands produced 2.8 – 3.6 t·ha</w:t>
      </w:r>
      <w:r>
        <w:rPr>
          <w:vertAlign w:val="superscript"/>
        </w:rPr>
        <w:t xml:space="preserve">-1</w:t>
      </w:r>
      <w:r>
        <w:t xml:space="preserve">, while the NLL x oat mixtures reached 3.7–4.8 t·ha</w:t>
      </w:r>
      <w:r>
        <w:rPr>
          <w:vertAlign w:val="superscript"/>
        </w:rPr>
        <w:t xml:space="preserve">-1</w:t>
      </w:r>
      <w:r>
        <w:t xml:space="preserve">. Gross Lüsewitz and Seegräben exhibited similar yield to Reckenholz in pure fertilised oat stands, however, the NLL yield and total yield were lower in Gross Lüsewitz (p &lt; 0.001). Reckenholz and Seegräben exhibited the highest NLL yield in pure stands compared with the other locations (p &lt; 0.001)(Figure 1).</w:t>
      </w:r>
    </w:p>
    <w:tbl>
      <w:tblPr>
        <w:tblStyle w:val="Table"/>
        <w:tblW w:type="pct" w:w="5000"/>
        <w:tblLayout w:type="fixed"/>
        <w:tblLook w:firstRow="0" w:lastRow="0" w:firstColumn="0" w:lastColumn="0" w:noHBand="0" w:noVBand="0" w:val="0000"/>
      </w:tblPr>
      <w:tblGrid>
        <w:gridCol w:w="7920"/>
      </w:tblGrid>
      <w:tr>
        <w:tc>
          <w:tcPr/>
          <w:bookmarkStart w:id="38" w:name="fig-des"/>
          <w:p>
            <w:pPr>
              <w:pStyle w:val="Compact"/>
              <w:jc w:val="center"/>
            </w:pPr>
            <w:r>
              <w:drawing>
                <wp:inline>
                  <wp:extent cx="5334000" cy="6894856"/>
                  <wp:effectExtent b="0" l="0" r="0" t="0"/>
                  <wp:docPr descr="" title="" id="36" name="Picture"/>
                  <a:graphic>
                    <a:graphicData uri="http://schemas.openxmlformats.org/drawingml/2006/picture">
                      <pic:pic>
                        <pic:nvPicPr>
                          <pic:cNvPr descr="./writing/pictures/yieldplot.png" id="37" name="Picture"/>
                          <pic:cNvPicPr>
                            <a:picLocks noChangeArrowheads="1" noChangeAspect="1"/>
                          </pic:cNvPicPr>
                        </pic:nvPicPr>
                        <pic:blipFill>
                          <a:blip r:embed="rId35"/>
                          <a:stretch>
                            <a:fillRect/>
                          </a:stretch>
                        </pic:blipFill>
                        <pic:spPr bwMode="auto">
                          <a:xfrm>
                            <a:off x="0" y="0"/>
                            <a:ext cx="5334000" cy="689485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Grain yield overview of pure and mixed stands by location and the location’s country code in brackets. Fertilised oats are shown in yellow-brown hues. For all graphs, the median value is represented by the bar height, and the variability (median absolute deviation) by the error bars. Data were pooled across all years. Bars with a single colour represent pure stands. In mixed stands, the lower bar represents the partial lupin values, the upper bar the partial oat values.</w:t>
            </w:r>
          </w:p>
          <w:bookmarkEnd w:id="38"/>
        </w:tc>
      </w:tr>
    </w:tbl>
    <w:p>
      <w:pPr>
        <w:pStyle w:val="BodyText"/>
      </w:pPr>
      <w:r>
        <w:t xml:space="preserve">The total yield of Bad Vilbel and Novi Sad were lower across all observed treatments in the year 2022 than the total yield of Reckenholz, Seegräben or Gross Lüsewitz (p &lt; 0.001), whereas in 2023, only the total yield of Gross Lüsewitz was significantly lower than the yield recorded in Novi Sad, Reckenholz and Seegräben (Supplemental materials - Table S3). Further, the yield of all NLL and oat varieties in pure stands (p &lt; 0.001) and the partial yield of Jowisz × Troll in mixed stands differed significantly (p &lt; 0.05). Across all locations the average yield of pure NLL and oat stands were not significantly different from the average yield across all mixtures. Regarding the proportion of the partial NLL yield in mixtures, Bad Vilbel and Seegräben exhibited higher NLL than oat proportions of 62% and 59% across all years, respectively, whereas the proportions of the NLL yield in mixtures amounted to 35%, 29% and 24% in Gross Lüsewitz, Novi Sad and Reckenholz, respectively (p &lt; 0.001). A strong year effect was apparent, resulting in an elevated proportion of the NLL yield by 16% in 2022 and 7% in 2023 across all mixtures, respectively. Additionally, an oat-interaction effect was detected, resulting in an increased NLL proportion by 5% if the NLL were mixed with Troll, and a decreased proportion by -4.6% if the NLL were mixed with Lion. All locations exhibited strong year-by-year variation of the NLL proportion (Supplemental materials - Appendix A).</w:t>
      </w:r>
    </w:p>
    <w:bookmarkEnd w:id="39"/>
    <w:bookmarkStart w:id="40" w:name="grain-yield-performance"/>
    <w:p>
      <w:pPr>
        <w:pStyle w:val="Heading2"/>
      </w:pPr>
      <w:r>
        <w:t xml:space="preserve">Grain-yield performance</w:t>
      </w:r>
    </w:p>
    <w:p>
      <w:pPr>
        <w:pStyle w:val="FirstParagraph"/>
      </w:pPr>
      <w:r>
        <w:t xml:space="preserve">The LER_N assessed across all locations with regards to fertilised oats as pure stands, years and treatments did not differ from unity (LER_N = 1) on a treatment, nor location level (Supplemental materials - Appendix A). Additionally, no difference could be detected between any pairs of mixed stand treatments or locations. Though the LER with regards to unfertilised oats was higher than the LER_N, it still did not differ from unity (LER = 1). The total CPR with regards to fertilised and unfertilised oats as reference pure stands was elevated above unity (E = 2) for all mixed stands, in absence of any treatment effect, amounting to an average CPR of 5.3 (p &lt; 0.001), and CPR_N = 4.6 (p &lt; 0.001), respectively, driven by the high oat CPR (Supplemental materials - Appendix A). The CPR_N was significantly lower than the recorded CPR in all mixed treatments but Troll × Lunabor and Troll × Jowisz (p &lt; 0.05). None of the CPR or CPR_N values exhibited significant differences between treatments across all locations and years. Similar to the total CPR, the CPR_oat was above unity (E = 1), with regards to both the fertilised (CPR_oat_N) and the unfertilised (CPR_oat) oats as pure reference stands (p &lt; 0.001). The CPR_oat was significantly larger than the CPR_oat_N for all mixed Bison and Lion treatments (p &lt; 0.05), whereas the mixed Troll treatments were agnostic to the fertilisation regime of their pure reference stands. Post-hoc comparisons unveiled significantly higher CPR_oat and CPR_oat_N in three cases of Lion, compared with Troll, where Lion had shown a CPR exceeding the Trolls CPR by 0.8 - 0.9 (p &lt; 0.01). However, these effects were restricted to specific mixed cropping comparisons (e.g. Lion × Probor compared with Troll × Probor) but did not hold true globally for both oat varieties across all paired mixtures. Conversely to the CPR of oats and the total CPR, the CPR of NLLs did not differ from unity (E = 1), and there was no effect of variety, location or year effects.</w:t>
      </w:r>
    </w:p>
    <w:bookmarkEnd w:id="40"/>
    <w:bookmarkStart w:id="52" w:name="grain-yield-stability"/>
    <w:p>
      <w:pPr>
        <w:pStyle w:val="Heading2"/>
      </w:pPr>
      <w:r>
        <w:t xml:space="preserve">Grain-yield stability</w:t>
      </w:r>
    </w:p>
    <w:bookmarkStart w:id="42" w:name="static-grain-yield-stability-1"/>
    <w:p>
      <w:pPr>
        <w:pStyle w:val="Heading3"/>
      </w:pPr>
      <w:r>
        <w:t xml:space="preserve">Static grain-yield stability</w:t>
      </w:r>
    </w:p>
    <w:p>
      <w:pPr>
        <w:pStyle w:val="FirstParagraph"/>
      </w:pPr>
      <w:r>
        <w:t xml:space="preserve">The static grain-yield stability, expressed as the coefficient of variation (CV) calculated on a treatment basis across all environment-years unveiled no differences in the coefficient of variation across partial NLL, oat yield or the total yield (Table 3). However, trends were visible for the yield variation compared with the treatments’ mean yield, the variations was larger in pure stands of NLLs and some mixed stands, relative to the majority of the mixed stands and pure (un-)fertilised oat stands. Further, fertilised and unfertilised oats did not differ significantly with regards to their CV.</w:t>
      </w:r>
    </w:p>
    <w:tbl>
      <w:tblPr>
        <w:tblStyle w:val="Table"/>
        <w:tblW w:type="pct" w:w="5000"/>
        <w:tblLayout w:type="fixed"/>
        <w:tblLook w:firstRow="0" w:lastRow="0" w:firstColumn="0" w:lastColumn="0" w:noHBand="0" w:noVBand="0" w:val="0000"/>
      </w:tblPr>
      <w:tblGrid>
        <w:gridCol w:w="7920"/>
      </w:tblGrid>
      <w:tr>
        <w:tc>
          <w:tcPr/>
          <w:bookmarkStart w:id="41" w:name="tbl-overview"/>
          <w:p>
            <w:pPr>
              <w:jc w:val="center"/>
            </w:pPr>
            <w:pPr>
              <w:jc w:val="left"/>
              <w:spacing w:before="200"/>
              <w:pStyle w:val="ImageCaption"/>
            </w:pPr>
            <w:r>
              <w:t xml:space="preserve">Table 3</w:t>
            </w:r>
          </w:p>
          <w:p>
            <w:pPr>
              <w:pStyle w:val="Compact"/>
              <w:jc w:val="center"/>
            </w:pPr>
            <w:r>
              <w:t xml:space="preserve">Overview of all grain-yield stability metrics summarised across all locations on a treatment basis. CV = Coefficient of variation,</w:t>
            </w:r>
            <w:r>
              <w:t xml:space="preserve"> </w:t>
            </w:r>
            <m:oMath>
              <m:sSub>
                <m:e>
                  <m:r>
                    <m:t>b</m:t>
                  </m:r>
                </m:e>
                <m:sub>
                  <m:r>
                    <m:t>1</m:t>
                  </m:r>
                </m:sub>
              </m:sSub>
            </m:oMath>
            <w:r>
              <w:t xml:space="preserve"> </w:t>
            </w:r>
            <w:r>
              <w:t xml:space="preserve">= Finlay–Wilkinson slope,</w:t>
            </w:r>
            <w:r>
              <w:t xml:space="preserve"> </w:t>
            </w:r>
            <m:oMath>
              <m:sSubSup>
                <m:e>
                  <m:r>
                    <m:t>S</m:t>
                  </m:r>
                </m:e>
                <m:sub>
                  <m:r>
                    <m:t>d</m:t>
                  </m:r>
                  <m:r>
                    <m:t>i</m:t>
                  </m:r>
                </m:sub>
                <m:sup>
                  <m:r>
                    <m:t>2</m:t>
                  </m:r>
                </m:sup>
              </m:sSubSup>
            </m:oMath>
            <w:r>
              <w:t xml:space="preserve"> </w:t>
            </w:r>
            <w:r>
              <w:t xml:space="preserve">= Eberhart–Russell deviation variance, WAAS = weighted average of absolute scores. Letters correspond to the significance grouping of the pair-wise post-hoc tests (p &lt; 0.05) adapted for multiple testing. Variety_N represents fertilised pure oat stands.</w:t>
            </w:r>
          </w:p>
          <w:bookmarkEnd w:id="41"/>
        </w:tc>
      </w:tr>
    </w:tbl>
    <w:p>
      <w:pPr>
        <w:pStyle w:val="BodyText"/>
      </w:pPr>
      <w:r>
        <w:t xml:space="preserve"> </w:t>
      </w:r>
    </w:p>
    <w:tbl>
      <w:tblPr>
        <w:tblStyle w:val="Table"/>
        <w:tblW w:type="pct" w:w="5000"/>
        <w:tblLayout w:type="fixed"/>
        <w:tblLook w:firstRow="1" w:lastRow="0" w:firstColumn="0" w:lastColumn="0" w:noHBand="0" w:noVBand="0" w:val="0020"/>
      </w:tblPr>
      <w:tblGrid>
        <w:gridCol w:w="1496"/>
        <w:gridCol w:w="1672"/>
        <w:gridCol w:w="1672"/>
        <w:gridCol w:w="1584"/>
        <w:gridCol w:w="1496"/>
      </w:tblGrid>
      <w:tr>
        <w:trPr>
          <w:tblHeader w:val="on"/>
        </w:trPr>
        <w:tc>
          <w:tcPr/>
          <w:p>
            <w:pPr>
              <w:pStyle w:val="Compact"/>
              <w:jc w:val="right"/>
            </w:pPr>
            <w:r>
              <w:t xml:space="preserve">Treatment</w:t>
            </w:r>
          </w:p>
        </w:tc>
        <w:tc>
          <w:tcPr/>
          <w:p>
            <w:pPr>
              <w:pStyle w:val="Compact"/>
              <w:jc w:val="right"/>
            </w:pPr>
            <w:r>
              <w:t xml:space="preserve">CV total yield (not significant)</w:t>
            </w:r>
          </w:p>
        </w:tc>
        <w:tc>
          <w:tcPr/>
          <w:p>
            <w:pPr>
              <w:pStyle w:val="Compact"/>
              <w:jc w:val="right"/>
            </w:pPr>
            <m:oMath>
              <m:sSub>
                <m:e>
                  <m:r>
                    <m:t>b</m:t>
                  </m:r>
                </m:e>
                <m:sub>
                  <m:r>
                    <m:t>1</m:t>
                  </m:r>
                </m:sub>
              </m:sSub>
            </m:oMath>
            <w:r>
              <w:t xml:space="preserve"> </w:t>
            </w:r>
            <w:r>
              <w:t xml:space="preserve">(responsiveness)</w:t>
            </w:r>
          </w:p>
        </w:tc>
        <w:tc>
          <w:tcPr/>
          <w:p>
            <w:pPr>
              <w:pStyle w:val="Compact"/>
              <w:jc w:val="right"/>
            </w:pPr>
            <m:oMath>
              <m:sSubSup>
                <m:e>
                  <m:r>
                    <m:t>S</m:t>
                  </m:r>
                </m:e>
                <m:sub>
                  <m:r>
                    <m:t>d</m:t>
                  </m:r>
                  <m:r>
                    <m:t>i</m:t>
                  </m:r>
                </m:sub>
                <m:sup>
                  <m:r>
                    <m:t>2</m:t>
                  </m:r>
                </m:sup>
              </m:sSubSup>
            </m:oMath>
            <w:r>
              <w:t xml:space="preserve"> </w:t>
            </w:r>
            <w:r>
              <w:t xml:space="preserve">(dispersion)</w:t>
            </w:r>
          </w:p>
        </w:tc>
        <w:tc>
          <w:tcPr/>
          <w:p>
            <w:pPr>
              <w:pStyle w:val="Compact"/>
              <w:jc w:val="right"/>
            </w:pPr>
            <w:r>
              <w:t xml:space="preserve">WAAS (sensitivity)</w:t>
            </w:r>
          </w:p>
        </w:tc>
      </w:tr>
      <w:tr>
        <w:tc>
          <w:tcPr/>
          <w:p>
            <w:pPr>
              <w:pStyle w:val="Compact"/>
              <w:jc w:val="right"/>
            </w:pPr>
            <w:r>
              <w:t xml:space="preserve">Bison</w:t>
            </w:r>
          </w:p>
        </w:tc>
        <w:tc>
          <w:tcPr/>
          <w:p>
            <w:pPr>
              <w:pStyle w:val="Compact"/>
              <w:jc w:val="right"/>
            </w:pPr>
            <w:r>
              <w:t xml:space="preserve">17</w:t>
            </w:r>
          </w:p>
        </w:tc>
        <w:tc>
          <w:tcPr/>
          <w:p>
            <w:pPr>
              <w:pStyle w:val="Compact"/>
              <w:jc w:val="right"/>
            </w:pPr>
            <w:r>
              <w:t xml:space="preserve">0.68</w:t>
            </w:r>
            <w:r>
              <w:t xml:space="preserve">a</w:t>
            </w:r>
          </w:p>
        </w:tc>
        <w:tc>
          <w:tcPr/>
          <w:p>
            <w:pPr>
              <w:pStyle w:val="Compact"/>
              <w:jc w:val="right"/>
            </w:pPr>
            <w:r>
              <w:t xml:space="preserve">0.24</w:t>
            </w:r>
            <w:r>
              <w:t xml:space="preserve">a</w:t>
            </w:r>
          </w:p>
        </w:tc>
        <w:tc>
          <w:tcPr/>
          <w:p>
            <w:pPr>
              <w:pStyle w:val="Compact"/>
              <w:jc w:val="right"/>
            </w:pPr>
            <w:r>
              <w:t xml:space="preserve">0.66</w:t>
            </w:r>
            <w:r>
              <w:t xml:space="preserve">a</w:t>
            </w:r>
          </w:p>
        </w:tc>
      </w:tr>
      <w:tr>
        <w:tc>
          <w:tcPr/>
          <w:p>
            <w:pPr>
              <w:pStyle w:val="Compact"/>
              <w:jc w:val="right"/>
            </w:pPr>
            <w:r>
              <w:t xml:space="preserve">Lion</w:t>
            </w:r>
          </w:p>
        </w:tc>
        <w:tc>
          <w:tcPr/>
          <w:p>
            <w:pPr>
              <w:pStyle w:val="Compact"/>
              <w:jc w:val="right"/>
            </w:pPr>
            <w:r>
              <w:t xml:space="preserve">16</w:t>
            </w:r>
          </w:p>
        </w:tc>
        <w:tc>
          <w:tcPr/>
          <w:p>
            <w:pPr>
              <w:pStyle w:val="Compact"/>
              <w:jc w:val="right"/>
            </w:pPr>
            <w:r>
              <w:t xml:space="preserve">0.63</w:t>
            </w:r>
            <w:r>
              <w:t xml:space="preserve">a</w:t>
            </w:r>
          </w:p>
        </w:tc>
        <w:tc>
          <w:tcPr/>
          <w:p>
            <w:pPr>
              <w:pStyle w:val="Compact"/>
              <w:jc w:val="right"/>
            </w:pPr>
            <w:r>
              <w:t xml:space="preserve">0.14</w:t>
            </w:r>
            <w:r>
              <w:t xml:space="preserve">a</w:t>
            </w:r>
          </w:p>
        </w:tc>
        <w:tc>
          <w:tcPr/>
          <w:p>
            <w:pPr>
              <w:pStyle w:val="Compact"/>
              <w:jc w:val="right"/>
            </w:pPr>
            <w:r>
              <w:t xml:space="preserve">0.58</w:t>
            </w:r>
            <w:r>
              <w:t xml:space="preserve">a</w:t>
            </w:r>
          </w:p>
        </w:tc>
      </w:tr>
      <w:tr>
        <w:tc>
          <w:tcPr/>
          <w:p>
            <w:pPr>
              <w:pStyle w:val="Compact"/>
              <w:jc w:val="right"/>
            </w:pPr>
            <w:r>
              <w:t xml:space="preserve">Troll</w:t>
            </w:r>
          </w:p>
        </w:tc>
        <w:tc>
          <w:tcPr/>
          <w:p>
            <w:pPr>
              <w:pStyle w:val="Compact"/>
              <w:jc w:val="right"/>
            </w:pPr>
            <w:r>
              <w:t xml:space="preserve">17</w:t>
            </w:r>
          </w:p>
        </w:tc>
        <w:tc>
          <w:tcPr/>
          <w:p>
            <w:pPr>
              <w:pStyle w:val="Compact"/>
              <w:jc w:val="right"/>
            </w:pPr>
            <w:r>
              <w:t xml:space="preserve">0.57</w:t>
            </w:r>
            <w:r>
              <w:t xml:space="preserve">a</w:t>
            </w:r>
          </w:p>
        </w:tc>
        <w:tc>
          <w:tcPr/>
          <w:p>
            <w:pPr>
              <w:pStyle w:val="Compact"/>
              <w:jc w:val="right"/>
            </w:pPr>
            <w:r>
              <w:t xml:space="preserve">0.3</w:t>
            </w:r>
            <w:r>
              <w:t xml:space="preserve"> </w:t>
            </w:r>
            <w:r>
              <w:t xml:space="preserve">a</w:t>
            </w:r>
          </w:p>
        </w:tc>
        <w:tc>
          <w:tcPr/>
          <w:p>
            <w:pPr>
              <w:pStyle w:val="Compact"/>
              <w:jc w:val="right"/>
            </w:pPr>
            <w:r>
              <w:t xml:space="preserve">0.80</w:t>
            </w:r>
            <w:r>
              <w:t xml:space="preserve">a</w:t>
            </w:r>
          </w:p>
        </w:tc>
      </w:tr>
      <w:tr>
        <w:tc>
          <w:tcPr/>
          <w:p>
            <w:pPr>
              <w:pStyle w:val="Compact"/>
              <w:jc w:val="right"/>
            </w:pPr>
            <w:r>
              <w:t xml:space="preserve">Bison_N</w:t>
            </w:r>
          </w:p>
        </w:tc>
        <w:tc>
          <w:tcPr/>
          <w:p>
            <w:pPr>
              <w:pStyle w:val="Compact"/>
              <w:jc w:val="right"/>
            </w:pPr>
            <w:r>
              <w:t xml:space="preserve">18</w:t>
            </w:r>
          </w:p>
        </w:tc>
        <w:tc>
          <w:tcPr/>
          <w:p>
            <w:pPr>
              <w:pStyle w:val="Compact"/>
              <w:jc w:val="right"/>
            </w:pPr>
            <w:r>
              <w:t xml:space="preserve">1.1</w:t>
            </w:r>
            <w:r>
              <w:t xml:space="preserve"> </w:t>
            </w:r>
            <w:r>
              <w:t xml:space="preserve">a</w:t>
            </w:r>
          </w:p>
        </w:tc>
        <w:tc>
          <w:tcPr/>
          <w:p>
            <w:pPr>
              <w:pStyle w:val="Compact"/>
              <w:jc w:val="right"/>
            </w:pPr>
            <w:r>
              <w:t xml:space="preserve">0.21</w:t>
            </w:r>
            <w:r>
              <w:t xml:space="preserve">a</w:t>
            </w:r>
          </w:p>
        </w:tc>
        <w:tc>
          <w:tcPr/>
          <w:p>
            <w:pPr>
              <w:pStyle w:val="Compact"/>
              <w:jc w:val="right"/>
            </w:pPr>
            <w:r>
              <w:t xml:space="preserve">0.35</w:t>
            </w:r>
            <w:r>
              <w:t xml:space="preserve">a</w:t>
            </w:r>
          </w:p>
        </w:tc>
      </w:tr>
      <w:tr>
        <w:tc>
          <w:tcPr/>
          <w:p>
            <w:pPr>
              <w:pStyle w:val="Compact"/>
              <w:jc w:val="right"/>
            </w:pPr>
            <w:r>
              <w:t xml:space="preserve">Lion_N</w:t>
            </w:r>
          </w:p>
        </w:tc>
        <w:tc>
          <w:tcPr/>
          <w:p>
            <w:pPr>
              <w:pStyle w:val="Compact"/>
              <w:jc w:val="right"/>
            </w:pPr>
            <w:r>
              <w:t xml:space="preserve">16</w:t>
            </w:r>
          </w:p>
        </w:tc>
        <w:tc>
          <w:tcPr/>
          <w:p>
            <w:pPr>
              <w:pStyle w:val="Compact"/>
              <w:jc w:val="right"/>
            </w:pPr>
            <w:r>
              <w:t xml:space="preserve">1.14</w:t>
            </w:r>
            <w:r>
              <w:t xml:space="preserve">b</w:t>
            </w:r>
          </w:p>
        </w:tc>
        <w:tc>
          <w:tcPr/>
          <w:p>
            <w:pPr>
              <w:pStyle w:val="Compact"/>
              <w:jc w:val="right"/>
            </w:pPr>
            <w:r>
              <w:t xml:space="preserve">0.05</w:t>
            </w:r>
            <w:r>
              <w:t xml:space="preserve">b</w:t>
            </w:r>
          </w:p>
        </w:tc>
        <w:tc>
          <w:tcPr/>
          <w:p>
            <w:pPr>
              <w:pStyle w:val="Compact"/>
              <w:jc w:val="right"/>
            </w:pPr>
            <w:r>
              <w:t xml:space="preserve">0.08</w:t>
            </w:r>
            <w:r>
              <w:t xml:space="preserve">b</w:t>
            </w:r>
          </w:p>
        </w:tc>
      </w:tr>
      <w:tr>
        <w:tc>
          <w:tcPr/>
          <w:p>
            <w:pPr>
              <w:pStyle w:val="Compact"/>
              <w:jc w:val="right"/>
            </w:pPr>
            <w:r>
              <w:t xml:space="preserve">Troll_N</w:t>
            </w:r>
          </w:p>
        </w:tc>
        <w:tc>
          <w:tcPr/>
          <w:p>
            <w:pPr>
              <w:pStyle w:val="Compact"/>
              <w:jc w:val="right"/>
            </w:pPr>
            <w:r>
              <w:t xml:space="preserve">15</w:t>
            </w:r>
          </w:p>
        </w:tc>
        <w:tc>
          <w:tcPr/>
          <w:p>
            <w:pPr>
              <w:pStyle w:val="Compact"/>
              <w:jc w:val="right"/>
            </w:pPr>
            <w:r>
              <w:t xml:space="preserve">1.2</w:t>
            </w:r>
            <w:r>
              <w:t xml:space="preserve"> </w:t>
            </w:r>
            <w:r>
              <w:t xml:space="preserve">a</w:t>
            </w:r>
          </w:p>
        </w:tc>
        <w:tc>
          <w:tcPr/>
          <w:p>
            <w:pPr>
              <w:pStyle w:val="Compact"/>
              <w:jc w:val="right"/>
            </w:pPr>
            <w:r>
              <w:t xml:space="preserve">0.09</w:t>
            </w:r>
            <w:r>
              <w:t xml:space="preserve">a</w:t>
            </w:r>
          </w:p>
        </w:tc>
        <w:tc>
          <w:tcPr/>
          <w:p>
            <w:pPr>
              <w:pStyle w:val="Compact"/>
              <w:jc w:val="right"/>
            </w:pPr>
            <w:r>
              <w:t xml:space="preserve">0.15</w:t>
            </w:r>
            <w:r>
              <w:t xml:space="preserve">b</w:t>
            </w:r>
          </w:p>
        </w:tc>
      </w:tr>
      <w:tr>
        <w:tc>
          <w:tcPr/>
          <w:p>
            <w:pPr>
              <w:pStyle w:val="Compact"/>
              <w:jc w:val="right"/>
            </w:pPr>
            <w:r>
              <w:t xml:space="preserve">Lunabor</w:t>
            </w:r>
          </w:p>
        </w:tc>
        <w:tc>
          <w:tcPr/>
          <w:p>
            <w:pPr>
              <w:pStyle w:val="Compact"/>
              <w:jc w:val="right"/>
            </w:pPr>
            <w:r>
              <w:t xml:space="preserve">31</w:t>
            </w:r>
          </w:p>
        </w:tc>
        <w:tc>
          <w:tcPr/>
          <w:p>
            <w:pPr>
              <w:pStyle w:val="Compact"/>
              <w:jc w:val="right"/>
            </w:pPr>
            <w:r>
              <w:t xml:space="preserve">0.95</w:t>
            </w:r>
            <w:r>
              <w:t xml:space="preserve">a</w:t>
            </w:r>
          </w:p>
        </w:tc>
        <w:tc>
          <w:tcPr/>
          <w:p>
            <w:pPr>
              <w:pStyle w:val="Compact"/>
              <w:jc w:val="right"/>
            </w:pPr>
            <w:r>
              <w:t xml:space="preserve">0.22</w:t>
            </w:r>
            <w:r>
              <w:t xml:space="preserve">a</w:t>
            </w:r>
          </w:p>
        </w:tc>
        <w:tc>
          <w:tcPr/>
          <w:p>
            <w:pPr>
              <w:pStyle w:val="Compact"/>
              <w:jc w:val="right"/>
            </w:pPr>
            <w:r>
              <w:t xml:space="preserve">0.44</w:t>
            </w:r>
            <w:r>
              <w:t xml:space="preserve">a</w:t>
            </w:r>
          </w:p>
        </w:tc>
      </w:tr>
      <w:tr>
        <w:tc>
          <w:tcPr/>
          <w:p>
            <w:pPr>
              <w:pStyle w:val="Compact"/>
              <w:jc w:val="right"/>
            </w:pPr>
            <w:r>
              <w:t xml:space="preserve">Probor</w:t>
            </w:r>
          </w:p>
        </w:tc>
        <w:tc>
          <w:tcPr/>
          <w:p>
            <w:pPr>
              <w:pStyle w:val="Compact"/>
              <w:jc w:val="right"/>
            </w:pPr>
            <w:r>
              <w:t xml:space="preserve">35</w:t>
            </w:r>
          </w:p>
        </w:tc>
        <w:tc>
          <w:tcPr/>
          <w:p>
            <w:pPr>
              <w:pStyle w:val="Compact"/>
              <w:jc w:val="right"/>
            </w:pPr>
            <w:r>
              <w:t xml:space="preserve">1.05</w:t>
            </w:r>
            <w:r>
              <w:t xml:space="preserve">a</w:t>
            </w:r>
          </w:p>
        </w:tc>
        <w:tc>
          <w:tcPr/>
          <w:p>
            <w:pPr>
              <w:pStyle w:val="Compact"/>
              <w:jc w:val="right"/>
            </w:pPr>
            <w:r>
              <w:t xml:space="preserve">0.23</w:t>
            </w:r>
            <w:r>
              <w:t xml:space="preserve">a</w:t>
            </w:r>
          </w:p>
        </w:tc>
        <w:tc>
          <w:tcPr/>
          <w:p>
            <w:pPr>
              <w:pStyle w:val="Compact"/>
              <w:jc w:val="right"/>
            </w:pPr>
            <w:r>
              <w:t xml:space="preserve">0.48</w:t>
            </w:r>
            <w:r>
              <w:t xml:space="preserve">a</w:t>
            </w:r>
          </w:p>
        </w:tc>
      </w:tr>
      <w:tr>
        <w:tc>
          <w:tcPr/>
          <w:p>
            <w:pPr>
              <w:pStyle w:val="Compact"/>
              <w:jc w:val="right"/>
            </w:pPr>
            <w:r>
              <w:t xml:space="preserve">Jowisz</w:t>
            </w:r>
          </w:p>
        </w:tc>
        <w:tc>
          <w:tcPr/>
          <w:p>
            <w:pPr>
              <w:pStyle w:val="Compact"/>
              <w:jc w:val="right"/>
            </w:pPr>
            <w:r>
              <w:t xml:space="preserve">27</w:t>
            </w:r>
          </w:p>
        </w:tc>
        <w:tc>
          <w:tcPr/>
          <w:p>
            <w:pPr>
              <w:pStyle w:val="Compact"/>
              <w:jc w:val="right"/>
            </w:pPr>
            <w:r>
              <w:t xml:space="preserve">1.01</w:t>
            </w:r>
            <w:r>
              <w:t xml:space="preserve">a</w:t>
            </w:r>
          </w:p>
        </w:tc>
        <w:tc>
          <w:tcPr/>
          <w:p>
            <w:pPr>
              <w:pStyle w:val="Compact"/>
              <w:jc w:val="right"/>
            </w:pPr>
            <w:r>
              <w:t xml:space="preserve">0.19</w:t>
            </w:r>
            <w:r>
              <w:t xml:space="preserve">a</w:t>
            </w:r>
          </w:p>
        </w:tc>
        <w:tc>
          <w:tcPr/>
          <w:p>
            <w:pPr>
              <w:pStyle w:val="Compact"/>
              <w:jc w:val="right"/>
            </w:pPr>
            <w:r>
              <w:t xml:space="preserve">0.38</w:t>
            </w:r>
            <w:r>
              <w:t xml:space="preserve">a</w:t>
            </w:r>
          </w:p>
        </w:tc>
      </w:tr>
      <w:tr>
        <w:tc>
          <w:tcPr/>
          <w:p>
            <w:pPr>
              <w:pStyle w:val="Compact"/>
              <w:jc w:val="right"/>
            </w:pPr>
            <w:r>
              <w:t xml:space="preserve">Bison × Lunabor</w:t>
            </w:r>
          </w:p>
        </w:tc>
        <w:tc>
          <w:tcPr/>
          <w:p>
            <w:pPr>
              <w:pStyle w:val="Compact"/>
              <w:jc w:val="right"/>
            </w:pPr>
            <w:r>
              <w:t xml:space="preserve">17</w:t>
            </w:r>
          </w:p>
        </w:tc>
        <w:tc>
          <w:tcPr/>
          <w:p>
            <w:pPr>
              <w:pStyle w:val="Compact"/>
              <w:jc w:val="right"/>
            </w:pPr>
            <w:r>
              <w:t xml:space="preserve">1.08</w:t>
            </w:r>
            <w:r>
              <w:t xml:space="preserve">b</w:t>
            </w:r>
          </w:p>
        </w:tc>
        <w:tc>
          <w:tcPr/>
          <w:p>
            <w:pPr>
              <w:pStyle w:val="Compact"/>
              <w:jc w:val="right"/>
            </w:pPr>
            <w:r>
              <w:t xml:space="preserve">0.004</w:t>
            </w:r>
            <w:r>
              <w:t xml:space="preserve">b</w:t>
            </w:r>
          </w:p>
        </w:tc>
        <w:tc>
          <w:tcPr/>
          <w:p>
            <w:pPr>
              <w:pStyle w:val="Compact"/>
              <w:jc w:val="right"/>
            </w:pPr>
            <w:r>
              <w:t xml:space="preserve">0.11</w:t>
            </w:r>
            <w:r>
              <w:t xml:space="preserve">b</w:t>
            </w:r>
          </w:p>
        </w:tc>
      </w:tr>
      <w:tr>
        <w:tc>
          <w:tcPr/>
          <w:p>
            <w:pPr>
              <w:pStyle w:val="Compact"/>
              <w:jc w:val="right"/>
            </w:pPr>
            <w:r>
              <w:t xml:space="preserve">Bison × Probor</w:t>
            </w:r>
          </w:p>
        </w:tc>
        <w:tc>
          <w:tcPr/>
          <w:p>
            <w:pPr>
              <w:pStyle w:val="Compact"/>
              <w:jc w:val="right"/>
            </w:pPr>
            <w:r>
              <w:t xml:space="preserve">18</w:t>
            </w:r>
          </w:p>
        </w:tc>
        <w:tc>
          <w:tcPr/>
          <w:p>
            <w:pPr>
              <w:pStyle w:val="Compact"/>
              <w:jc w:val="right"/>
            </w:pPr>
            <w:r>
              <w:t xml:space="preserve">0.98</w:t>
            </w:r>
            <w:r>
              <w:t xml:space="preserve">c</w:t>
            </w:r>
          </w:p>
        </w:tc>
        <w:tc>
          <w:tcPr/>
          <w:p>
            <w:pPr>
              <w:pStyle w:val="Compact"/>
              <w:jc w:val="right"/>
            </w:pPr>
            <w:r>
              <w:t xml:space="preserve">0.03</w:t>
            </w:r>
            <w:r>
              <w:t xml:space="preserve">b</w:t>
            </w:r>
          </w:p>
        </w:tc>
        <w:tc>
          <w:tcPr/>
          <w:p>
            <w:pPr>
              <w:pStyle w:val="Compact"/>
              <w:jc w:val="right"/>
            </w:pPr>
            <w:r>
              <w:t xml:space="preserve">0.04</w:t>
            </w:r>
            <w:r>
              <w:t xml:space="preserve">b</w:t>
            </w:r>
          </w:p>
        </w:tc>
      </w:tr>
      <w:tr>
        <w:tc>
          <w:tcPr/>
          <w:p>
            <w:pPr>
              <w:pStyle w:val="Compact"/>
              <w:jc w:val="right"/>
            </w:pPr>
            <w:r>
              <w:t xml:space="preserve">Bison × Jowisz</w:t>
            </w:r>
          </w:p>
        </w:tc>
        <w:tc>
          <w:tcPr/>
          <w:p>
            <w:pPr>
              <w:pStyle w:val="Compact"/>
              <w:jc w:val="right"/>
            </w:pPr>
            <w:r>
              <w:t xml:space="preserve">18</w:t>
            </w:r>
          </w:p>
        </w:tc>
        <w:tc>
          <w:tcPr/>
          <w:p>
            <w:pPr>
              <w:pStyle w:val="Compact"/>
              <w:jc w:val="right"/>
            </w:pPr>
            <w:r>
              <w:t xml:space="preserve">0.91</w:t>
            </w:r>
            <w:r>
              <w:t xml:space="preserve">c</w:t>
            </w:r>
          </w:p>
        </w:tc>
        <w:tc>
          <w:tcPr/>
          <w:p>
            <w:pPr>
              <w:pStyle w:val="Compact"/>
              <w:jc w:val="right"/>
            </w:pPr>
            <w:r>
              <w:t xml:space="preserve">0.06</w:t>
            </w:r>
            <w:r>
              <w:t xml:space="preserve"> </w:t>
            </w:r>
            <w:r>
              <w:t xml:space="preserve">b</w:t>
            </w:r>
          </w:p>
        </w:tc>
        <w:tc>
          <w:tcPr/>
          <w:p>
            <w:pPr>
              <w:pStyle w:val="Compact"/>
              <w:jc w:val="right"/>
            </w:pPr>
            <w:r>
              <w:t xml:space="preserve">0.08</w:t>
            </w:r>
            <w:r>
              <w:t xml:space="preserve">b</w:t>
            </w:r>
          </w:p>
        </w:tc>
      </w:tr>
      <w:tr>
        <w:tc>
          <w:tcPr/>
          <w:p>
            <w:pPr>
              <w:pStyle w:val="Compact"/>
              <w:jc w:val="right"/>
            </w:pPr>
            <w:r>
              <w:t xml:space="preserve">Lion × Lunabor</w:t>
            </w:r>
          </w:p>
        </w:tc>
        <w:tc>
          <w:tcPr/>
          <w:p>
            <w:pPr>
              <w:pStyle w:val="Compact"/>
              <w:jc w:val="right"/>
            </w:pPr>
            <w:r>
              <w:t xml:space="preserve">15</w:t>
            </w:r>
          </w:p>
        </w:tc>
        <w:tc>
          <w:tcPr/>
          <w:p>
            <w:pPr>
              <w:pStyle w:val="Compact"/>
              <w:jc w:val="right"/>
            </w:pPr>
            <w:r>
              <w:t xml:space="preserve">1.05</w:t>
            </w:r>
            <w:r>
              <w:t xml:space="preserve">b</w:t>
            </w:r>
          </w:p>
        </w:tc>
        <w:tc>
          <w:tcPr/>
          <w:p>
            <w:pPr>
              <w:pStyle w:val="Compact"/>
              <w:jc w:val="right"/>
            </w:pPr>
            <w:r>
              <w:t xml:space="preserve">0.03</w:t>
            </w:r>
            <w:r>
              <w:t xml:space="preserve"> </w:t>
            </w:r>
            <w:r>
              <w:t xml:space="preserve">b</w:t>
            </w:r>
          </w:p>
        </w:tc>
        <w:tc>
          <w:tcPr/>
          <w:p>
            <w:pPr>
              <w:pStyle w:val="Compact"/>
              <w:jc w:val="right"/>
            </w:pPr>
            <w:r>
              <w:t xml:space="preserve">0.21</w:t>
            </w:r>
            <w:r>
              <w:t xml:space="preserve">b</w:t>
            </w:r>
          </w:p>
        </w:tc>
      </w:tr>
      <w:tr>
        <w:tc>
          <w:tcPr/>
          <w:p>
            <w:pPr>
              <w:pStyle w:val="Compact"/>
              <w:jc w:val="right"/>
            </w:pPr>
            <w:r>
              <w:t xml:space="preserve">Lion × Probor</w:t>
            </w:r>
          </w:p>
        </w:tc>
        <w:tc>
          <w:tcPr/>
          <w:p>
            <w:pPr>
              <w:pStyle w:val="Compact"/>
              <w:jc w:val="right"/>
            </w:pPr>
            <w:r>
              <w:t xml:space="preserve">16</w:t>
            </w:r>
          </w:p>
        </w:tc>
        <w:tc>
          <w:tcPr/>
          <w:p>
            <w:pPr>
              <w:pStyle w:val="Compact"/>
              <w:jc w:val="right"/>
            </w:pPr>
            <w:r>
              <w:t xml:space="preserve">1.14</w:t>
            </w:r>
            <w:r>
              <w:t xml:space="preserve">a</w:t>
            </w:r>
          </w:p>
        </w:tc>
        <w:tc>
          <w:tcPr/>
          <w:p>
            <w:pPr>
              <w:pStyle w:val="Compact"/>
              <w:jc w:val="right"/>
            </w:pPr>
            <w:r>
              <w:t xml:space="preserve">0.09</w:t>
            </w:r>
            <w:r>
              <w:t xml:space="preserve"> </w:t>
            </w:r>
            <w:r>
              <w:t xml:space="preserve">a</w:t>
            </w:r>
          </w:p>
        </w:tc>
        <w:tc>
          <w:tcPr/>
          <w:p>
            <w:pPr>
              <w:pStyle w:val="Compact"/>
              <w:jc w:val="right"/>
            </w:pPr>
            <w:r>
              <w:t xml:space="preserve">0.34</w:t>
            </w:r>
            <w:r>
              <w:t xml:space="preserve">a</w:t>
            </w:r>
          </w:p>
        </w:tc>
      </w:tr>
      <w:tr>
        <w:tc>
          <w:tcPr/>
          <w:p>
            <w:pPr>
              <w:pStyle w:val="Compact"/>
              <w:jc w:val="right"/>
            </w:pPr>
            <w:r>
              <w:t xml:space="preserve">Lion × Jowisz</w:t>
            </w:r>
          </w:p>
        </w:tc>
        <w:tc>
          <w:tcPr/>
          <w:p>
            <w:pPr>
              <w:pStyle w:val="Compact"/>
              <w:jc w:val="right"/>
            </w:pPr>
            <w:r>
              <w:t xml:space="preserve">15</w:t>
            </w:r>
          </w:p>
        </w:tc>
        <w:tc>
          <w:tcPr/>
          <w:p>
            <w:pPr>
              <w:pStyle w:val="Compact"/>
              <w:jc w:val="right"/>
            </w:pPr>
            <w:r>
              <w:t xml:space="preserve">1.05</w:t>
            </w:r>
            <w:r>
              <w:t xml:space="preserve">b</w:t>
            </w:r>
          </w:p>
        </w:tc>
        <w:tc>
          <w:tcPr/>
          <w:p>
            <w:pPr>
              <w:pStyle w:val="Compact"/>
              <w:jc w:val="right"/>
            </w:pPr>
            <w:r>
              <w:t xml:space="preserve">0.01</w:t>
            </w:r>
            <w:r>
              <w:t xml:space="preserve"> </w:t>
            </w:r>
            <w:r>
              <w:t xml:space="preserve">b</w:t>
            </w:r>
          </w:p>
        </w:tc>
        <w:tc>
          <w:tcPr/>
          <w:p>
            <w:pPr>
              <w:pStyle w:val="Compact"/>
              <w:jc w:val="right"/>
            </w:pPr>
            <w:r>
              <w:t xml:space="preserve">0.1</w:t>
            </w:r>
            <w:r>
              <w:t xml:space="preserve">b</w:t>
            </w:r>
          </w:p>
        </w:tc>
      </w:tr>
      <w:tr>
        <w:tc>
          <w:tcPr/>
          <w:p>
            <w:pPr>
              <w:pStyle w:val="Compact"/>
              <w:jc w:val="right"/>
            </w:pPr>
            <w:r>
              <w:t xml:space="preserve">Troll × Lunabor</w:t>
            </w:r>
          </w:p>
        </w:tc>
        <w:tc>
          <w:tcPr/>
          <w:p>
            <w:pPr>
              <w:pStyle w:val="Compact"/>
              <w:jc w:val="right"/>
            </w:pPr>
            <w:r>
              <w:t xml:space="preserve">17</w:t>
            </w:r>
          </w:p>
        </w:tc>
        <w:tc>
          <w:tcPr/>
          <w:p>
            <w:pPr>
              <w:pStyle w:val="Compact"/>
              <w:jc w:val="right"/>
            </w:pPr>
            <w:r>
              <w:t xml:space="preserve">1.21</w:t>
            </w:r>
            <w:r>
              <w:t xml:space="preserve">b</w:t>
            </w:r>
          </w:p>
        </w:tc>
        <w:tc>
          <w:tcPr/>
          <w:p>
            <w:pPr>
              <w:pStyle w:val="Compact"/>
              <w:jc w:val="right"/>
            </w:pPr>
            <w:r>
              <w:t xml:space="preserve">0.03</w:t>
            </w:r>
            <w:r>
              <w:t xml:space="preserve"> </w:t>
            </w:r>
            <w:r>
              <w:t xml:space="preserve">b</w:t>
            </w:r>
          </w:p>
        </w:tc>
        <w:tc>
          <w:tcPr/>
          <w:p>
            <w:pPr>
              <w:pStyle w:val="Compact"/>
              <w:jc w:val="right"/>
            </w:pPr>
            <w:r>
              <w:t xml:space="preserve">0.2</w:t>
            </w:r>
            <w:r>
              <w:t xml:space="preserve">b</w:t>
            </w:r>
          </w:p>
        </w:tc>
      </w:tr>
      <w:tr>
        <w:tc>
          <w:tcPr/>
          <w:p>
            <w:pPr>
              <w:pStyle w:val="Compact"/>
              <w:jc w:val="right"/>
            </w:pPr>
            <w:r>
              <w:t xml:space="preserve">Troll × Probor</w:t>
            </w:r>
          </w:p>
        </w:tc>
        <w:tc>
          <w:tcPr/>
          <w:p>
            <w:pPr>
              <w:pStyle w:val="Compact"/>
              <w:jc w:val="right"/>
            </w:pPr>
            <w:r>
              <w:t xml:space="preserve">27</w:t>
            </w:r>
          </w:p>
        </w:tc>
        <w:tc>
          <w:tcPr/>
          <w:p>
            <w:pPr>
              <w:pStyle w:val="Compact"/>
              <w:jc w:val="right"/>
            </w:pPr>
            <w:r>
              <w:t xml:space="preserve">1.23</w:t>
            </w:r>
            <w:r>
              <w:t xml:space="preserve">b</w:t>
            </w:r>
          </w:p>
        </w:tc>
        <w:tc>
          <w:tcPr/>
          <w:p>
            <w:pPr>
              <w:pStyle w:val="Compact"/>
              <w:jc w:val="right"/>
            </w:pPr>
            <w:r>
              <w:t xml:space="preserve">0.06</w:t>
            </w:r>
            <w:r>
              <w:t xml:space="preserve"> </w:t>
            </w:r>
            <w:r>
              <w:t xml:space="preserve">b</w:t>
            </w:r>
          </w:p>
        </w:tc>
        <w:tc>
          <w:tcPr/>
          <w:p>
            <w:pPr>
              <w:pStyle w:val="Compact"/>
              <w:jc w:val="right"/>
            </w:pPr>
            <w:r>
              <w:t xml:space="preserve">0.35</w:t>
            </w:r>
            <w:r>
              <w:t xml:space="preserve">a</w:t>
            </w:r>
          </w:p>
        </w:tc>
      </w:tr>
      <w:tr>
        <w:tc>
          <w:tcPr/>
          <w:p>
            <w:pPr>
              <w:pStyle w:val="Compact"/>
              <w:jc w:val="right"/>
            </w:pPr>
            <w:r>
              <w:t xml:space="preserve">Troll × Jowisz</w:t>
            </w:r>
          </w:p>
        </w:tc>
        <w:tc>
          <w:tcPr/>
          <w:p>
            <w:pPr>
              <w:pStyle w:val="Compact"/>
              <w:jc w:val="right"/>
            </w:pPr>
            <w:r>
              <w:t xml:space="preserve">24</w:t>
            </w:r>
          </w:p>
        </w:tc>
        <w:tc>
          <w:tcPr/>
          <w:p>
            <w:pPr>
              <w:pStyle w:val="Compact"/>
              <w:jc w:val="right"/>
            </w:pPr>
            <w:r>
              <w:t xml:space="preserve">1.03</w:t>
            </w:r>
            <w:r>
              <w:t xml:space="preserve">b</w:t>
            </w:r>
          </w:p>
        </w:tc>
        <w:tc>
          <w:tcPr/>
          <w:p>
            <w:pPr>
              <w:pStyle w:val="Compact"/>
              <w:jc w:val="right"/>
            </w:pPr>
            <w:r>
              <w:t xml:space="preserve">0.0005</w:t>
            </w:r>
            <w:r>
              <w:t xml:space="preserve">b</w:t>
            </w:r>
          </w:p>
        </w:tc>
        <w:tc>
          <w:tcPr/>
          <w:p>
            <w:pPr>
              <w:pStyle w:val="Compact"/>
              <w:jc w:val="right"/>
            </w:pPr>
            <w:r>
              <w:t xml:space="preserve">0.067</w:t>
            </w:r>
            <w:r>
              <w:t xml:space="preserve">b</w:t>
            </w:r>
          </w:p>
        </w:tc>
      </w:tr>
    </w:tbl>
    <w:bookmarkEnd w:id="42"/>
    <w:bookmarkStart w:id="51" w:name="dynamic-grain-yield-stability-1"/>
    <w:p>
      <w:pPr>
        <w:pStyle w:val="Heading3"/>
      </w:pPr>
      <w:r>
        <w:t xml:space="preserve">Dynamic grain-yield stability</w:t>
      </w:r>
    </w:p>
    <w:p>
      <w:pPr>
        <w:pStyle w:val="FirstParagraph"/>
      </w:pPr>
      <w:r>
        <w:t xml:space="preserve">The Finlay-Wilkinson regression coefficients (</w:t>
      </w:r>
      <m:oMath>
        <m:sSub>
          <m:e>
            <m:r>
              <m:t>b</m:t>
            </m:r>
          </m:e>
          <m:sub>
            <m:r>
              <m:t>1</m:t>
            </m:r>
          </m:sub>
        </m:sSub>
      </m:oMath>
      <w:r>
        <w:t xml:space="preserve">) measuring the responsiveness of the total yield to environmental impact was significantly elevated (</w:t>
      </w:r>
      <m:oMath>
        <m:sSub>
          <m:e>
            <m:r>
              <m:t>b</m:t>
            </m:r>
          </m:e>
          <m:sub>
            <m:r>
              <m:t>1</m:t>
            </m:r>
          </m:sub>
        </m:sSub>
      </m:oMath>
      <w:r>
        <w:t xml:space="preserve"> </w:t>
      </w:r>
      <w:r>
        <w:t xml:space="preserve">&gt; 1) in pure stands of fertilised Lion, and the mixed stands of Bison × Lunabor, Lion × Lunabor, Lion × Jowisz and Troll × Probor, whereas Bison × Probor and Bison × Jowisz exhibited a buffering capacity (</w:t>
      </w:r>
      <m:oMath>
        <m:sSub>
          <m:e>
            <m:r>
              <m:t>b</m:t>
            </m:r>
          </m:e>
          <m:sub>
            <m:r>
              <m:t>1</m:t>
            </m:r>
          </m:sub>
        </m:sSub>
      </m:oMath>
      <w:r>
        <w:t xml:space="preserve"> </w:t>
      </w:r>
      <w:r>
        <w:t xml:space="preserve">&lt; 1) to the environmental influence (p &lt; 0.005). All pure stands of NLLs and oats, other than fertilised Lion, and the mixed stands of Lion × Probor and Troll × Jowisz exhibited average environmental responsiveness. The Eberhart–Russell deviation variance</w:t>
      </w:r>
      <w:r>
        <w:t xml:space="preserve"> </w:t>
      </w:r>
      <m:oMath>
        <m:sSubSup>
          <m:e>
            <m:r>
              <m:t>S</m:t>
            </m:r>
          </m:e>
          <m:sub>
            <m:r>
              <m:t>d</m:t>
            </m:r>
            <m:r>
              <m:t>i</m:t>
            </m:r>
          </m:sub>
          <m:sup>
            <m:r>
              <m:t>2</m:t>
            </m:r>
          </m:sup>
        </m:sSubSup>
      </m:oMath>
      <w:r>
        <w:t xml:space="preserve"> </w:t>
      </w:r>
      <w:r>
        <w:t xml:space="preserve">was highest in pure stands of NLLs, and lowest in mixed treatments (Table 3). The pure stand of fertilised Lion and Lion × Probor both combined high responsiveness</w:t>
      </w:r>
      <w:r>
        <w:t xml:space="preserve"> </w:t>
      </w:r>
      <m:oMath>
        <m:sSub>
          <m:e>
            <m:r>
              <m:t>b</m:t>
            </m:r>
          </m:e>
          <m:sub>
            <m:r>
              <m:t>1</m:t>
            </m:r>
          </m:sub>
        </m:sSub>
      </m:oMath>
      <w:r>
        <w:t xml:space="preserve"> </w:t>
      </w:r>
      <w:r>
        <w:t xml:space="preserve">with low</w:t>
      </w:r>
      <w:r>
        <w:t xml:space="preserve"> </w:t>
      </w:r>
      <m:oMath>
        <m:sSubSup>
          <m:e>
            <m:r>
              <m:t>S</m:t>
            </m:r>
          </m:e>
          <m:sub>
            <m:r>
              <m:t>d</m:t>
            </m:r>
            <m:r>
              <m:t>i</m:t>
            </m:r>
          </m:sub>
          <m:sup>
            <m:r>
              <m:t>2</m:t>
            </m:r>
          </m:sup>
        </m:sSubSup>
      </m:oMath>
      <w:r>
        <w:t xml:space="preserve"> </w:t>
      </w:r>
      <w:r>
        <w:t xml:space="preserve">dispersion, indicating that both treatments reliably and consistently respond to their environmental conditions.</w:t>
      </w:r>
    </w:p>
    <w:p>
      <w:pPr>
        <w:pStyle w:val="BodyText"/>
      </w:pPr>
      <w:r>
        <w:t xml:space="preserve">The AMMI model unveiled two groups according to the WAAS-scores: the sensitivity to environmental conditions of pure unfertilised oat stands was higher than that of mixed stands (Figure 2, Table 3), further the AMMI-Model unveiled significant location and treatment effects but no interaction thereof (Supplemental materials - Table S4). The WAAS-scores indicated the mixture’s higher stabilities across all environment-years, due to their weaker sensitivity to the location effect. The WAAS scores also indicated a tendency towards greater stability in fertilised pure oat stands than in unfertilised pure oat stands, although this difference was not statistically significant. Across the assessed interaction principal components axes (IPCAs), IPCA1 distinguished between the two groups of locations Novi Sad and Gross Lüsewitz (negative loadings) versus Bad Vilbel, Reckenholz and Seegräben (positive loadings) (Figure 3). Additionally, IPCA1 clearly distinguished the pure stands of NLLs (positive loadings) from the oats (negative loadings). By contrast, IPCA2 distinguished the fertilised pure stands of oats (negative loadings) from the unfertilised pure stands of oats. With regards to the factor loading of IPC1 and IPC2, the two mixtures Lion × Jowisz and Troll × Jowisz plotted closest to the origin (0,0). These two treatments interacted least with the locations along IPCA1 and IPCA2, and were thus exhibiting a more stable performance across all five locations than treatments positioned at higher Euclidean distance to the origin (Supplemental materials - Table S4).</w:t>
      </w:r>
    </w:p>
    <w:tbl>
      <w:tblPr>
        <w:tblStyle w:val="Table"/>
        <w:tblW w:type="pct" w:w="5000"/>
        <w:tblLayout w:type="fixed"/>
        <w:tblLook w:firstRow="0" w:lastRow="0" w:firstColumn="0" w:lastColumn="0" w:noHBand="0" w:noVBand="0" w:val="0000"/>
      </w:tblPr>
      <w:tblGrid>
        <w:gridCol w:w="7920"/>
      </w:tblGrid>
      <w:tr>
        <w:tc>
          <w:tcPr/>
          <w:bookmarkStart w:id="46" w:name="fig-des"/>
          <w:p>
            <w:pPr>
              <w:pStyle w:val="Compact"/>
              <w:jc w:val="center"/>
            </w:pPr>
            <w:r>
              <w:drawing>
                <wp:inline>
                  <wp:extent cx="5334000" cy="4445000"/>
                  <wp:effectExtent b="0" l="0" r="0" t="0"/>
                  <wp:docPr descr="" title="" id="44" name="Picture"/>
                  <a:graphic>
                    <a:graphicData uri="http://schemas.openxmlformats.org/drawingml/2006/picture">
                      <pic:pic>
                        <pic:nvPicPr>
                          <pic:cNvPr descr="./writing/pictures/yieldxwaas.png" id="45" name="Picture"/>
                          <pic:cNvPicPr>
                            <a:picLocks noChangeArrowheads="1" noChangeAspect="1"/>
                          </pic:cNvPicPr>
                        </pic:nvPicPr>
                        <pic:blipFill>
                          <a:blip r:embed="rId43"/>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Mean total yield plotted against WAAS, an index of environmental sensitivity, for pure and mixed stands across 2022–2024 (2022–2023 for the Swiss sites). Treatments in the upper left quadrant combine high yield with low sensitivity, whereas points further to the right indicate lower grain-yield stability. Dashed lines mark the median values of both axes.</w:t>
            </w:r>
          </w:p>
          <w:bookmarkEnd w:id="4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fig-des"/>
          <w:p>
            <w:pPr>
              <w:pStyle w:val="Compact"/>
              <w:jc w:val="center"/>
            </w:pPr>
            <w:r>
              <w:drawing>
                <wp:inline>
                  <wp:extent cx="5334000" cy="4445000"/>
                  <wp:effectExtent b="0" l="0" r="0" t="0"/>
                  <wp:docPr descr="" title="" id="48" name="Picture"/>
                  <a:graphic>
                    <a:graphicData uri="http://schemas.openxmlformats.org/drawingml/2006/picture">
                      <pic:pic>
                        <pic:nvPicPr>
                          <pic:cNvPr descr="./writing/pictures/ammibiplot.png" id="49" name="Picture"/>
                          <pic:cNvPicPr>
                            <a:picLocks noChangeArrowheads="1" noChangeAspect="1"/>
                          </pic:cNvPicPr>
                        </pic:nvPicPr>
                        <pic:blipFill>
                          <a:blip r:embed="rId47"/>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additive main effects and multiplicative interaction (AMMI) biplot of the treatment (circles) and location (triangles) scores on the first two interaction principal component axes for total grain yield in pure and mixed stands. The closer a treatment is positioned to the origin (x,y = 0, 0), the higher was its grain-yield stability. The following location acronyms were used: Gross - Gross Lüsewitz (2022 - 2024), Novi- Novi Sad (2022 - 2024), Vilbel - Bad Vilbel (2022 - 2024), Re - Reckenholz (2022 - 2023) and Seegr - Seegräben (2022 - 2023).</w:t>
            </w:r>
          </w:p>
          <w:bookmarkEnd w:id="50"/>
        </w:tc>
      </w:tr>
    </w:tbl>
    <w:bookmarkEnd w:id="51"/>
    <w:bookmarkEnd w:id="52"/>
    <w:bookmarkEnd w:id="53"/>
    <w:bookmarkStart w:id="54" w:name="discussion"/>
    <w:p>
      <w:pPr>
        <w:pStyle w:val="Heading1"/>
      </w:pPr>
      <w:r>
        <w:t xml:space="preserve">Discussion</w:t>
      </w:r>
    </w:p>
    <w:p>
      <w:pPr>
        <w:pStyle w:val="FirstParagraph"/>
      </w:pPr>
      <w:r>
        <w:t xml:space="preserve">The multi‑environment evaluation of NLL × oat mixed cropping demonstrated that total NLL grain yield was maintained across five European locations, while several metrics showed an improved temporal and spatial grain-yield stability relative to the pure stands. The yields recorded in the present study were broadly within the range reported for other European pulse × cereal mixed-cropping systems, although direct comparisons should be interpreted with caution because the species combinations, environments, and management conditions differed between studies. For oat-based intercrops, mean yields of around 3.1 t·ha</w:t>
      </w:r>
      <w:r>
        <w:rPr>
          <w:vertAlign w:val="superscript"/>
        </w:rPr>
        <w:t xml:space="preserve">-1</w:t>
      </w:r>
      <w:r>
        <w:t xml:space="preserve"> </w:t>
      </w:r>
      <w:r>
        <w:t xml:space="preserve">have been reported for oat-vetch systems in Germany and Sweden and for oat-pea systems in Germany, which is comparable to the yield range observed at Reckenholz and Seegräben in the present study</w:t>
      </w:r>
      <w:r>
        <w:t xml:space="preserve"> </w:t>
      </w:r>
      <w:r>
        <w:t xml:space="preserve">(Engbersen et al., 2021; Munz et al., 2025)</w:t>
      </w:r>
      <w:r>
        <w:t xml:space="preserve">. By contrast, the remaining locations showed lower total yields across both pure and mixed stands, consistent with the yield levels reported by</w:t>
      </w:r>
      <w:r>
        <w:t xml:space="preserve"> </w:t>
      </w:r>
      <w:r>
        <w:t xml:space="preserve">Wang et al. (2012)</w:t>
      </w:r>
      <w:r>
        <w:t xml:space="preserve"> </w:t>
      </w:r>
      <w:r>
        <w:t xml:space="preserve">for lentil-oat intercrops under temperate European conditions. Because these lower yields occurred consistently across all pure and mixed treatments within the respective locations, they are more plausibly attributed to environmental than to varietal effects, in line with</w:t>
      </w:r>
      <w:r>
        <w:t xml:space="preserve"> </w:t>
      </w:r>
      <w:r>
        <w:t xml:space="preserve">Brooker et al. (2024)</w:t>
      </w:r>
      <w:r>
        <w:t xml:space="preserve"> </w:t>
      </w:r>
      <w:r>
        <w:t xml:space="preserve">showing that intercrop performance remained strongly modulated by rainfall and crop management. Overall, the yield levels observed in the present study are in good agreement with the broader European synthesis by</w:t>
      </w:r>
      <w:r>
        <w:t xml:space="preserve"> </w:t>
      </w:r>
      <w:r>
        <w:t xml:space="preserve">Bedoussac et al. (2015)</w:t>
      </w:r>
      <w:r>
        <w:t xml:space="preserve">, who reported a mean intercrop grain yield of 3.3 t·ha</w:t>
      </w:r>
      <w:r>
        <w:rPr>
          <w:vertAlign w:val="superscript"/>
        </w:rPr>
        <w:t xml:space="preserve">-1</w:t>
      </w:r>
      <w:r>
        <w:t xml:space="preserve"> </w:t>
      </w:r>
      <w:r>
        <w:t xml:space="preserve">across 58 pulse × cereal mixtures.</w:t>
      </w:r>
    </w:p>
    <w:p>
      <w:pPr>
        <w:pStyle w:val="BodyText"/>
      </w:pPr>
      <w:r>
        <w:t xml:space="preserve">The productivity indices allow for a clear distinction between land use efficiency and crop performance: The LER did not differ significantly from unity, but this should not be interpreted as an absence of mixed-cropping benefit. Rather, it indicates that, on a land-area basis, the mixtures on average matched the reference pure stands, while the component responses within the mixtures were asymmetric: This asymmetry was captured by the CPR: oat CPR and total CPR were consistently above unity, whereas the CPR of the NLL remained unchanged, showing that the oat crop captured additional resources without depressing the NLL performance. This interpretation is consistent with</w:t>
      </w:r>
      <w:r>
        <w:t xml:space="preserve"> </w:t>
      </w:r>
      <w:r>
        <w:t xml:space="preserve">Zustovi et al. (2024)</w:t>
      </w:r>
      <w:r>
        <w:t xml:space="preserve">, who showed that mixed cropping indices evaluate different facets of performance and respond differently to crop ratio and total sowing density. Accordingly, in a pulse-centric replacement design such as the present one, the CPR, an indicator accounting for sowing proportion, is more sensitive than the LER to gains of the minority component.</w:t>
      </w:r>
    </w:p>
    <w:p>
      <w:pPr>
        <w:pStyle w:val="BodyText"/>
      </w:pPr>
      <w:r>
        <w:t xml:space="preserve">In the present study, yield maintenance was achieved through a flexible contribution of the two partners rather than through a fixed proportion: the NLL proportion in mixture ranged from 24% in Reckenholz to 62% in Bad Vilbel. Similar shifts in pulse × cereal contribution as a function of weather and location conditions have been reported for oat-vetch mixtures, underlining that the agronomic value of intercropping lies in partner compensation across environments rather than in a constant botanical composition</w:t>
      </w:r>
      <w:r>
        <w:t xml:space="preserve"> </w:t>
      </w:r>
      <w:r>
        <w:t xml:space="preserve">(Bedoussac et al., 2015; Brooker et al., 2024; Pużyńska et al., 2021)</w:t>
      </w:r>
      <w:r>
        <w:t xml:space="preserve">. This beneficial effect of mixed cropping in stabilising the grain yield can be explained by niche c@omplementarity and mutual yield buffering; the NLL and oat captured resources not used by the companion crop, thus increasing resource use efficiency, as supported by recent theoretical work that niche complementarity underlies mixture advantages</w:t>
      </w:r>
      <w:r>
        <w:t xml:space="preserve"> </w:t>
      </w:r>
      <w:r>
        <w:t xml:space="preserve">(Demie et al., 2022; Hauggaard-Nielsen et al., 2001; Jensen, 1996)</w:t>
      </w:r>
      <w:r>
        <w:t xml:space="preserve">. Additionally, in the pulse-centric NLL × oat mixed cropping system, a strong buffering capacity has been reported, where the respective yields of NLL and oat are correlated negatively, thus jointly buffering yield fluctuations compared to pure stands</w:t>
      </w:r>
      <w:r>
        <w:t xml:space="preserve"> </w:t>
      </w:r>
      <w:r>
        <w:t xml:space="preserve">(Schlup et al., 2026)</w:t>
      </w:r>
      <w:r>
        <w:t xml:space="preserve">. This pronounced niche complementarity effect in oat, as reflected by its elevated CPR, coupled to the yield buffering of both species thus explains the improved grain-yield stability of the mixtures across all environment-years and their lower response to environmental stress or stimuli.</w:t>
      </w:r>
    </w:p>
    <w:p>
      <w:pPr>
        <w:pStyle w:val="BodyText"/>
      </w:pPr>
      <w:r>
        <w:t xml:space="preserve">Using either fertilised or unfertilised oat pure stands as the reference for LER led to the same conclusion: LER did not differ between baselines. This insensitivity to the fertiliser regime is reflected by substantial spatiotemporal variance in yield across all environment-years and the low sowing proportion of oat in the mixtures, which diminishes the weight of the oat component in the summed LER, thus limiting statistical power. Different mixed cropping indices respond differently to crop ratio and total sowing density</w:t>
      </w:r>
      <w:r>
        <w:t xml:space="preserve"> </w:t>
      </w:r>
      <w:r>
        <w:t xml:space="preserve">(Zustovi et al., 2024)</w:t>
      </w:r>
      <w:r>
        <w:t xml:space="preserve">, eplicitly LER did not elucidate a fertiliser effect, whereas the CPR did: Both the total CPR and oat‑specific CPR were higher when mixtures were benchmarked against unfertilised oat stands, rather than fertilised oat stands, revealing a fertiliser‑mediated gain in the performance of pure oat stands. Because CPR explicitly scales yields by the sowing proportion of each species, it provides a proportion‑corrected measure and is therefore more sensitive to management effects under imbalanced mixtures than the LER. These findings are consistent with the prior report of</w:t>
      </w:r>
      <w:r>
        <w:t xml:space="preserve"> </w:t>
      </w:r>
      <w:r>
        <w:t xml:space="preserve">Baxevanos et al. (2020)</w:t>
      </w:r>
      <w:r>
        <w:t xml:space="preserve"> </w:t>
      </w:r>
      <w:r>
        <w:t xml:space="preserve">that using unfertilised pure stands as references can yield larger estimates of mixed cropping advantage than using fertilised references.</w:t>
      </w:r>
    </w:p>
    <w:p>
      <w:pPr>
        <w:pStyle w:val="BodyText"/>
      </w:pPr>
      <w:r>
        <w:t xml:space="preserve">While the static metric (CV) did not detect significant differences in grain‑yield stability, the two dynamic approaches, the Finlay-Wilkinson slope (</w:t>
      </w:r>
      <m:oMath>
        <m:sSub>
          <m:e>
            <m:r>
              <m:t>b</m:t>
            </m:r>
          </m:e>
          <m:sub>
            <m:r>
              <m:t>1</m:t>
            </m:r>
          </m:sub>
        </m:sSub>
      </m:oMath>
      <w:r>
        <w:t xml:space="preserve">) and the WAAS, revealed clear contrasts among treatments. In pure stands, fertilised oat Lion combined an above‑average responsiveness to environments (slope</w:t>
      </w:r>
      <w:r>
        <w:t xml:space="preserve"> </w:t>
      </w:r>
      <m:oMath>
        <m:sSub>
          <m:e>
            <m:r>
              <m:t>b</m:t>
            </m:r>
          </m:e>
          <m:sub>
            <m:r>
              <m:t>1</m:t>
            </m:r>
          </m:sub>
        </m:sSub>
        <m:r>
          <m:rPr>
            <m:sty m:val="p"/>
          </m:rPr>
          <m:t>&gt;</m:t>
        </m:r>
        <m:r>
          <m:t>1</m:t>
        </m:r>
      </m:oMath>
      <w:r>
        <w:t xml:space="preserve">) with low dispersion around the regression, indicating a predictable response in both favourable and unfavourable conditions. Fertilisation enhanced the stability of oats in pure stands: in the present study, fertilised Lion and Troll showed significantly higher grain-yield stability (smaller WAAS-scores) than their unfertilised counterparts, consistent with the findings of Silva et al. (2016). Most mixed stands exhibited elevated responsiveness to the environmental conditions (</w:t>
      </w:r>
      <m:oMath>
        <m:sSub>
          <m:e>
            <m:r>
              <m:t>b</m:t>
            </m:r>
          </m:e>
          <m:sub>
            <m:r>
              <m:t>1</m:t>
            </m:r>
          </m:sub>
        </m:sSub>
        <m:r>
          <m:rPr>
            <m:sty m:val="p"/>
          </m:rPr>
          <m:t>&gt;</m:t>
        </m:r>
        <m:r>
          <m:t>1</m:t>
        </m:r>
      </m:oMath>
      <w:r>
        <w:t xml:space="preserve">), while the most stable mixed treatments exhibited average responsiveness (</w:t>
      </w:r>
      <m:oMath>
        <m:sSub>
          <m:e>
            <m:r>
              <m:t>b</m:t>
            </m:r>
          </m:e>
          <m:sub>
            <m:r>
              <m:t>1</m:t>
            </m:r>
          </m:sub>
        </m:sSub>
        <m:r>
          <m:rPr>
            <m:sty m:val="p"/>
          </m:rPr>
          <m:t>≈</m:t>
        </m:r>
        <m:r>
          <m:t>1</m:t>
        </m:r>
      </m:oMath>
      <w:r>
        <w:t xml:space="preserve">), coupled to low sensitivity to the environmental conditions WAAS. Such stability in pulse × cereal mixtures is commonly attributed to differential species responses and complementarity that buffer environmental variation and reduce</w:t>
      </w:r>
      <w:r>
        <w:t xml:space="preserve"> </w:t>
      </w:r>
      <m:oMath>
        <m:r>
          <m:t>G</m:t>
        </m:r>
        <m:r>
          <m:rPr>
            <m:sty m:val="p"/>
          </m:rPr>
          <m:t>×</m:t>
        </m:r>
        <m:r>
          <m:t>E</m:t>
        </m:r>
      </m:oMath>
      <w:r>
        <w:t xml:space="preserve"> </w:t>
      </w:r>
      <w:r>
        <w:t xml:space="preserve">interaction, resulting in more stable yield amongst selected combination</w:t>
      </w:r>
      <w:r>
        <w:t xml:space="preserve"> </w:t>
      </w:r>
      <w:r>
        <w:t xml:space="preserve">(Raseduzzaman and Jensen, 2017)</w:t>
      </w:r>
      <w:r>
        <w:t xml:space="preserve">. Across all varieties, the LER remained consistently at its reference level of one, while the oat and total CPR values were consistently above one, highlighting a global mixed-cropping effect of said metrics, which is agnostic to variety-pairing. This reinforces the evidence that the overall mixed-cropping effect outweighs cultivar-specific effects, as reported for barley-pea mixtures and for maize in maize-cowpea mixtures</w:t>
      </w:r>
      <w:r>
        <w:t xml:space="preserve"> </w:t>
      </w:r>
      <w:r>
        <w:t xml:space="preserve">(Hauggaard-Nielsen and Jensen, 2001; Watiki et al., 1993)</w:t>
      </w:r>
      <w:r>
        <w:t xml:space="preserve">. The pattern of varying grain-yield stability gains across the investigated mixtures demonstrates that elevated grain-yield stability was not only a mixed-cropping effect, but was also depended on the specific pairing of NLL and oat varieties. Comparable variety-specific differences have been reported in other pulse × cereal mixed crops, where mixture performance varied with the complementarity of the respective partners and their response to resource availability</w:t>
      </w:r>
      <w:r>
        <w:t xml:space="preserve"> </w:t>
      </w:r>
      <w:r>
        <w:t xml:space="preserve">(Weih et al., 2021)</w:t>
      </w:r>
      <w:r>
        <w:t xml:space="preserve">. Mechanistic work in oat-NLL mixtures further suggests that such variability arises from differences in temporal matching of crop traits, including early vigour, competitive ability, and the timing of resource capture</w:t>
      </w:r>
      <w:r>
        <w:t xml:space="preserve"> </w:t>
      </w:r>
      <w:r>
        <w:t xml:space="preserve">(Engbersen et al., 2021)</w:t>
      </w:r>
      <w:r>
        <w:t xml:space="preserve">. Acknowledging the general mixed-cropping advantage in grain-yield stability and in parallell focussing on variety-specific interactions and benefits is thus the best way forward to optimise grain-yield stability in pulse-cereal production.</w:t>
      </w:r>
    </w:p>
    <w:p>
      <w:pPr>
        <w:pStyle w:val="BodyText"/>
      </w:pPr>
      <w:r>
        <w:t xml:space="preserve">The increased dynamic grain-yield stability observed for mixed cropping in this study extends the findings of</w:t>
      </w:r>
      <w:r>
        <w:t xml:space="preserve"> </w:t>
      </w:r>
      <w:r>
        <w:t xml:space="preserve">Weih et al. (2021)</w:t>
      </w:r>
      <w:r>
        <w:t xml:space="preserve"> </w:t>
      </w:r>
      <w:r>
        <w:t xml:space="preserve">by showing that under a pulse-centric replacement design (NLL × oat), mixture stability did not only match but surpassed the pure‑crop benchmarks on dynamic grain-yield stability. Furthermore, this pattern re-affirms the findings by</w:t>
      </w:r>
      <w:r>
        <w:t xml:space="preserve"> </w:t>
      </w:r>
      <w:r>
        <w:t xml:space="preserve">Raseduzzaman and Jensen (2017)</w:t>
      </w:r>
      <w:r>
        <w:t xml:space="preserve">, that replacement-designed mixed crops of cereals and pulses elevate the grain-yield stability across environments. Notably, the mixtures Bison × Probor and Troll × Jowisz, emerged as the most stable, even though neither of their corresponding pure stands ranked among the most stable, underscoring that stability must be assessed at the mixture level rather than inferred from respective pure stands. By quantifying stability with complementary dynamic metrics (Finlay–Wilkinson slope,</w:t>
      </w:r>
      <w:r>
        <w:t xml:space="preserve"> </w:t>
      </w:r>
      <m:oMath>
        <m:sSub>
          <m:e>
            <m:r>
              <m:t>b</m:t>
            </m:r>
          </m:e>
          <m:sub>
            <m:r>
              <m:t>1</m:t>
            </m:r>
          </m:sub>
        </m:sSub>
      </m:oMath>
      <w:r>
        <w:t xml:space="preserve">, and WAAS), the results of this study show that the stability advantage of mixtures is not confined to balanced designs; it also holds true under replacement designs that emphasise the NLL component.</w:t>
      </w:r>
    </w:p>
    <w:bookmarkEnd w:id="54"/>
    <w:bookmarkStart w:id="55" w:name="conclusion"/>
    <w:p>
      <w:pPr>
        <w:pStyle w:val="Heading1"/>
      </w:pPr>
      <w:r>
        <w:t xml:space="preserve">Conclusion</w:t>
      </w:r>
    </w:p>
    <w:p>
      <w:pPr>
        <w:pStyle w:val="FirstParagraph"/>
      </w:pPr>
      <w:r>
        <w:t xml:space="preserve">This study focusses on the grain-yield performance and stability of pulse × cereal mixed cropping compared with pure stands between different locations and years. The patterns observed in the present study demonstrate that optimal variety mixtures improve grain-yield stability of both NLL and oat while maintaining crop performance and land use, opening opportunities for tailoring mixtures to agri-environmental risk profiles. Moreover, the robust yield-stability advantage of mixtures across environment-years, which differed six‑fold in seasonal precipitation, suggests that mixed cropping can effectively buffer against increasing climate variability, aligning with policy aims to increase the production of plant-based proteins. Hence, strategic variety pairing within mixed cropping emerges as an expedient lever to combine high crop yield and maintain land use performance while improving the production’s resilience. These findings strengthen the evidence base for incorporating cereals into pulse-centric cropping strategies to enhance resilience under climate uncertainty and mitigate the pulses’ yield instability. Future studies should address additional aspects of mixed cropping, such as economic viability as well as processing and quality of harvested grains.</w:t>
      </w:r>
    </w:p>
    <w:bookmarkEnd w:id="55"/>
    <w:bookmarkStart w:id="56" w:name="credit-authorship-contribution-statement"/>
    <w:p>
      <w:pPr>
        <w:pStyle w:val="Heading1"/>
      </w:pPr>
      <w:r>
        <w:t xml:space="preserve">CRediT authorship contribution statement</w:t>
      </w:r>
    </w:p>
    <w:p>
      <w:pPr>
        <w:pStyle w:val="FirstParagraph"/>
      </w:pPr>
      <w:r>
        <w:rPr>
          <w:b/>
          <w:bCs/>
        </w:rPr>
        <w:t xml:space="preserve">Schlup Yannik</w:t>
      </w:r>
      <w:r>
        <w:t xml:space="preserve">: Conceptualisation, investigation, data assembly, statistical analysis, methodology, project administration, resources, software, visualisation, writing, editing.</w:t>
      </w:r>
      <w:r>
        <w:t xml:space="preserve"> </w:t>
      </w:r>
      <w:r>
        <w:rPr>
          <w:b/>
          <w:bCs/>
        </w:rPr>
        <w:t xml:space="preserve">Andrea Gallehr, Kathrin Neubeck, Matthias Heinrich Herrmann, Radivoje Jevtić, Selma Schurack, Vesna Župunski</w:t>
      </w:r>
      <w:r>
        <w:t xml:space="preserve">: Conceptualisation, investigation, data assembly, project administration, resources, review and editing.</w:t>
      </w:r>
      <w:r>
        <w:t xml:space="preserve"> </w:t>
      </w:r>
      <w:r>
        <w:rPr>
          <w:b/>
          <w:bCs/>
        </w:rPr>
        <w:t xml:space="preserve">Lukas Graz</w:t>
      </w:r>
      <w:r>
        <w:t xml:space="preserve">: Statistical analysis, software, visualisation, review.</w:t>
      </w:r>
      <w:r>
        <w:t xml:space="preserve"> </w:t>
      </w:r>
      <w:r>
        <w:rPr>
          <w:b/>
          <w:bCs/>
        </w:rPr>
        <w:t xml:space="preserve">Johan Six</w:t>
      </w:r>
      <w:r>
        <w:t xml:space="preserve">: Review and editing.</w:t>
      </w:r>
      <w:r>
        <w:t xml:space="preserve"> </w:t>
      </w:r>
      <w:r>
        <w:rPr>
          <w:b/>
          <w:bCs/>
        </w:rPr>
        <w:t xml:space="preserve">Susanne Vogelgsang</w:t>
      </w:r>
      <w:r>
        <w:t xml:space="preserve">: Conceptualisation, funding acquisition, methodology, project administration, resources, review and editing.</w:t>
      </w:r>
    </w:p>
    <w:bookmarkEnd w:id="56"/>
    <w:bookmarkStart w:id="57" w:name="funding"/>
    <w:p>
      <w:pPr>
        <w:pStyle w:val="Heading1"/>
      </w:pPr>
      <w:r>
        <w:t xml:space="preserve">Funding</w:t>
      </w:r>
    </w:p>
    <w:p>
      <w:pPr>
        <w:pStyle w:val="FirstParagraph"/>
      </w:pPr>
      <w:r>
        <w:t xml:space="preserve">This project was carried out within the Horizon 2020 funded project CROPDIVA (ID: 101000847). We gratefully acknowledge the financial support that made this study possible.</w:t>
      </w:r>
    </w:p>
    <w:bookmarkEnd w:id="57"/>
    <w:bookmarkStart w:id="58" w:name="declaration-of-competing-interest"/>
    <w:p>
      <w:pPr>
        <w:pStyle w:val="Heading1"/>
      </w:pPr>
      <w:r>
        <w:t xml:space="preserve">Declaration of competing interest</w:t>
      </w:r>
    </w:p>
    <w:p>
      <w:pPr>
        <w:pStyle w:val="FirstParagraph"/>
      </w:pPr>
      <w:r>
        <w:t xml:space="preserve">The authors declare that they have no known personal relationships or competing financial interests that could have influenced the work reported in this paper.</w:t>
      </w:r>
    </w:p>
    <w:bookmarkEnd w:id="58"/>
    <w:bookmarkStart w:id="59" w:name="X73a91a3583c6b93876b199599d82a417fae8d08"/>
    <w:p>
      <w:pPr>
        <w:pStyle w:val="Heading1"/>
      </w:pPr>
      <w:r>
        <w:t xml:space="preserve">Declaration of generative AI and AI-assisted technologies in the writing process.</w:t>
      </w:r>
    </w:p>
    <w:p>
      <w:pPr>
        <w:pStyle w:val="FirstParagraph"/>
      </w:pPr>
      <w:r>
        <w:t xml:space="preserve">During the preparation of this work the authors used GPT-4 (OpenAI, California, USA) to improve the structure and efficiency of the code to produce figures and GPT-o3pro (OpenAI, California, USA) in support of writing the abstract, introduction and discussion. After using this tool/service, the authors reviewed and edited the content as needed and take full responsibility for the created content.</w:t>
      </w:r>
    </w:p>
    <w:bookmarkEnd w:id="59"/>
    <w:bookmarkStart w:id="60" w:name="data-and-analytical-code"/>
    <w:p>
      <w:pPr>
        <w:pStyle w:val="Heading1"/>
      </w:pPr>
      <w:r>
        <w:t xml:space="preserve">Data and analytical code</w:t>
      </w:r>
    </w:p>
    <w:p>
      <w:pPr>
        <w:pStyle w:val="FirstParagraph"/>
      </w:pPr>
      <w:r>
        <w:t xml:space="preserve">The data and code supporting the findings of this study are available at the project’s GitHub repository (https://github.com/incorey/lupin-oat-grain-yield-stability) and are permanently archived on Zenodo under DOI https://doi.org/10.5281/zenodo.XXXXXXX; all materials are released under the MIT License.</w:t>
      </w:r>
    </w:p>
    <w:bookmarkEnd w:id="60"/>
    <w:bookmarkStart w:id="61" w:name="acknowledgments"/>
    <w:p>
      <w:pPr>
        <w:pStyle w:val="Heading1"/>
      </w:pPr>
      <w:r>
        <w:t xml:space="preserve">Acknowledgments</w:t>
      </w:r>
    </w:p>
    <w:p>
      <w:pPr>
        <w:pStyle w:val="FirstParagraph"/>
      </w:pPr>
      <w:r>
        <w:t xml:space="preserve">We gratefully acknowledge the field technicians for their invaluable expertise in the cultivation of NLLs and oats as well as the interns and MSc students for their assistance in the field and laboratory work.</w:t>
      </w:r>
    </w:p>
    <w:bookmarkEnd w:id="61"/>
    <w:bookmarkStart w:id="66" w:name="supplemental-materials"/>
    <w:p>
      <w:pPr>
        <w:pStyle w:val="Heading1"/>
      </w:pPr>
      <w:r>
        <w:t xml:space="preserve">Supplemental materials</w:t>
      </w:r>
    </w:p>
    <w:p>
      <w:pPr>
        <w:pStyle w:val="FirstParagraph"/>
      </w:pPr>
      <w:r>
        <w:t xml:space="preserve">Formula 1 - Eberhard-Russell regression for plot-level data</w:t>
      </w:r>
    </w:p>
    <w:p>
      <w:pPr>
        <w:pStyle w:val="BodyText"/>
      </w:pPr>
      <m:oMathPara>
        <m:oMathParaPr>
          <m:jc m:val="center"/>
        </m:oMathParaPr>
        <m:oMath>
          <m:sSub>
            <m:e>
              <m:r>
                <m:t>Y</m:t>
              </m:r>
            </m:e>
            <m:sub>
              <m:r>
                <m:t>i</m:t>
              </m:r>
              <m:r>
                <m:t>j</m:t>
              </m:r>
            </m:sub>
          </m:sSub>
          <m:r>
            <m:rPr>
              <m:sty m:val="p"/>
            </m:rPr>
            <m:t>=</m:t>
          </m:r>
          <m:sSub>
            <m:e>
              <m:r>
                <m:t>μ</m:t>
              </m:r>
            </m:e>
            <m:sub>
              <m:r>
                <m:t>i</m:t>
              </m:r>
            </m:sub>
          </m:sSub>
          <m:r>
            <m:rPr>
              <m:sty m:val="p"/>
            </m:rPr>
            <m:t>+</m:t>
          </m:r>
          <m:sSub>
            <m:e>
              <m:r>
                <m:t>b</m:t>
              </m:r>
            </m:e>
            <m:sub>
              <m:r>
                <m:t>1</m:t>
              </m:r>
            </m:sub>
          </m:sSub>
          <m:r>
            <m:t>i</m:t>
          </m:r>
          <m:r>
            <m:t> </m:t>
          </m:r>
          <m:sSub>
            <m:e>
              <m:r>
                <m:t>I</m:t>
              </m:r>
            </m:e>
            <m:sub>
              <m:r>
                <m:t>j</m:t>
              </m:r>
            </m:sub>
          </m:sSub>
          <m:r>
            <m:rPr>
              <m:sty m:val="p"/>
            </m:rPr>
            <m:t>+</m:t>
          </m:r>
          <m:sSub>
            <m:e>
              <m:r>
                <m:t>δ</m:t>
              </m:r>
            </m:e>
            <m:sub>
              <m:r>
                <m:t>i</m:t>
              </m:r>
              <m:r>
                <m:t>j</m:t>
              </m:r>
            </m:sub>
          </m:sSub>
          <m:r>
            <m:rPr>
              <m:sty m:val="p"/>
            </m:rPr>
            <m:t>+</m:t>
          </m:r>
          <m:sSub>
            <m:e>
              <m:r>
                <m:t>ε</m:t>
              </m:r>
            </m:e>
            <m:sub>
              <m:r>
                <m:t>i</m:t>
              </m:r>
              <m:r>
                <m:t>j</m:t>
              </m:r>
            </m:sub>
          </m:sSub>
        </m:oMath>
      </m:oMathPara>
    </w:p>
    <w:p>
      <w:pPr>
        <w:pStyle w:val="FirstParagraph"/>
      </w:pPr>
      <w:r>
        <w:t xml:space="preserve">Where:</w:t>
      </w:r>
    </w:p>
    <w:p>
      <w:pPr>
        <w:pStyle w:val="BodyText"/>
      </w:pPr>
      <m:oMath>
        <m:sSub>
          <m:e>
            <m:r>
              <m:t>Y</m:t>
            </m:r>
          </m:e>
          <m:sub>
            <m:r>
              <m:t>i</m:t>
            </m:r>
            <m:r>
              <m:t>j</m:t>
            </m:r>
          </m:sub>
        </m:sSub>
      </m:oMath>
      <w:r>
        <w:t xml:space="preserve"> </w:t>
      </w:r>
      <w:r>
        <w:t xml:space="preserve">is the observed yield of the</w:t>
      </w:r>
      <w:r>
        <w:t xml:space="preserve"> </w:t>
      </w:r>
      <m:oMath>
        <m:sSup>
          <m:e>
            <m:r>
              <m:t>i</m:t>
            </m:r>
          </m:e>
          <m:sup>
            <m:r>
              <m:t>t</m:t>
            </m:r>
            <m:r>
              <m:t>h</m:t>
            </m:r>
          </m:sup>
        </m:sSup>
      </m:oMath>
      <w:r>
        <w:t xml:space="preserve"> </w:t>
      </w:r>
      <w:r>
        <w:t xml:space="preserve">treatment in the</w:t>
      </w:r>
      <w:r>
        <w:t xml:space="preserve"> </w:t>
      </w:r>
      <m:oMath>
        <m:sSup>
          <m:e>
            <m:r>
              <m:t>j</m:t>
            </m:r>
          </m:e>
          <m:sup>
            <m:r>
              <m:t>t</m:t>
            </m:r>
            <m:r>
              <m:t>h</m:t>
            </m:r>
          </m:sup>
        </m:sSup>
      </m:oMath>
      <w:r>
        <w:t xml:space="preserve"> </w:t>
      </w:r>
      <w:r>
        <w:t xml:space="preserve">environment,</w:t>
      </w:r>
    </w:p>
    <w:p>
      <w:pPr>
        <w:pStyle w:val="BodyText"/>
      </w:pPr>
      <m:oMath>
        <m:sSub>
          <m:e>
            <m:r>
              <m:t>μ</m:t>
            </m:r>
          </m:e>
          <m:sub>
            <m:r>
              <m:t>i</m:t>
            </m:r>
          </m:sub>
        </m:sSub>
      </m:oMath>
      <w:r>
        <w:t xml:space="preserve"> </w:t>
      </w:r>
      <w:r>
        <w:t xml:space="preserve">is the mean yield of the</w:t>
      </w:r>
      <w:r>
        <w:t xml:space="preserve"> </w:t>
      </w:r>
      <m:oMath>
        <m:sSup>
          <m:e>
            <m:r>
              <m:t>i</m:t>
            </m:r>
          </m:e>
          <m:sup>
            <m:r>
              <m:t>t</m:t>
            </m:r>
            <m:r>
              <m:t>h</m:t>
            </m:r>
          </m:sup>
        </m:sSup>
      </m:oMath>
      <w:r>
        <w:t xml:space="preserve"> </w:t>
      </w:r>
      <w:r>
        <w:t xml:space="preserve">treatment across all environments,</w:t>
      </w:r>
    </w:p>
    <w:p>
      <w:pPr>
        <w:pStyle w:val="BodyText"/>
      </w:pPr>
      <m:oMath>
        <m:sSub>
          <m:e>
            <m:r>
              <m:t>b</m:t>
            </m:r>
          </m:e>
          <m:sub>
            <m:r>
              <m:t>1</m:t>
            </m:r>
            <m:r>
              <m:t>i</m:t>
            </m:r>
          </m:sub>
        </m:sSub>
      </m:oMath>
      <w:r>
        <w:t xml:space="preserve"> </w:t>
      </w:r>
      <w:r>
        <w:t xml:space="preserve">is the Finlay-Wilkinson regression coefficient representing treatment</w:t>
      </w:r>
      <w:r>
        <w:t xml:space="preserve"> </w:t>
      </w:r>
      <m:oMath>
        <m:r>
          <m:t>i</m:t>
        </m:r>
      </m:oMath>
      <w:r>
        <w:t xml:space="preserve">’s responsiveness to the environments,</w:t>
      </w:r>
    </w:p>
    <w:p>
      <w:pPr>
        <w:pStyle w:val="BodyText"/>
      </w:pPr>
      <m:oMath>
        <m:sSub>
          <m:e>
            <m:r>
              <m:t>I</m:t>
            </m:r>
          </m:e>
          <m:sub>
            <m:r>
              <m:t>j</m:t>
            </m:r>
          </m:sub>
        </m:sSub>
      </m:oMath>
      <w:r>
        <w:t xml:space="preserve"> </w:t>
      </w:r>
      <w:r>
        <w:t xml:space="preserve">is the environmental index, calculated as the mean yield of environment</w:t>
      </w:r>
      <w:r>
        <w:t xml:space="preserve"> </w:t>
      </w:r>
      <m:oMath>
        <m:r>
          <m:t>j</m:t>
        </m:r>
      </m:oMath>
      <w:r>
        <w:t xml:space="preserve"> </w:t>
      </w:r>
      <w:r>
        <w:t xml:space="preserve">minus the grand mean across environments,</w:t>
      </w:r>
    </w:p>
    <w:p>
      <w:pPr>
        <w:pStyle w:val="BodyText"/>
      </w:pPr>
      <m:oMath>
        <m:sSub>
          <m:e>
            <m:r>
              <m:t>δ</m:t>
            </m:r>
          </m:e>
          <m:sub>
            <m:r>
              <m:t>i</m:t>
            </m:r>
            <m:r>
              <m:t>j</m:t>
            </m:r>
          </m:sub>
        </m:sSub>
      </m:oMath>
      <w:r>
        <w:t xml:space="preserve">​ is the deviation from the linear response in environment </w:t>
      </w:r>
      <m:oMath>
        <m:r>
          <m:t>j</m:t>
        </m:r>
      </m:oMath>
      <w:r>
        <w:t xml:space="preserve"> </w:t>
      </w:r>
      <w:r>
        <w:t xml:space="preserve">used to compute the deviation variance </w:t>
      </w:r>
      <m:oMath>
        <m:sSubSup>
          <m:e>
            <m:r>
              <m:t>S</m:t>
            </m:r>
          </m:e>
          <m:sub>
            <m:r>
              <m:t>d</m:t>
            </m:r>
            <m:r>
              <m:t>i</m:t>
            </m:r>
          </m:sub>
          <m:sup>
            <m:r>
              <m:t>2</m:t>
            </m:r>
          </m:sup>
        </m:sSubSup>
      </m:oMath>
      <w:r>
        <w:t xml:space="preserve">, and</w:t>
      </w:r>
    </w:p>
    <w:p>
      <w:pPr>
        <w:pStyle w:val="BodyText"/>
      </w:pPr>
      <m:oMath>
        <m:sSub>
          <m:e>
            <m:r>
              <m:t>ε</m:t>
            </m:r>
          </m:e>
          <m:sub>
            <m:r>
              <m:t>i</m:t>
            </m:r>
            <m:r>
              <m:t>j</m:t>
            </m:r>
          </m:sub>
        </m:sSub>
      </m:oMath>
      <w:r>
        <w:t xml:space="preserve"> </w:t>
      </w:r>
      <w:r>
        <w:t xml:space="preserve">is the residual term.</w:t>
      </w:r>
    </w:p>
    <w:p>
      <w:pPr>
        <w:pStyle w:val="BodyText"/>
      </w:pPr>
      <w:r>
        <w:t xml:space="preserve">Formula 2 - Eberhart-Russell deviation variance</w:t>
      </w:r>
    </w:p>
    <w:p>
      <w:pPr>
        <w:pStyle w:val="BodyText"/>
      </w:pPr>
      <m:oMathPara>
        <m:oMathParaPr>
          <m:jc m:val="center"/>
        </m:oMathParaPr>
        <m:oMath>
          <m:sSubSup>
            <m:e>
              <m:r>
                <m:t>S</m:t>
              </m:r>
            </m:e>
            <m:sub>
              <m:r>
                <m:t>d</m:t>
              </m:r>
              <m:r>
                <m:t>i</m:t>
              </m:r>
            </m:sub>
            <m:sup>
              <m:r>
                <m:t>2</m:t>
              </m:r>
            </m:sup>
          </m:sSubSup>
          <m:r>
            <m:rPr>
              <m:sty m:val="p"/>
            </m:rPr>
            <m:t>=</m:t>
          </m:r>
          <m:f>
            <m:fPr>
              <m:type m:val="bar"/>
            </m:fPr>
            <m:num>
              <m:nary>
                <m:naryPr>
                  <m:chr m:val="∑"/>
                  <m:limLoc m:val="undOvr"/>
                  <m:subHide m:val="off"/>
                  <m:supHide m:val="off"/>
                </m:naryPr>
                <m:sub>
                  <m:r>
                    <m:t>j</m:t>
                  </m:r>
                  <m:r>
                    <m:rPr>
                      <m:sty m:val="p"/>
                    </m:rPr>
                    <m:t>=</m:t>
                  </m:r>
                  <m:r>
                    <m:t>1</m:t>
                  </m:r>
                </m:sub>
                <m:sup>
                  <m:r>
                    <m:t>E</m:t>
                  </m:r>
                </m:sup>
                <m:e>
                  <m:sSubSup>
                    <m:e>
                      <m:r>
                        <m:t>δ</m:t>
                      </m:r>
                    </m:e>
                    <m:sub>
                      <m:r>
                        <m:t>i</m:t>
                      </m:r>
                      <m:r>
                        <m:t>j</m:t>
                      </m:r>
                    </m:sub>
                    <m:sup>
                      <m:r>
                        <m:t> </m:t>
                      </m:r>
                      <m:r>
                        <m:t>2</m:t>
                      </m:r>
                    </m:sup>
                  </m:sSubSup>
                </m:e>
              </m:nary>
            </m:num>
            <m:den>
              <m:r>
                <m:t>E</m:t>
              </m:r>
              <m:r>
                <m:rPr>
                  <m:sty m:val="p"/>
                </m:rPr>
                <m:t>−</m:t>
              </m:r>
              <m:r>
                <m:t>2</m:t>
              </m:r>
            </m:den>
          </m:f>
        </m:oMath>
      </m:oMathPara>
    </w:p>
    <w:p>
      <w:pPr>
        <w:pStyle w:val="FirstParagraph"/>
      </w:pPr>
      <w:r>
        <w:t xml:space="preserve">Where:</w:t>
      </w:r>
    </w:p>
    <w:p>
      <w:pPr>
        <w:pStyle w:val="BodyText"/>
      </w:pPr>
      <m:oMath>
        <m:sSub>
          <m:e>
            <m:r>
              <m:t>δ</m:t>
            </m:r>
          </m:e>
          <m:sub>
            <m:r>
              <m:t>i</m:t>
            </m:r>
            <m:r>
              <m:t>j</m:t>
            </m:r>
          </m:sub>
        </m:sSub>
        <m:r>
          <m:rPr>
            <m:sty m:val="p"/>
          </m:rPr>
          <m:t>=</m:t>
        </m:r>
        <m:sSub>
          <m:e>
            <m:r>
              <m:t>Y</m:t>
            </m:r>
          </m:e>
          <m:sub>
            <m:r>
              <m:t>i</m:t>
            </m:r>
            <m:r>
              <m:t>j</m:t>
            </m:r>
          </m:sub>
        </m:sSub>
        <m:r>
          <m:rPr>
            <m:sty m:val="p"/>
          </m:rPr>
          <m:t>−</m:t>
        </m:r>
        <m:d>
          <m:dPr>
            <m:begChr m:val="("/>
            <m:sepChr m:val=""/>
            <m:endChr m:val=")"/>
            <m:grow/>
          </m:dPr>
          <m:e>
            <m:sSub>
              <m:e>
                <m:r>
                  <m:t>μ</m:t>
                </m:r>
              </m:e>
              <m:sub>
                <m:r>
                  <m:t>i</m:t>
                </m:r>
              </m:sub>
            </m:sSub>
            <m:r>
              <m:rPr>
                <m:sty m:val="p"/>
              </m:rPr>
              <m:t>+</m:t>
            </m:r>
            <m:sSub>
              <m:e>
                <m:r>
                  <m:t>b</m:t>
                </m:r>
              </m:e>
              <m:sub>
                <m:r>
                  <m:t>1</m:t>
                </m:r>
                <m:r>
                  <m:t>i</m:t>
                </m:r>
              </m:sub>
            </m:sSub>
            <m:sSub>
              <m:e>
                <m:r>
                  <m:t>I</m:t>
                </m:r>
              </m:e>
              <m:sub>
                <m:r>
                  <m:t>j</m:t>
                </m:r>
              </m:sub>
            </m:sSub>
          </m:e>
        </m:d>
      </m:oMath>
      <w:r>
        <w:t xml:space="preserve"> </w:t>
      </w:r>
      <w:r>
        <w:t xml:space="preserve">are the deviations from the regression line and</w:t>
      </w:r>
    </w:p>
    <w:p>
      <w:pPr>
        <w:pStyle w:val="BodyText"/>
      </w:pPr>
      <m:oMath>
        <m:r>
          <m:t>E</m:t>
        </m:r>
      </m:oMath>
      <w:r>
        <w:t xml:space="preserve"> </w:t>
      </w:r>
      <w:r>
        <w:t xml:space="preserve">are the number of environments.</w:t>
      </w:r>
    </w:p>
    <w:tbl>
      <w:tblPr>
        <w:tblStyle w:val="Table"/>
        <w:tblW w:type="pct" w:w="5000"/>
        <w:tblLayout w:type="fixed"/>
        <w:tblLook w:firstRow="0" w:lastRow="0" w:firstColumn="0" w:lastColumn="0" w:noHBand="0" w:noVBand="0" w:val="0000"/>
      </w:tblPr>
      <w:tblGrid>
        <w:gridCol w:w="7920"/>
      </w:tblGrid>
      <w:tr>
        <w:tc>
          <w:tcPr/>
          <w:bookmarkStart w:id="62" w:name="tbl-sites"/>
          <w:p>
            <w:pPr>
              <w:jc w:val="center"/>
            </w:pPr>
            <w:pPr>
              <w:jc w:val="left"/>
              <w:spacing w:before="200"/>
              <w:pStyle w:val="ImageCaption"/>
            </w:pPr>
            <w:r>
              <w:t xml:space="preserve">Table 4</w:t>
            </w:r>
          </w:p>
          <w:p>
            <w:pPr>
              <w:pStyle w:val="Compact"/>
              <w:jc w:val="center"/>
            </w:pPr>
            <w:r>
              <w:t xml:space="preserve">Table S1: Field characteristics and husbandry measures per location and year (environment-year).</w:t>
            </w:r>
          </w:p>
          <w:bookmarkEnd w:id="62"/>
        </w:tc>
      </w:tr>
    </w:tbl>
    <w:p>
      <w:pPr>
        <w:pStyle w:val="BodyText"/>
      </w:pPr>
      <w:r>
        <w:t xml:space="preserve"> </w:t>
      </w:r>
    </w:p>
    <w:tbl>
      <w:tblPr>
        <w:tblStyle w:val="Table"/>
        <w:tblW w:type="pct" w:w="5000"/>
        <w:tblLayout w:type="fixed"/>
        <w:tblLook w:firstRow="1" w:lastRow="0" w:firstColumn="0" w:lastColumn="0" w:noHBand="0" w:noVBand="0" w:val="0020"/>
      </w:tblPr>
      <w:tblGrid>
        <w:gridCol w:w="737"/>
        <w:gridCol w:w="504"/>
        <w:gridCol w:w="543"/>
        <w:gridCol w:w="504"/>
        <w:gridCol w:w="737"/>
        <w:gridCol w:w="543"/>
        <w:gridCol w:w="854"/>
        <w:gridCol w:w="854"/>
        <w:gridCol w:w="1009"/>
        <w:gridCol w:w="698"/>
        <w:gridCol w:w="427"/>
        <w:gridCol w:w="504"/>
      </w:tblGrid>
      <w:tr>
        <w:trPr>
          <w:tblHeader w:val="on"/>
        </w:trPr>
        <w:tc>
          <w:tcPr/>
          <w:p>
            <w:pPr>
              <w:pStyle w:val="Compact"/>
            </w:pPr>
            <w:r>
              <w:t xml:space="preserve">Location and year</w:t>
            </w:r>
          </w:p>
        </w:tc>
        <w:tc>
          <w:tcPr/>
          <w:p>
            <w:pPr>
              <w:pStyle w:val="Compact"/>
            </w:pPr>
            <w:r>
              <w:t xml:space="preserve">Latitude (°N)</w:t>
            </w:r>
          </w:p>
        </w:tc>
        <w:tc>
          <w:tcPr/>
          <w:p>
            <w:pPr>
              <w:pStyle w:val="Compact"/>
            </w:pPr>
            <w:r>
              <w:t xml:space="preserve">Longitude (°E)</w:t>
            </w:r>
          </w:p>
        </w:tc>
        <w:tc>
          <w:tcPr/>
          <w:p>
            <w:pPr>
              <w:pStyle w:val="Compact"/>
            </w:pPr>
            <w:r>
              <w:t xml:space="preserve">Pre-crop</w:t>
            </w:r>
          </w:p>
        </w:tc>
        <w:tc>
          <w:tcPr/>
          <w:p>
            <w:pPr>
              <w:pStyle w:val="Compact"/>
            </w:pPr>
            <w:r>
              <w:t xml:space="preserve">Pre-pre-crop</w:t>
            </w:r>
          </w:p>
        </w:tc>
        <w:tc>
          <w:tcPr/>
          <w:p>
            <w:pPr>
              <w:pStyle w:val="Compact"/>
            </w:pPr>
            <w:r>
              <w:t xml:space="preserve">Sowing</w:t>
            </w:r>
          </w:p>
        </w:tc>
        <w:tc>
          <w:tcPr/>
          <w:p>
            <w:pPr>
              <w:pStyle w:val="Compact"/>
            </w:pPr>
            <w:r>
              <w:t xml:space="preserve">Weeding 1</w:t>
            </w:r>
          </w:p>
        </w:tc>
        <w:tc>
          <w:tcPr/>
          <w:p>
            <w:pPr>
              <w:pStyle w:val="Compact"/>
            </w:pPr>
            <w:r>
              <w:t xml:space="preserve">Weeding 2</w:t>
            </w:r>
          </w:p>
        </w:tc>
        <w:tc>
          <w:tcPr/>
          <w:p>
            <w:pPr>
              <w:pStyle w:val="Compact"/>
            </w:pPr>
            <w:r>
              <w:t xml:space="preserve">Oat fertilisation (kgNha</w:t>
            </w:r>
            <w:r>
              <w:rPr>
                <w:vertAlign w:val="superscript"/>
              </w:rPr>
              <w:t xml:space="preserve">-1</w:t>
            </w:r>
            <w:r>
              <w:t xml:space="preserve">)</w:t>
            </w:r>
          </w:p>
        </w:tc>
        <w:tc>
          <w:tcPr/>
          <w:p>
            <w:pPr>
              <w:pStyle w:val="Compact"/>
            </w:pPr>
            <w:r>
              <w:t xml:space="preserve">Pest intervention</w:t>
            </w:r>
          </w:p>
        </w:tc>
        <w:tc>
          <w:tcPr/>
          <w:p>
            <w:pPr>
              <w:pStyle w:val="Compact"/>
            </w:pPr>
            <w:r>
              <w:t xml:space="preserve">Harvest</w:t>
            </w:r>
          </w:p>
        </w:tc>
        <w:tc>
          <w:tcPr/>
          <w:p>
            <w:pPr>
              <w:pStyle w:val="Compact"/>
            </w:pPr>
            <w:r>
              <w:t xml:space="preserve">Soil-type</w:t>
            </w:r>
          </w:p>
        </w:tc>
      </w:tr>
      <w:tr>
        <w:tc>
          <w:tcPr/>
          <w:p>
            <w:pPr>
              <w:pStyle w:val="Compact"/>
            </w:pPr>
            <w:r>
              <w:t xml:space="preserve">Bad Vilbel 2022</w:t>
            </w:r>
          </w:p>
        </w:tc>
        <w:tc>
          <w:tcPr/>
          <w:p>
            <w:pPr>
              <w:pStyle w:val="Compact"/>
            </w:pPr>
            <w:r>
              <w:t xml:space="preserve">50.2</w:t>
            </w:r>
          </w:p>
        </w:tc>
        <w:tc>
          <w:tcPr/>
          <w:p>
            <w:pPr>
              <w:pStyle w:val="Compact"/>
            </w:pPr>
            <w:r>
              <w:t xml:space="preserve">8.6</w:t>
            </w:r>
          </w:p>
        </w:tc>
        <w:tc>
          <w:tcPr/>
          <w:p>
            <w:pPr>
              <w:pStyle w:val="Compact"/>
            </w:pPr>
            <w:r>
              <w:t xml:space="preserve">-</w:t>
            </w:r>
          </w:p>
        </w:tc>
        <w:tc>
          <w:tcPr/>
          <w:p>
            <w:pPr>
              <w:pStyle w:val="Compact"/>
            </w:pPr>
            <w:r>
              <w:t xml:space="preserve">-</w:t>
            </w:r>
          </w:p>
        </w:tc>
        <w:tc>
          <w:tcPr/>
          <w:p>
            <w:pPr>
              <w:pStyle w:val="Compact"/>
            </w:pPr>
            <w:r>
              <w:t xml:space="preserve">March 29</w:t>
            </w:r>
          </w:p>
        </w:tc>
        <w:tc>
          <w:tcPr/>
          <w:p>
            <w:pPr>
              <w:pStyle w:val="Compact"/>
            </w:pPr>
            <w:r>
              <w:t xml:space="preserve">April 28</w:t>
            </w:r>
          </w:p>
        </w:tc>
        <w:tc>
          <w:tcPr/>
          <w:p>
            <w:pPr>
              <w:pStyle w:val="Compact"/>
            </w:pPr>
            <w:r>
              <w:t xml:space="preserve">May 5</w:t>
            </w:r>
          </w:p>
        </w:tc>
        <w:tc>
          <w:tcPr/>
          <w:p>
            <w:pPr>
              <w:pStyle w:val="Compact"/>
            </w:pPr>
            <w:r>
              <w:t xml:space="preserve">43</w:t>
            </w:r>
          </w:p>
        </w:tc>
        <w:tc>
          <w:tcPr/>
          <w:p>
            <w:pPr>
              <w:pStyle w:val="Compact"/>
            </w:pPr>
            <w:r>
              <w:t xml:space="preserve">-</w:t>
            </w:r>
          </w:p>
        </w:tc>
        <w:tc>
          <w:tcPr/>
          <w:p>
            <w:pPr>
              <w:pStyle w:val="Compact"/>
            </w:pPr>
            <w:r>
              <w:t xml:space="preserve">July 14</w:t>
            </w:r>
          </w:p>
        </w:tc>
        <w:tc>
          <w:tcPr/>
          <w:p>
            <w:pPr>
              <w:pStyle w:val="Compact"/>
            </w:pPr>
            <w:r>
              <w:t xml:space="preserve">Sandy loam</w:t>
            </w:r>
          </w:p>
        </w:tc>
      </w:tr>
      <w:tr>
        <w:tc>
          <w:tcPr/>
          <w:p>
            <w:pPr>
              <w:pStyle w:val="Compact"/>
            </w:pPr>
            <w:r>
              <w:t xml:space="preserve">Bad Vilbel 2023</w:t>
            </w:r>
          </w:p>
        </w:tc>
        <w:tc>
          <w:tcPr/>
          <w:p>
            <w:pPr>
              <w:pStyle w:val="Compact"/>
            </w:pPr>
            <w:r>
              <w:t xml:space="preserve">50.2</w:t>
            </w:r>
          </w:p>
        </w:tc>
        <w:tc>
          <w:tcPr/>
          <w:p>
            <w:pPr>
              <w:pStyle w:val="Compact"/>
            </w:pPr>
            <w:r>
              <w:t xml:space="preserve">8.8</w:t>
            </w:r>
          </w:p>
        </w:tc>
        <w:tc>
          <w:tcPr/>
          <w:p>
            <w:pPr>
              <w:pStyle w:val="Compact"/>
            </w:pPr>
            <w:r>
              <w:t xml:space="preserve">-</w:t>
            </w:r>
          </w:p>
        </w:tc>
        <w:tc>
          <w:tcPr/>
          <w:p>
            <w:pPr>
              <w:pStyle w:val="Compact"/>
            </w:pPr>
            <w:r>
              <w:t xml:space="preserve">-</w:t>
            </w:r>
          </w:p>
        </w:tc>
        <w:tc>
          <w:tcPr/>
          <w:p>
            <w:pPr>
              <w:pStyle w:val="Compact"/>
            </w:pPr>
            <w:r>
              <w:t xml:space="preserve">April 06</w:t>
            </w:r>
          </w:p>
        </w:tc>
        <w:tc>
          <w:tcPr/>
          <w:p>
            <w:pPr>
              <w:pStyle w:val="Compact"/>
            </w:pPr>
            <w:r>
              <w:t xml:space="preserve">-</w:t>
            </w:r>
          </w:p>
        </w:tc>
        <w:tc>
          <w:tcPr/>
          <w:p>
            <w:pPr>
              <w:pStyle w:val="Compact"/>
            </w:pPr>
            <w:r>
              <w:t xml:space="preserve">-</w:t>
            </w:r>
          </w:p>
        </w:tc>
        <w:tc>
          <w:tcPr/>
          <w:p>
            <w:pPr>
              <w:pStyle w:val="Compact"/>
            </w:pPr>
            <w:r>
              <w:t xml:space="preserve">40</w:t>
            </w:r>
          </w:p>
        </w:tc>
        <w:tc>
          <w:tcPr/>
          <w:p>
            <w:pPr>
              <w:pStyle w:val="Compact"/>
            </w:pPr>
            <w:r>
              <w:t xml:space="preserve">-</w:t>
            </w:r>
          </w:p>
        </w:tc>
        <w:tc>
          <w:tcPr/>
          <w:p>
            <w:pPr>
              <w:pStyle w:val="Compact"/>
            </w:pPr>
            <w:r>
              <w:t xml:space="preserve">August 1</w:t>
            </w:r>
          </w:p>
        </w:tc>
        <w:tc>
          <w:tcPr/>
          <w:p>
            <w:pPr>
              <w:pStyle w:val="Compact"/>
            </w:pPr>
            <w:r>
              <w:t xml:space="preserve">Sandy loam</w:t>
            </w:r>
          </w:p>
        </w:tc>
      </w:tr>
      <w:tr>
        <w:tc>
          <w:tcPr/>
          <w:p>
            <w:pPr>
              <w:pStyle w:val="Compact"/>
            </w:pPr>
            <w:r>
              <w:t xml:space="preserve">Bad Vilbel 2024</w:t>
            </w:r>
          </w:p>
        </w:tc>
        <w:tc>
          <w:tcPr/>
          <w:p>
            <w:pPr>
              <w:pStyle w:val="Compact"/>
            </w:pPr>
            <w:r>
              <w:t xml:space="preserve">50.2</w:t>
            </w:r>
          </w:p>
        </w:tc>
        <w:tc>
          <w:tcPr/>
          <w:p>
            <w:pPr>
              <w:pStyle w:val="Compact"/>
            </w:pPr>
            <w:r>
              <w:t xml:space="preserve">8.7</w:t>
            </w:r>
          </w:p>
        </w:tc>
        <w:tc>
          <w:tcPr/>
          <w:p>
            <w:pPr>
              <w:pStyle w:val="Compact"/>
            </w:pPr>
            <w:r>
              <w:t xml:space="preserve">-</w:t>
            </w:r>
          </w:p>
        </w:tc>
        <w:tc>
          <w:tcPr/>
          <w:p>
            <w:pPr>
              <w:pStyle w:val="Compact"/>
            </w:pPr>
            <w:r>
              <w:t xml:space="preserve">-</w:t>
            </w:r>
          </w:p>
        </w:tc>
        <w:tc>
          <w:tcPr/>
          <w:p>
            <w:pPr>
              <w:pStyle w:val="Compact"/>
            </w:pPr>
            <w:r>
              <w:t xml:space="preserve">April 24</w:t>
            </w:r>
          </w:p>
        </w:tc>
        <w:tc>
          <w:tcPr/>
          <w:p>
            <w:pPr>
              <w:pStyle w:val="Compact"/>
            </w:pPr>
            <w:r>
              <w:t xml:space="preserve">-</w:t>
            </w:r>
          </w:p>
        </w:tc>
        <w:tc>
          <w:tcPr/>
          <w:p>
            <w:pPr>
              <w:pStyle w:val="Compact"/>
            </w:pPr>
            <w:r>
              <w:t xml:space="preserve">-</w:t>
            </w:r>
          </w:p>
        </w:tc>
        <w:tc>
          <w:tcPr/>
          <w:p>
            <w:pPr>
              <w:pStyle w:val="Compact"/>
            </w:pPr>
            <w:r>
              <w:t xml:space="preserve">35</w:t>
            </w:r>
          </w:p>
        </w:tc>
        <w:tc>
          <w:tcPr/>
          <w:p>
            <w:pPr>
              <w:pStyle w:val="Compact"/>
            </w:pPr>
            <w:r>
              <w:t xml:space="preserve">-</w:t>
            </w:r>
          </w:p>
        </w:tc>
        <w:tc>
          <w:tcPr/>
          <w:p>
            <w:pPr>
              <w:pStyle w:val="Compact"/>
            </w:pPr>
            <w:r>
              <w:t xml:space="preserve">July 29</w:t>
            </w:r>
          </w:p>
        </w:tc>
        <w:tc>
          <w:tcPr/>
          <w:p>
            <w:pPr>
              <w:pStyle w:val="Compact"/>
            </w:pPr>
            <w:r>
              <w:t xml:space="preserve">Sandy loam</w:t>
            </w:r>
          </w:p>
        </w:tc>
      </w:tr>
      <w:tr>
        <w:tc>
          <w:tcPr/>
          <w:p>
            <w:pPr>
              <w:pStyle w:val="Compact"/>
            </w:pPr>
            <w:r>
              <w:t xml:space="preserve">Gross Lüsewitz 2022</w:t>
            </w:r>
          </w:p>
        </w:tc>
        <w:tc>
          <w:tcPr/>
          <w:p>
            <w:pPr>
              <w:pStyle w:val="Compact"/>
            </w:pPr>
            <w:r>
              <w:t xml:space="preserve">54.1</w:t>
            </w:r>
          </w:p>
        </w:tc>
        <w:tc>
          <w:tcPr/>
          <w:p>
            <w:pPr>
              <w:pStyle w:val="Compact"/>
            </w:pPr>
            <w:r>
              <w:t xml:space="preserve">13.3</w:t>
            </w:r>
          </w:p>
        </w:tc>
        <w:tc>
          <w:tcPr/>
          <w:p>
            <w:pPr>
              <w:pStyle w:val="Compact"/>
            </w:pPr>
            <w:r>
              <w:t xml:space="preserve">Lupin</w:t>
            </w:r>
          </w:p>
        </w:tc>
        <w:tc>
          <w:tcPr/>
          <w:p>
            <w:pPr>
              <w:pStyle w:val="Compact"/>
            </w:pPr>
            <w:r>
              <w:t xml:space="preserve">Lolium</w:t>
            </w:r>
          </w:p>
        </w:tc>
        <w:tc>
          <w:tcPr/>
          <w:p>
            <w:pPr>
              <w:pStyle w:val="Compact"/>
            </w:pPr>
            <w:r>
              <w:t xml:space="preserve">March 31</w:t>
            </w:r>
          </w:p>
        </w:tc>
        <w:tc>
          <w:tcPr/>
          <w:p>
            <w:pPr>
              <w:pStyle w:val="Compact"/>
            </w:pPr>
            <w:r>
              <w:t xml:space="preserve">April 5 (Stomp Aqua)</w:t>
            </w:r>
          </w:p>
        </w:tc>
        <w:tc>
          <w:tcPr/>
          <w:p>
            <w:pPr>
              <w:pStyle w:val="Compact"/>
            </w:pPr>
          </w:p>
        </w:tc>
        <w:tc>
          <w:tcPr/>
          <w:p>
            <w:pPr>
              <w:pStyle w:val="Compact"/>
            </w:pPr>
            <w:r>
              <w:t xml:space="preserve">40</w:t>
            </w:r>
          </w:p>
        </w:tc>
        <w:tc>
          <w:tcPr/>
          <w:p>
            <w:pPr>
              <w:pStyle w:val="Compact"/>
            </w:pPr>
            <w:r>
              <w:t xml:space="preserve">-</w:t>
            </w:r>
          </w:p>
        </w:tc>
        <w:tc>
          <w:tcPr/>
          <w:p>
            <w:pPr>
              <w:pStyle w:val="Compact"/>
            </w:pPr>
            <w:r>
              <w:t xml:space="preserve">August 17</w:t>
            </w:r>
          </w:p>
        </w:tc>
        <w:tc>
          <w:tcPr/>
          <w:p>
            <w:pPr>
              <w:pStyle w:val="Compact"/>
            </w:pPr>
            <w:r>
              <w:t xml:space="preserve">Sandy loam</w:t>
            </w:r>
          </w:p>
        </w:tc>
      </w:tr>
      <w:tr>
        <w:tc>
          <w:tcPr/>
          <w:p>
            <w:pPr>
              <w:pStyle w:val="Compact"/>
            </w:pPr>
            <w:r>
              <w:t xml:space="preserve">Gross Lüsewitz 2023</w:t>
            </w:r>
          </w:p>
        </w:tc>
        <w:tc>
          <w:tcPr/>
          <w:p>
            <w:pPr>
              <w:pStyle w:val="Compact"/>
            </w:pPr>
            <w:r>
              <w:t xml:space="preserve">54.1</w:t>
            </w:r>
          </w:p>
        </w:tc>
        <w:tc>
          <w:tcPr/>
          <w:p>
            <w:pPr>
              <w:pStyle w:val="Compact"/>
            </w:pPr>
            <w:r>
              <w:t xml:space="preserve">13.3</w:t>
            </w:r>
          </w:p>
        </w:tc>
        <w:tc>
          <w:tcPr/>
          <w:p>
            <w:pPr>
              <w:pStyle w:val="Compact"/>
            </w:pPr>
            <w:r>
              <w:t xml:space="preserve">Lupin</w:t>
            </w:r>
          </w:p>
        </w:tc>
        <w:tc>
          <w:tcPr/>
          <w:p>
            <w:pPr>
              <w:pStyle w:val="Compact"/>
            </w:pPr>
            <w:r>
              <w:t xml:space="preserve">Lolium</w:t>
            </w:r>
          </w:p>
        </w:tc>
        <w:tc>
          <w:tcPr/>
          <w:p>
            <w:pPr>
              <w:pStyle w:val="Compact"/>
            </w:pPr>
            <w:r>
              <w:t xml:space="preserve">April 5</w:t>
            </w:r>
          </w:p>
        </w:tc>
        <w:tc>
          <w:tcPr/>
          <w:p>
            <w:pPr>
              <w:pStyle w:val="Compact"/>
            </w:pPr>
            <w:r>
              <w:t xml:space="preserve">-</w:t>
            </w:r>
          </w:p>
        </w:tc>
        <w:tc>
          <w:tcPr/>
          <w:p>
            <w:pPr>
              <w:pStyle w:val="Compact"/>
            </w:pPr>
          </w:p>
        </w:tc>
        <w:tc>
          <w:tcPr/>
          <w:p>
            <w:pPr>
              <w:pStyle w:val="Compact"/>
            </w:pPr>
            <w:r>
              <w:t xml:space="preserve">40</w:t>
            </w:r>
          </w:p>
        </w:tc>
        <w:tc>
          <w:tcPr/>
          <w:p>
            <w:pPr>
              <w:pStyle w:val="Compact"/>
            </w:pPr>
            <w:r>
              <w:t xml:space="preserve">-</w:t>
            </w:r>
          </w:p>
        </w:tc>
        <w:tc>
          <w:tcPr/>
          <w:p>
            <w:pPr>
              <w:pStyle w:val="Compact"/>
            </w:pPr>
            <w:r>
              <w:t xml:space="preserve">August 22</w:t>
            </w:r>
          </w:p>
        </w:tc>
        <w:tc>
          <w:tcPr/>
          <w:p>
            <w:pPr>
              <w:pStyle w:val="Compact"/>
            </w:pPr>
            <w:r>
              <w:t xml:space="preserve">Sandy loam</w:t>
            </w:r>
          </w:p>
        </w:tc>
      </w:tr>
      <w:tr>
        <w:tc>
          <w:tcPr/>
          <w:p>
            <w:pPr>
              <w:pStyle w:val="Compact"/>
            </w:pPr>
            <w:r>
              <w:t xml:space="preserve">Gross Lüsewitz 2024</w:t>
            </w:r>
          </w:p>
        </w:tc>
        <w:tc>
          <w:tcPr/>
          <w:p>
            <w:pPr>
              <w:pStyle w:val="Compact"/>
            </w:pPr>
            <w:r>
              <w:t xml:space="preserve">54.1</w:t>
            </w:r>
          </w:p>
        </w:tc>
        <w:tc>
          <w:tcPr/>
          <w:p>
            <w:pPr>
              <w:pStyle w:val="Compact"/>
            </w:pPr>
            <w:r>
              <w:t xml:space="preserve">13.3</w:t>
            </w:r>
          </w:p>
        </w:tc>
        <w:tc>
          <w:tcPr/>
          <w:p>
            <w:pPr>
              <w:pStyle w:val="Compact"/>
            </w:pPr>
            <w:r>
              <w:t xml:space="preserve">Lolium</w:t>
            </w:r>
          </w:p>
        </w:tc>
        <w:tc>
          <w:tcPr/>
          <w:p>
            <w:pPr>
              <w:pStyle w:val="Compact"/>
            </w:pPr>
            <w:r>
              <w:t xml:space="preserve">Winter rye</w:t>
            </w:r>
          </w:p>
        </w:tc>
        <w:tc>
          <w:tcPr/>
          <w:p>
            <w:pPr>
              <w:pStyle w:val="Compact"/>
            </w:pPr>
            <w:r>
              <w:t xml:space="preserve">March 22</w:t>
            </w:r>
          </w:p>
        </w:tc>
        <w:tc>
          <w:tcPr/>
          <w:p>
            <w:pPr>
              <w:pStyle w:val="Compact"/>
            </w:pPr>
            <w:r>
              <w:t xml:space="preserve">March 27 (Stomp Aqua)</w:t>
            </w:r>
          </w:p>
        </w:tc>
        <w:tc>
          <w:tcPr/>
          <w:p>
            <w:pPr>
              <w:pStyle w:val="Compact"/>
            </w:pPr>
          </w:p>
        </w:tc>
        <w:tc>
          <w:tcPr/>
          <w:p>
            <w:pPr>
              <w:pStyle w:val="Compact"/>
            </w:pPr>
            <w:r>
              <w:t xml:space="preserve">40</w:t>
            </w:r>
          </w:p>
        </w:tc>
        <w:tc>
          <w:tcPr/>
          <w:p>
            <w:pPr>
              <w:pStyle w:val="Compact"/>
            </w:pPr>
            <w:r>
              <w:t xml:space="preserve">-</w:t>
            </w:r>
          </w:p>
        </w:tc>
        <w:tc>
          <w:tcPr/>
          <w:p>
            <w:pPr>
              <w:pStyle w:val="Compact"/>
            </w:pPr>
            <w:r>
              <w:t xml:space="preserve">August 8</w:t>
            </w:r>
          </w:p>
        </w:tc>
        <w:tc>
          <w:tcPr/>
          <w:p>
            <w:pPr>
              <w:pStyle w:val="Compact"/>
            </w:pPr>
            <w:r>
              <w:t xml:space="preserve">Sandy loam</w:t>
            </w:r>
          </w:p>
        </w:tc>
      </w:tr>
      <w:tr>
        <w:tc>
          <w:tcPr/>
          <w:p>
            <w:pPr>
              <w:pStyle w:val="Compact"/>
            </w:pPr>
            <w:r>
              <w:t xml:space="preserve">Novi Sad 2023</w:t>
            </w:r>
          </w:p>
        </w:tc>
        <w:tc>
          <w:tcPr/>
          <w:p>
            <w:pPr>
              <w:pStyle w:val="Compact"/>
            </w:pPr>
            <w:r>
              <w:t xml:space="preserve">45.3</w:t>
            </w:r>
          </w:p>
        </w:tc>
        <w:tc>
          <w:tcPr/>
          <w:p>
            <w:pPr>
              <w:pStyle w:val="Compact"/>
            </w:pPr>
            <w:r>
              <w:t xml:space="preserve">19.8</w:t>
            </w:r>
          </w:p>
        </w:tc>
        <w:tc>
          <w:tcPr/>
          <w:p>
            <w:pPr>
              <w:pStyle w:val="Compact"/>
            </w:pPr>
            <w:r>
              <w:t xml:space="preserve">Maize</w:t>
            </w:r>
          </w:p>
        </w:tc>
        <w:tc>
          <w:tcPr/>
          <w:p>
            <w:pPr>
              <w:pStyle w:val="Compact"/>
            </w:pPr>
            <w:r>
              <w:t xml:space="preserve">Winter wheat</w:t>
            </w:r>
          </w:p>
        </w:tc>
        <w:tc>
          <w:tcPr/>
          <w:p>
            <w:pPr>
              <w:pStyle w:val="Compact"/>
            </w:pPr>
            <w:r>
              <w:t xml:space="preserve">May 5</w:t>
            </w:r>
          </w:p>
        </w:tc>
        <w:tc>
          <w:tcPr/>
          <w:p>
            <w:pPr>
              <w:pStyle w:val="Compact"/>
            </w:pPr>
            <w:r>
              <w:t xml:space="preserve">manual</w:t>
            </w:r>
          </w:p>
        </w:tc>
        <w:tc>
          <w:tcPr/>
          <w:p>
            <w:pPr>
              <w:pStyle w:val="Compact"/>
            </w:pPr>
            <w:r>
              <w:t xml:space="preserve">manual</w:t>
            </w:r>
          </w:p>
        </w:tc>
        <w:tc>
          <w:tcPr/>
          <w:p>
            <w:pPr>
              <w:pStyle w:val="Compact"/>
            </w:pPr>
            <w:r>
              <w:t xml:space="preserve">60</w:t>
            </w:r>
          </w:p>
        </w:tc>
        <w:tc>
          <w:tcPr/>
          <w:p>
            <w:pPr>
              <w:pStyle w:val="Compact"/>
            </w:pPr>
            <w:r>
              <w:t xml:space="preserve">Vantex 60CS against Oulema ssp.</w:t>
            </w:r>
          </w:p>
        </w:tc>
        <w:tc>
          <w:tcPr/>
          <w:p>
            <w:pPr>
              <w:pStyle w:val="Compact"/>
            </w:pPr>
            <w:r>
              <w:t xml:space="preserve">July 28</w:t>
            </w:r>
          </w:p>
        </w:tc>
        <w:tc>
          <w:tcPr/>
          <w:p>
            <w:pPr>
              <w:pStyle w:val="Compact"/>
            </w:pPr>
            <w:r>
              <w:t xml:space="preserve">Loamy chernozem</w:t>
            </w:r>
          </w:p>
        </w:tc>
      </w:tr>
      <w:tr>
        <w:tc>
          <w:tcPr/>
          <w:p>
            <w:pPr>
              <w:pStyle w:val="Compact"/>
            </w:pPr>
            <w:r>
              <w:t xml:space="preserve">Novi Sad 2024</w:t>
            </w:r>
          </w:p>
        </w:tc>
        <w:tc>
          <w:tcPr/>
          <w:p>
            <w:pPr>
              <w:pStyle w:val="Compact"/>
            </w:pPr>
            <w:r>
              <w:t xml:space="preserve">45.3</w:t>
            </w:r>
          </w:p>
        </w:tc>
        <w:tc>
          <w:tcPr/>
          <w:p>
            <w:pPr>
              <w:pStyle w:val="Compact"/>
            </w:pPr>
            <w:r>
              <w:t xml:space="preserve">19.8</w:t>
            </w:r>
          </w:p>
        </w:tc>
        <w:tc>
          <w:tcPr/>
          <w:p>
            <w:pPr>
              <w:pStyle w:val="Compact"/>
            </w:pPr>
            <w:r>
              <w:t xml:space="preserve">Soybean</w:t>
            </w:r>
          </w:p>
        </w:tc>
        <w:tc>
          <w:tcPr/>
          <w:p>
            <w:pPr>
              <w:pStyle w:val="Compact"/>
            </w:pPr>
            <w:r>
              <w:t xml:space="preserve">Maize</w:t>
            </w:r>
          </w:p>
        </w:tc>
        <w:tc>
          <w:tcPr/>
          <w:p>
            <w:pPr>
              <w:pStyle w:val="Compact"/>
            </w:pPr>
            <w:r>
              <w:t xml:space="preserve">March 30</w:t>
            </w:r>
          </w:p>
        </w:tc>
        <w:tc>
          <w:tcPr/>
          <w:p>
            <w:pPr>
              <w:pStyle w:val="Compact"/>
            </w:pPr>
            <w:r>
              <w:t xml:space="preserve">manual</w:t>
            </w:r>
          </w:p>
        </w:tc>
        <w:tc>
          <w:tcPr/>
          <w:p>
            <w:pPr>
              <w:pStyle w:val="Compact"/>
            </w:pPr>
            <w:r>
              <w:t xml:space="preserve">manual</w:t>
            </w:r>
          </w:p>
        </w:tc>
        <w:tc>
          <w:tcPr/>
          <w:p>
            <w:pPr>
              <w:pStyle w:val="Compact"/>
            </w:pPr>
            <w:r>
              <w:t xml:space="preserve">60</w:t>
            </w:r>
          </w:p>
        </w:tc>
        <w:tc>
          <w:tcPr/>
          <w:p>
            <w:pPr>
              <w:pStyle w:val="Compact"/>
            </w:pPr>
            <w:r>
              <w:t xml:space="preserve">Vantex 60CS against Oulema ssp.</w:t>
            </w:r>
          </w:p>
        </w:tc>
        <w:tc>
          <w:tcPr/>
          <w:p>
            <w:pPr>
              <w:pStyle w:val="Compact"/>
            </w:pPr>
            <w:r>
              <w:t xml:space="preserve">July 19</w:t>
            </w:r>
          </w:p>
        </w:tc>
        <w:tc>
          <w:tcPr/>
          <w:p>
            <w:pPr>
              <w:pStyle w:val="Compact"/>
            </w:pPr>
            <w:r>
              <w:t xml:space="preserve">Loamy chernozem</w:t>
            </w:r>
          </w:p>
        </w:tc>
      </w:tr>
      <w:tr>
        <w:tc>
          <w:tcPr/>
          <w:p>
            <w:pPr>
              <w:pStyle w:val="Compact"/>
            </w:pPr>
            <w:r>
              <w:t xml:space="preserve">Novi Sad 2025</w:t>
            </w:r>
          </w:p>
        </w:tc>
        <w:tc>
          <w:tcPr/>
          <w:p>
            <w:pPr>
              <w:pStyle w:val="Compact"/>
            </w:pPr>
            <w:r>
              <w:t xml:space="preserve">45.3</w:t>
            </w:r>
          </w:p>
        </w:tc>
        <w:tc>
          <w:tcPr/>
          <w:p>
            <w:pPr>
              <w:pStyle w:val="Compact"/>
            </w:pPr>
            <w:r>
              <w:t xml:space="preserve">19.8</w:t>
            </w:r>
          </w:p>
        </w:tc>
        <w:tc>
          <w:tcPr/>
          <w:p>
            <w:pPr>
              <w:pStyle w:val="Compact"/>
            </w:pPr>
            <w:r>
              <w:t xml:space="preserve">Soybean</w:t>
            </w:r>
          </w:p>
        </w:tc>
        <w:tc>
          <w:tcPr/>
          <w:p>
            <w:pPr>
              <w:pStyle w:val="Compact"/>
            </w:pPr>
            <w:r>
              <w:t xml:space="preserve">Maize</w:t>
            </w:r>
          </w:p>
        </w:tc>
        <w:tc>
          <w:tcPr/>
          <w:p>
            <w:pPr>
              <w:pStyle w:val="Compact"/>
            </w:pPr>
            <w:r>
              <w:t xml:space="preserve">February 28</w:t>
            </w:r>
          </w:p>
        </w:tc>
        <w:tc>
          <w:tcPr/>
          <w:p>
            <w:pPr>
              <w:pStyle w:val="Compact"/>
            </w:pPr>
            <w:r>
              <w:t xml:space="preserve">manual</w:t>
            </w:r>
          </w:p>
        </w:tc>
        <w:tc>
          <w:tcPr/>
          <w:p>
            <w:pPr>
              <w:pStyle w:val="Compact"/>
            </w:pPr>
            <w:r>
              <w:t xml:space="preserve">manual</w:t>
            </w:r>
          </w:p>
        </w:tc>
        <w:tc>
          <w:tcPr/>
          <w:p>
            <w:pPr>
              <w:pStyle w:val="Compact"/>
            </w:pPr>
            <w:r>
              <w:t xml:space="preserve">60</w:t>
            </w:r>
          </w:p>
        </w:tc>
        <w:tc>
          <w:tcPr/>
          <w:p>
            <w:pPr>
              <w:pStyle w:val="Compact"/>
            </w:pPr>
            <w:r>
              <w:t xml:space="preserve">Vantex 60CS against Oulema ssp.</w:t>
            </w:r>
          </w:p>
        </w:tc>
        <w:tc>
          <w:tcPr/>
          <w:p>
            <w:pPr>
              <w:pStyle w:val="Compact"/>
            </w:pPr>
            <w:r>
              <w:t xml:space="preserve">July 1</w:t>
            </w:r>
          </w:p>
        </w:tc>
        <w:tc>
          <w:tcPr/>
          <w:p>
            <w:pPr>
              <w:pStyle w:val="Compact"/>
            </w:pPr>
            <w:r>
              <w:t xml:space="preserve">Loamy chernozem</w:t>
            </w:r>
          </w:p>
        </w:tc>
      </w:tr>
      <w:tr>
        <w:tc>
          <w:tcPr/>
          <w:p>
            <w:pPr>
              <w:pStyle w:val="Compact"/>
            </w:pPr>
            <w:r>
              <w:t xml:space="preserve">Reckenholz 2022</w:t>
            </w:r>
          </w:p>
        </w:tc>
        <w:tc>
          <w:tcPr/>
          <w:p>
            <w:pPr>
              <w:pStyle w:val="Compact"/>
            </w:pPr>
            <w:r>
              <w:t xml:space="preserve">47.4</w:t>
            </w:r>
          </w:p>
        </w:tc>
        <w:tc>
          <w:tcPr/>
          <w:p>
            <w:pPr>
              <w:pStyle w:val="Compact"/>
            </w:pPr>
            <w:r>
              <w:t xml:space="preserve">8.5</w:t>
            </w:r>
          </w:p>
        </w:tc>
        <w:tc>
          <w:tcPr/>
          <w:p>
            <w:pPr>
              <w:pStyle w:val="Compact"/>
            </w:pPr>
            <w:r>
              <w:t xml:space="preserve">Silage maize</w:t>
            </w:r>
          </w:p>
        </w:tc>
        <w:tc>
          <w:tcPr/>
          <w:p>
            <w:pPr>
              <w:pStyle w:val="Compact"/>
            </w:pPr>
            <w:r>
              <w:t xml:space="preserve">Flower strip</w:t>
            </w:r>
          </w:p>
        </w:tc>
        <w:tc>
          <w:tcPr/>
          <w:p>
            <w:pPr>
              <w:pStyle w:val="Compact"/>
            </w:pPr>
            <w:r>
              <w:t xml:space="preserve">March 4</w:t>
            </w:r>
          </w:p>
        </w:tc>
        <w:tc>
          <w:tcPr/>
          <w:p>
            <w:pPr>
              <w:pStyle w:val="Compact"/>
            </w:pPr>
            <w:r>
              <w:t xml:space="preserve">March 21 (mechanical)</w:t>
            </w:r>
          </w:p>
        </w:tc>
        <w:tc>
          <w:tcPr/>
          <w:p>
            <w:pPr>
              <w:pStyle w:val="Compact"/>
            </w:pPr>
            <w:r>
              <w:t xml:space="preserve">April 5 (mechanical)</w:t>
            </w:r>
          </w:p>
        </w:tc>
        <w:tc>
          <w:tcPr/>
          <w:p>
            <w:pPr>
              <w:pStyle w:val="Compact"/>
            </w:pPr>
            <w:r>
              <w:t xml:space="preserve">27.5</w:t>
            </w:r>
          </w:p>
        </w:tc>
        <w:tc>
          <w:tcPr/>
          <w:p>
            <w:pPr>
              <w:pStyle w:val="Compact"/>
            </w:pPr>
            <w:r>
              <w:t xml:space="preserve">-</w:t>
            </w:r>
          </w:p>
        </w:tc>
        <w:tc>
          <w:tcPr/>
          <w:p>
            <w:pPr>
              <w:pStyle w:val="Compact"/>
            </w:pPr>
            <w:r>
              <w:t xml:space="preserve">July 12</w:t>
            </w:r>
          </w:p>
        </w:tc>
        <w:tc>
          <w:tcPr/>
          <w:p>
            <w:pPr>
              <w:pStyle w:val="Compact"/>
            </w:pPr>
            <w:r>
              <w:t xml:space="preserve">Loamy clay</w:t>
            </w:r>
          </w:p>
        </w:tc>
      </w:tr>
      <w:tr>
        <w:tc>
          <w:tcPr/>
          <w:p>
            <w:pPr>
              <w:pStyle w:val="Compact"/>
            </w:pPr>
            <w:r>
              <w:t xml:space="preserve">Reckenholz 2023</w:t>
            </w:r>
          </w:p>
        </w:tc>
        <w:tc>
          <w:tcPr/>
          <w:p>
            <w:pPr>
              <w:pStyle w:val="Compact"/>
            </w:pPr>
            <w:r>
              <w:t xml:space="preserve">47.4</w:t>
            </w:r>
          </w:p>
        </w:tc>
        <w:tc>
          <w:tcPr/>
          <w:p>
            <w:pPr>
              <w:pStyle w:val="Compact"/>
            </w:pPr>
            <w:r>
              <w:t xml:space="preserve">8.5</w:t>
            </w:r>
          </w:p>
        </w:tc>
        <w:tc>
          <w:tcPr/>
          <w:p>
            <w:pPr>
              <w:pStyle w:val="Compact"/>
            </w:pPr>
            <w:r>
              <w:t xml:space="preserve">Silage maize</w:t>
            </w:r>
          </w:p>
        </w:tc>
        <w:tc>
          <w:tcPr/>
          <w:p>
            <w:pPr>
              <w:pStyle w:val="Compact"/>
            </w:pPr>
            <w:r>
              <w:t xml:space="preserve">Artificial pasture</w:t>
            </w:r>
          </w:p>
        </w:tc>
        <w:tc>
          <w:tcPr/>
          <w:p>
            <w:pPr>
              <w:pStyle w:val="Compact"/>
            </w:pPr>
            <w:r>
              <w:t xml:space="preserve">February 16</w:t>
            </w:r>
          </w:p>
        </w:tc>
        <w:tc>
          <w:tcPr/>
          <w:p>
            <w:pPr>
              <w:pStyle w:val="Compact"/>
            </w:pPr>
            <w:r>
              <w:t xml:space="preserve">February 22 (mechanical)</w:t>
            </w:r>
          </w:p>
        </w:tc>
        <w:tc>
          <w:tcPr/>
          <w:p>
            <w:pPr>
              <w:pStyle w:val="Compact"/>
            </w:pPr>
            <w:r>
              <w:t xml:space="preserve">April 4 (mechanical)</w:t>
            </w:r>
          </w:p>
        </w:tc>
        <w:tc>
          <w:tcPr/>
          <w:p>
            <w:pPr>
              <w:pStyle w:val="Compact"/>
            </w:pPr>
            <w:r>
              <w:t xml:space="preserve">30</w:t>
            </w:r>
          </w:p>
        </w:tc>
        <w:tc>
          <w:tcPr/>
          <w:p>
            <w:pPr>
              <w:pStyle w:val="Compact"/>
            </w:pPr>
            <w:r>
              <w:t xml:space="preserve">-</w:t>
            </w:r>
          </w:p>
        </w:tc>
        <w:tc>
          <w:tcPr/>
          <w:p>
            <w:pPr>
              <w:pStyle w:val="Compact"/>
            </w:pPr>
            <w:r>
              <w:t xml:space="preserve">July 10</w:t>
            </w:r>
          </w:p>
        </w:tc>
        <w:tc>
          <w:tcPr/>
          <w:p>
            <w:pPr>
              <w:pStyle w:val="Compact"/>
            </w:pPr>
            <w:r>
              <w:t xml:space="preserve">Loamy clay</w:t>
            </w:r>
          </w:p>
        </w:tc>
      </w:tr>
      <w:tr>
        <w:tc>
          <w:tcPr/>
          <w:p>
            <w:pPr>
              <w:pStyle w:val="Compact"/>
            </w:pPr>
            <w:r>
              <w:t xml:space="preserve">Seegräben 2022</w:t>
            </w:r>
          </w:p>
        </w:tc>
        <w:tc>
          <w:tcPr/>
          <w:p>
            <w:pPr>
              <w:pStyle w:val="Compact"/>
            </w:pPr>
            <w:r>
              <w:t xml:space="preserve">47.3</w:t>
            </w:r>
          </w:p>
        </w:tc>
        <w:tc>
          <w:tcPr/>
          <w:p>
            <w:pPr>
              <w:pStyle w:val="Compact"/>
            </w:pPr>
            <w:r>
              <w:t xml:space="preserve">8.9</w:t>
            </w:r>
          </w:p>
        </w:tc>
        <w:tc>
          <w:tcPr/>
          <w:p>
            <w:pPr>
              <w:pStyle w:val="Compact"/>
            </w:pPr>
            <w:r>
              <w:t xml:space="preserve">Silage maize</w:t>
            </w:r>
          </w:p>
        </w:tc>
        <w:tc>
          <w:tcPr/>
          <w:p>
            <w:pPr>
              <w:pStyle w:val="Compact"/>
            </w:pPr>
            <w:r>
              <w:t xml:space="preserve">Winter wheat</w:t>
            </w:r>
          </w:p>
        </w:tc>
        <w:tc>
          <w:tcPr/>
          <w:p>
            <w:pPr>
              <w:pStyle w:val="Compact"/>
            </w:pPr>
            <w:r>
              <w:t xml:space="preserve">March 10</w:t>
            </w:r>
          </w:p>
        </w:tc>
        <w:tc>
          <w:tcPr/>
          <w:p>
            <w:pPr>
              <w:pStyle w:val="Compact"/>
            </w:pPr>
            <w:r>
              <w:t xml:space="preserve">March 17 (mechanical)</w:t>
            </w:r>
          </w:p>
        </w:tc>
        <w:tc>
          <w:tcPr/>
          <w:p>
            <w:pPr>
              <w:pStyle w:val="Compact"/>
            </w:pPr>
            <w:r>
              <w:t xml:space="preserve">March 31 (mechanical)</w:t>
            </w:r>
          </w:p>
        </w:tc>
        <w:tc>
          <w:tcPr/>
          <w:p>
            <w:pPr>
              <w:pStyle w:val="Compact"/>
            </w:pPr>
            <w:r>
              <w:t xml:space="preserve">27.5</w:t>
            </w:r>
          </w:p>
        </w:tc>
        <w:tc>
          <w:tcPr/>
          <w:p>
            <w:pPr>
              <w:pStyle w:val="Compact"/>
            </w:pPr>
            <w:r>
              <w:t xml:space="preserve">-</w:t>
            </w:r>
          </w:p>
        </w:tc>
        <w:tc>
          <w:tcPr/>
          <w:p>
            <w:pPr>
              <w:pStyle w:val="Compact"/>
            </w:pPr>
            <w:r>
              <w:t xml:space="preserve">July 19</w:t>
            </w:r>
          </w:p>
        </w:tc>
        <w:tc>
          <w:tcPr/>
          <w:p>
            <w:pPr>
              <w:pStyle w:val="Compact"/>
            </w:pPr>
            <w:r>
              <w:t xml:space="preserve">Sandy loam</w:t>
            </w:r>
          </w:p>
        </w:tc>
      </w:tr>
      <w:tr>
        <w:tc>
          <w:tcPr/>
          <w:p>
            <w:pPr>
              <w:pStyle w:val="Compact"/>
            </w:pPr>
            <w:r>
              <w:t xml:space="preserve">Seegräben 2023</w:t>
            </w:r>
          </w:p>
        </w:tc>
        <w:tc>
          <w:tcPr/>
          <w:p>
            <w:pPr>
              <w:pStyle w:val="Compact"/>
            </w:pPr>
            <w:r>
              <w:t xml:space="preserve">47.4</w:t>
            </w:r>
          </w:p>
        </w:tc>
        <w:tc>
          <w:tcPr/>
          <w:p>
            <w:pPr>
              <w:pStyle w:val="Compact"/>
            </w:pPr>
            <w:r>
              <w:t xml:space="preserve">8.9</w:t>
            </w:r>
          </w:p>
        </w:tc>
        <w:tc>
          <w:tcPr/>
          <w:p>
            <w:pPr>
              <w:pStyle w:val="Compact"/>
            </w:pPr>
            <w:r>
              <w:t xml:space="preserve">Silage maize</w:t>
            </w:r>
          </w:p>
        </w:tc>
        <w:tc>
          <w:tcPr/>
          <w:p>
            <w:pPr>
              <w:pStyle w:val="Compact"/>
            </w:pPr>
            <w:r>
              <w:t xml:space="preserve">Winter barley</w:t>
            </w:r>
          </w:p>
        </w:tc>
        <w:tc>
          <w:tcPr/>
          <w:p>
            <w:pPr>
              <w:pStyle w:val="Compact"/>
            </w:pPr>
            <w:r>
              <w:t xml:space="preserve">February 22</w:t>
            </w:r>
          </w:p>
        </w:tc>
        <w:tc>
          <w:tcPr/>
          <w:p>
            <w:pPr>
              <w:pStyle w:val="Compact"/>
            </w:pPr>
            <w:r>
              <w:t xml:space="preserve">March 1 (mechanical)</w:t>
            </w:r>
          </w:p>
        </w:tc>
        <w:tc>
          <w:tcPr/>
          <w:p>
            <w:pPr>
              <w:pStyle w:val="Compact"/>
            </w:pPr>
            <w:r>
              <w:t xml:space="preserve">April 5 (mechanical)</w:t>
            </w:r>
          </w:p>
        </w:tc>
        <w:tc>
          <w:tcPr/>
          <w:p>
            <w:pPr>
              <w:pStyle w:val="Compact"/>
            </w:pPr>
            <w:r>
              <w:t xml:space="preserve">30</w:t>
            </w:r>
          </w:p>
        </w:tc>
        <w:tc>
          <w:tcPr/>
          <w:p>
            <w:pPr>
              <w:pStyle w:val="Compact"/>
            </w:pPr>
            <w:r>
              <w:t xml:space="preserve">-</w:t>
            </w:r>
          </w:p>
        </w:tc>
        <w:tc>
          <w:tcPr/>
          <w:p>
            <w:pPr>
              <w:pStyle w:val="Compact"/>
            </w:pPr>
            <w:r>
              <w:t xml:space="preserve">July 19</w:t>
            </w:r>
          </w:p>
        </w:tc>
        <w:tc>
          <w:tcPr/>
          <w:p>
            <w:pPr>
              <w:pStyle w:val="Compact"/>
            </w:pPr>
            <w:r>
              <w:t xml:space="preserve">Sandy loam</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3" w:name="tbl-mdls"/>
          <w:p>
            <w:pPr>
              <w:jc w:val="center"/>
            </w:pPr>
            <w:pPr>
              <w:jc w:val="left"/>
              <w:spacing w:before="200"/>
              <w:pStyle w:val="ImageCaption"/>
            </w:pPr>
            <w:r>
              <w:t xml:space="preserve">Table 5</w:t>
            </w:r>
          </w:p>
          <w:p>
            <w:pPr>
              <w:pStyle w:val="Compact"/>
              <w:jc w:val="center"/>
            </w:pPr>
            <w:r>
              <w:t xml:space="preserve">Table S2: Statistical models deployed to analyse the data. The characteristics explain the details of the model. Each response variable (attribute) in the present study was analysed with one or more of the models listed in the table. To analyse the effect of canopy height difference onto the narrow-leaved lupin proportion and the total yield, model M3 was adapted replacing the predictor treatment with canopy height difference.</w:t>
            </w:r>
          </w:p>
          <w:bookmarkEnd w:id="63"/>
        </w:tc>
      </w:tr>
    </w:tbl>
    <w:p>
      <w:pPr>
        <w:pStyle w:val="BodyText"/>
      </w:pPr>
      <w:r>
        <w:t xml:space="preserve"> </w:t>
      </w:r>
    </w:p>
    <w:tbl>
      <w:tblPr>
        <w:tblStyle w:val="Table"/>
        <w:tblW w:type="pct" w:w="5000"/>
        <w:tblLayout w:type="fixed"/>
        <w:tblLook w:firstRow="1" w:lastRow="0" w:firstColumn="0" w:lastColumn="0" w:noHBand="0" w:noVBand="0" w:val="0020"/>
      </w:tblPr>
      <w:tblGrid>
        <w:gridCol w:w="1342"/>
        <w:gridCol w:w="6577"/>
      </w:tblGrid>
      <w:tr>
        <w:trPr>
          <w:tblHeader w:val="on"/>
        </w:trPr>
        <w:tc>
          <w:tcPr/>
          <w:p>
            <w:pPr>
              <w:pStyle w:val="Compact"/>
            </w:pPr>
            <w:r>
              <w:t xml:space="preserve">Model</w:t>
            </w:r>
          </w:p>
        </w:tc>
        <w:tc>
          <w:tcPr/>
          <w:p>
            <w:pPr>
              <w:pStyle w:val="Compact"/>
            </w:pPr>
            <w:r>
              <w:t xml:space="preserve">Characteristics</w:t>
            </w:r>
          </w:p>
        </w:tc>
      </w:tr>
      <w:tr>
        <w:tc>
          <w:tcPr/>
          <w:p>
            <w:pPr>
              <w:pStyle w:val="Compact"/>
            </w:pPr>
            <w:r>
              <w:t xml:space="preserve">M1</w:t>
            </w:r>
          </w:p>
        </w:tc>
        <w:tc>
          <w:tcPr/>
          <w:p>
            <w:pPr>
              <w:pStyle w:val="Compact"/>
            </w:pPr>
            <w:r>
              <w:t xml:space="preserve">This model answered if the response variable differed in mixtures and pure NLLs (or analogously oats) across all varieties. It performed an ANOVA using the NLL/oat-variety and the binary variable stand = mixed. This model considered each species separately.</w:t>
            </w:r>
          </w:p>
        </w:tc>
      </w:tr>
      <w:tr>
        <w:tc>
          <w:tcPr/>
          <w:p>
            <w:pPr>
              <w:pStyle w:val="Compact"/>
            </w:pPr>
            <w:r>
              <w:t xml:space="preserve">M2</w:t>
            </w:r>
          </w:p>
        </w:tc>
        <w:tc>
          <w:tcPr/>
          <w:p>
            <w:pPr>
              <w:pStyle w:val="Compact"/>
            </w:pPr>
            <w:r>
              <w:t xml:space="preserve">M2 answered if the response variable differed in mixtures and pure NLLs or oats. Here, this was achieved by computing the linear contrasts of each pure NLL/oat variety with the mean of its respective mixtures. This model considered each species separately.</w:t>
            </w:r>
          </w:p>
        </w:tc>
      </w:tr>
      <w:tr>
        <w:tc>
          <w:tcPr/>
          <w:p>
            <w:pPr>
              <w:pStyle w:val="Compact"/>
            </w:pPr>
            <w:r>
              <w:t xml:space="preserve">M3</w:t>
            </w:r>
          </w:p>
        </w:tc>
        <w:tc>
          <w:tcPr/>
          <w:p>
            <w:pPr>
              <w:pStyle w:val="Compact"/>
            </w:pPr>
            <w:r>
              <w:t xml:space="preserve">On the subset of only mixed plots, M3 performed a two-way (mixed) ANOVA with the factors oat variety and NLL variety (adjusting for location, year, and block). This model considered both species together. Further, M3 performed post-hoc comparisons of the treatments and locations.</w:t>
            </w:r>
          </w:p>
        </w:tc>
      </w:tr>
      <w:tr>
        <w:tc>
          <w:tcPr/>
          <w:p>
            <w:pPr>
              <w:pStyle w:val="Compact"/>
            </w:pPr>
            <w:r>
              <w:t xml:space="preserve">M4</w:t>
            </w:r>
          </w:p>
        </w:tc>
        <w:tc>
          <w:tcPr/>
          <w:p>
            <w:pPr>
              <w:pStyle w:val="Compact"/>
            </w:pPr>
            <w:r>
              <w:t xml:space="preserve">M4 answered the question, if the estimated value of the treatments with mixed stands (e.g. the land equivalent ratio) was significantly different from an expected value (e.g. LER = 1) after a Bonferroni correction (with the respective 12 coefficients).</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4" w:name="tbl-yield-locationyear"/>
          <w:p>
            <w:pPr>
              <w:jc w:val="center"/>
            </w:pPr>
            <w:pPr>
              <w:jc w:val="left"/>
              <w:spacing w:before="200"/>
              <w:pStyle w:val="ImageCaption"/>
            </w:pPr>
            <w:r>
              <w:t xml:space="preserve">Table 6</w:t>
            </w:r>
          </w:p>
          <w:p>
            <w:pPr>
              <w:pStyle w:val="Compact"/>
              <w:jc w:val="center"/>
            </w:pPr>
            <w:r>
              <w:t xml:space="preserve">Table S3: Year × location median yields and median absolute deviations (tha</w:t>
            </w:r>
            <w:r>
              <w:rPr>
                <w:vertAlign w:val="superscript"/>
              </w:rPr>
              <w:t xml:space="preserve">-1</w:t>
            </w:r>
            <w:r>
              <w:t xml:space="preserve">) aggregated across blocks.</w:t>
            </w:r>
          </w:p>
          <w:bookmarkEnd w:id="64"/>
        </w:tc>
      </w:tr>
    </w:tbl>
    <w:p>
      <w:pPr>
        <w:pStyle w:val="BodyText"/>
      </w:pPr>
      <w:r>
        <w:t xml:space="preserve"> </w:t>
      </w:r>
    </w:p>
    <w:tbl>
      <w:tblPr>
        <w:tblStyle w:val="Table"/>
        <w:tblW w:type="pct" w:w="5000"/>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Treatment</w:t>
            </w:r>
          </w:p>
        </w:tc>
        <w:tc>
          <w:tcPr/>
          <w:p>
            <w:pPr>
              <w:pStyle w:val="Compact"/>
            </w:pPr>
            <w:r>
              <w:t xml:space="preserve">Gross 2022</w:t>
            </w:r>
          </w:p>
        </w:tc>
        <w:tc>
          <w:tcPr/>
          <w:p>
            <w:pPr>
              <w:pStyle w:val="Compact"/>
            </w:pPr>
            <w:r>
              <w:t xml:space="preserve">Gross 2023</w:t>
            </w:r>
          </w:p>
        </w:tc>
        <w:tc>
          <w:tcPr/>
          <w:p>
            <w:pPr>
              <w:pStyle w:val="Compact"/>
            </w:pPr>
            <w:r>
              <w:t xml:space="preserve">Gross 2024</w:t>
            </w:r>
          </w:p>
        </w:tc>
        <w:tc>
          <w:tcPr/>
          <w:p>
            <w:pPr>
              <w:pStyle w:val="Compact"/>
            </w:pPr>
            <w:r>
              <w:t xml:space="preserve">Novi 2022</w:t>
            </w:r>
          </w:p>
        </w:tc>
        <w:tc>
          <w:tcPr/>
          <w:p>
            <w:pPr>
              <w:pStyle w:val="Compact"/>
            </w:pPr>
            <w:r>
              <w:t xml:space="preserve">Novi 2023</w:t>
            </w:r>
          </w:p>
        </w:tc>
        <w:tc>
          <w:tcPr/>
          <w:p>
            <w:pPr>
              <w:pStyle w:val="Compact"/>
            </w:pPr>
            <w:r>
              <w:t xml:space="preserve">Novi 2024</w:t>
            </w:r>
          </w:p>
        </w:tc>
        <w:tc>
          <w:tcPr/>
          <w:p>
            <w:pPr>
              <w:pStyle w:val="Compact"/>
            </w:pPr>
            <w:r>
              <w:t xml:space="preserve">Re 2022</w:t>
            </w:r>
          </w:p>
        </w:tc>
        <w:tc>
          <w:tcPr/>
          <w:p>
            <w:pPr>
              <w:pStyle w:val="Compact"/>
            </w:pPr>
            <w:r>
              <w:t xml:space="preserve">Re 2023</w:t>
            </w:r>
          </w:p>
        </w:tc>
        <w:tc>
          <w:tcPr/>
          <w:p>
            <w:pPr>
              <w:pStyle w:val="Compact"/>
            </w:pPr>
            <w:r>
              <w:t xml:space="preserve">Seegr 2022</w:t>
            </w:r>
          </w:p>
        </w:tc>
        <w:tc>
          <w:tcPr/>
          <w:p>
            <w:pPr>
              <w:pStyle w:val="Compact"/>
            </w:pPr>
            <w:r>
              <w:t xml:space="preserve">Seegr 2023</w:t>
            </w:r>
          </w:p>
        </w:tc>
        <w:tc>
          <w:tcPr/>
          <w:p>
            <w:pPr>
              <w:pStyle w:val="Compact"/>
            </w:pPr>
            <w:r>
              <w:t xml:space="preserve">Vilbel 2022</w:t>
            </w:r>
          </w:p>
        </w:tc>
        <w:tc>
          <w:tcPr/>
          <w:p>
            <w:pPr>
              <w:pStyle w:val="Compact"/>
            </w:pPr>
            <w:r>
              <w:t xml:space="preserve">Vilbel 2023</w:t>
            </w:r>
          </w:p>
        </w:tc>
        <w:tc>
          <w:tcPr/>
          <w:p>
            <w:pPr>
              <w:pStyle w:val="Compact"/>
            </w:pPr>
            <w:r>
              <w:t xml:space="preserve">Vilbel 2024</w:t>
            </w:r>
          </w:p>
        </w:tc>
      </w:tr>
      <w:tr>
        <w:tc>
          <w:tcPr/>
          <w:p>
            <w:pPr>
              <w:pStyle w:val="Compact"/>
            </w:pPr>
            <w:r>
              <w:t xml:space="preserve">Bison</w:t>
            </w:r>
          </w:p>
        </w:tc>
        <w:tc>
          <w:tcPr/>
          <w:p>
            <w:pPr>
              <w:pStyle w:val="Compact"/>
            </w:pPr>
            <w:r>
              <w:t xml:space="preserve">3.83 ± 0.01</w:t>
            </w:r>
          </w:p>
        </w:tc>
        <w:tc>
          <w:tcPr/>
          <w:p>
            <w:pPr>
              <w:pStyle w:val="Compact"/>
            </w:pPr>
            <w:r>
              <w:t xml:space="preserve">2.30 ± 0.08</w:t>
            </w:r>
          </w:p>
        </w:tc>
        <w:tc>
          <w:tcPr/>
          <w:p>
            <w:pPr>
              <w:pStyle w:val="Compact"/>
            </w:pPr>
            <w:r>
              <w:t xml:space="preserve">4.85 ± 0.12</w:t>
            </w:r>
          </w:p>
        </w:tc>
        <w:tc>
          <w:tcPr/>
          <w:p>
            <w:pPr>
              <w:pStyle w:val="Compact"/>
            </w:pPr>
            <w:r>
              <w:t xml:space="preserve">2.95 ± 0.22</w:t>
            </w:r>
          </w:p>
        </w:tc>
        <w:tc>
          <w:tcPr/>
          <w:p>
            <w:pPr>
              <w:pStyle w:val="Compact"/>
            </w:pPr>
            <w:r>
              <w:t xml:space="preserve">3.33 ± 0.11</w:t>
            </w:r>
          </w:p>
        </w:tc>
        <w:tc>
          <w:tcPr/>
          <w:p>
            <w:pPr>
              <w:pStyle w:val="Compact"/>
            </w:pPr>
            <w:r>
              <w:t xml:space="preserve">4.38 ± 0.06</w:t>
            </w:r>
          </w:p>
        </w:tc>
        <w:tc>
          <w:tcPr/>
          <w:p>
            <w:pPr>
              <w:pStyle w:val="Compact"/>
            </w:pPr>
            <w:r>
              <w:t xml:space="preserve">4.51 ± 0.69</w:t>
            </w:r>
          </w:p>
        </w:tc>
        <w:tc>
          <w:tcPr/>
          <w:p>
            <w:pPr>
              <w:pStyle w:val="Compact"/>
            </w:pPr>
            <w:r>
              <w:t xml:space="preserve">3.33 ± 0.28</w:t>
            </w:r>
          </w:p>
        </w:tc>
        <w:tc>
          <w:tcPr/>
          <w:p>
            <w:pPr>
              <w:pStyle w:val="Compact"/>
            </w:pPr>
            <w:r>
              <w:t xml:space="preserve">5.35 ± 0.35</w:t>
            </w:r>
          </w:p>
        </w:tc>
        <w:tc>
          <w:tcPr/>
          <w:p>
            <w:pPr>
              <w:pStyle w:val="Compact"/>
            </w:pPr>
            <w:r>
              <w:t xml:space="preserve">3.06 ± 0.21</w:t>
            </w:r>
          </w:p>
        </w:tc>
        <w:tc>
          <w:tcPr/>
          <w:p>
            <w:pPr>
              <w:pStyle w:val="Compact"/>
            </w:pPr>
            <w:r>
              <w:t xml:space="preserve">2.81 ± 0.12</w:t>
            </w:r>
          </w:p>
        </w:tc>
        <w:tc>
          <w:tcPr/>
          <w:p>
            <w:pPr>
              <w:pStyle w:val="Compact"/>
            </w:pPr>
            <w:r>
              <w:t xml:space="preserve">0.77 ± 0.14</w:t>
            </w:r>
          </w:p>
        </w:tc>
        <w:tc>
          <w:tcPr/>
          <w:p>
            <w:pPr>
              <w:pStyle w:val="Compact"/>
            </w:pPr>
            <w:r>
              <w:t xml:space="preserve">1.96 ± 0.19</w:t>
            </w:r>
          </w:p>
        </w:tc>
      </w:tr>
      <w:tr>
        <w:tc>
          <w:tcPr/>
          <w:p>
            <w:pPr>
              <w:pStyle w:val="Compact"/>
            </w:pPr>
            <w:r>
              <w:t xml:space="preserve">Lion</w:t>
            </w:r>
          </w:p>
        </w:tc>
        <w:tc>
          <w:tcPr/>
          <w:p>
            <w:pPr>
              <w:pStyle w:val="Compact"/>
            </w:pPr>
            <w:r>
              <w:t xml:space="preserve">3.39 ± 0.17</w:t>
            </w:r>
          </w:p>
        </w:tc>
        <w:tc>
          <w:tcPr/>
          <w:p>
            <w:pPr>
              <w:pStyle w:val="Compact"/>
            </w:pPr>
            <w:r>
              <w:t xml:space="preserve">3.24 ± 0.02</w:t>
            </w:r>
          </w:p>
        </w:tc>
        <w:tc>
          <w:tcPr/>
          <w:p>
            <w:pPr>
              <w:pStyle w:val="Compact"/>
            </w:pPr>
            <w:r>
              <w:t xml:space="preserve">4.58 ± 0.15</w:t>
            </w:r>
          </w:p>
        </w:tc>
        <w:tc>
          <w:tcPr/>
          <w:p>
            <w:pPr>
              <w:pStyle w:val="Compact"/>
            </w:pPr>
            <w:r>
              <w:t xml:space="preserve">2.95 ± 0.17</w:t>
            </w:r>
          </w:p>
        </w:tc>
        <w:tc>
          <w:tcPr/>
          <w:p>
            <w:pPr>
              <w:pStyle w:val="Compact"/>
            </w:pPr>
            <w:r>
              <w:t xml:space="preserve">4.56 ± 0.17</w:t>
            </w:r>
          </w:p>
        </w:tc>
        <w:tc>
          <w:tcPr/>
          <w:p>
            <w:pPr>
              <w:pStyle w:val="Compact"/>
            </w:pPr>
            <w:r>
              <w:t xml:space="preserve">4.22 ± 0.22</w:t>
            </w:r>
          </w:p>
        </w:tc>
        <w:tc>
          <w:tcPr/>
          <w:p>
            <w:pPr>
              <w:pStyle w:val="Compact"/>
            </w:pPr>
            <w:r>
              <w:t xml:space="preserve">4.93 ± 0.35</w:t>
            </w:r>
          </w:p>
        </w:tc>
        <w:tc>
          <w:tcPr/>
          <w:p>
            <w:pPr>
              <w:pStyle w:val="Compact"/>
            </w:pPr>
            <w:r>
              <w:t xml:space="preserve">3.75 ± 0.21</w:t>
            </w:r>
          </w:p>
        </w:tc>
        <w:tc>
          <w:tcPr/>
          <w:p>
            <w:pPr>
              <w:pStyle w:val="Compact"/>
            </w:pPr>
            <w:r>
              <w:t xml:space="preserve">5.42 ± 0.07</w:t>
            </w:r>
          </w:p>
        </w:tc>
        <w:tc>
          <w:tcPr/>
          <w:p>
            <w:pPr>
              <w:pStyle w:val="Compact"/>
            </w:pPr>
            <w:r>
              <w:t xml:space="preserve">3.13 ± 0.14</w:t>
            </w:r>
          </w:p>
        </w:tc>
        <w:tc>
          <w:tcPr/>
          <w:p>
            <w:pPr>
              <w:pStyle w:val="Compact"/>
            </w:pPr>
            <w:r>
              <w:t xml:space="preserve">3.24 ± 0.52</w:t>
            </w:r>
          </w:p>
        </w:tc>
        <w:tc>
          <w:tcPr/>
          <w:p>
            <w:pPr>
              <w:pStyle w:val="Compact"/>
            </w:pPr>
            <w:r>
              <w:t xml:space="preserve">1.60 ± 0.00</w:t>
            </w:r>
          </w:p>
        </w:tc>
        <w:tc>
          <w:tcPr/>
          <w:p>
            <w:pPr>
              <w:pStyle w:val="Compact"/>
            </w:pPr>
            <w:r>
              <w:t xml:space="preserve">2.70 ± 0.33</w:t>
            </w:r>
          </w:p>
        </w:tc>
      </w:tr>
      <w:tr>
        <w:tc>
          <w:tcPr/>
          <w:p>
            <w:pPr>
              <w:pStyle w:val="Compact"/>
            </w:pPr>
            <w:r>
              <w:t xml:space="preserve">Troll</w:t>
            </w:r>
          </w:p>
        </w:tc>
        <w:tc>
          <w:tcPr/>
          <w:p>
            <w:pPr>
              <w:pStyle w:val="Compact"/>
            </w:pPr>
            <w:r>
              <w:t xml:space="preserve">3.95 ± 0.41</w:t>
            </w:r>
          </w:p>
        </w:tc>
        <w:tc>
          <w:tcPr/>
          <w:p>
            <w:pPr>
              <w:pStyle w:val="Compact"/>
            </w:pPr>
            <w:r>
              <w:t xml:space="preserve">2.05 ± 0.15</w:t>
            </w:r>
          </w:p>
        </w:tc>
        <w:tc>
          <w:tcPr/>
          <w:p>
            <w:pPr>
              <w:pStyle w:val="Compact"/>
            </w:pPr>
            <w:r>
              <w:t xml:space="preserve">4.75 ± 0.37</w:t>
            </w:r>
          </w:p>
        </w:tc>
        <w:tc>
          <w:tcPr/>
          <w:p>
            <w:pPr>
              <w:pStyle w:val="Compact"/>
            </w:pPr>
            <w:r>
              <w:t xml:space="preserve">3.17 ± 0.17</w:t>
            </w:r>
          </w:p>
        </w:tc>
        <w:tc>
          <w:tcPr/>
          <w:p>
            <w:pPr>
              <w:pStyle w:val="Compact"/>
            </w:pPr>
            <w:r>
              <w:t xml:space="preserve">3.67 ± 0.50</w:t>
            </w:r>
          </w:p>
        </w:tc>
        <w:tc>
          <w:tcPr/>
          <w:p>
            <w:pPr>
              <w:pStyle w:val="Compact"/>
            </w:pPr>
            <w:r>
              <w:t xml:space="preserve">3.73 ± 0.23</w:t>
            </w:r>
          </w:p>
        </w:tc>
        <w:tc>
          <w:tcPr/>
          <w:p>
            <w:pPr>
              <w:pStyle w:val="Compact"/>
            </w:pPr>
            <w:r>
              <w:t xml:space="preserve">3.82 ± 0.49</w:t>
            </w:r>
          </w:p>
        </w:tc>
        <w:tc>
          <w:tcPr/>
          <w:p>
            <w:pPr>
              <w:pStyle w:val="Compact"/>
            </w:pPr>
            <w:r>
              <w:t xml:space="preserve">3.47 ± 0.14</w:t>
            </w:r>
          </w:p>
        </w:tc>
        <w:tc>
          <w:tcPr/>
          <w:p>
            <w:pPr>
              <w:pStyle w:val="Compact"/>
            </w:pPr>
            <w:r>
              <w:t xml:space="preserve">4.79 ± 0.42</w:t>
            </w:r>
          </w:p>
        </w:tc>
        <w:tc>
          <w:tcPr/>
          <w:p>
            <w:pPr>
              <w:pStyle w:val="Compact"/>
            </w:pPr>
            <w:r>
              <w:t xml:space="preserve">2.71 ± 0.07</w:t>
            </w:r>
          </w:p>
        </w:tc>
        <w:tc>
          <w:tcPr/>
          <w:p>
            <w:pPr>
              <w:pStyle w:val="Compact"/>
            </w:pPr>
            <w:r>
              <w:t xml:space="preserve">2.46 ± 0.34</w:t>
            </w:r>
          </w:p>
        </w:tc>
        <w:tc>
          <w:tcPr/>
          <w:p>
            <w:pPr>
              <w:pStyle w:val="Compact"/>
            </w:pPr>
            <w:r>
              <w:t xml:space="preserve">1.22 ± 0.28</w:t>
            </w:r>
          </w:p>
        </w:tc>
        <w:tc>
          <w:tcPr/>
          <w:p>
            <w:pPr>
              <w:pStyle w:val="Compact"/>
            </w:pPr>
            <w:r>
              <w:t xml:space="preserve">2.11 ± 0.39</w:t>
            </w:r>
          </w:p>
        </w:tc>
      </w:tr>
      <w:tr>
        <w:tc>
          <w:tcPr/>
          <w:p>
            <w:pPr>
              <w:pStyle w:val="Compact"/>
            </w:pPr>
            <w:r>
              <w:t xml:space="preserve">Bison_N</w:t>
            </w:r>
          </w:p>
        </w:tc>
        <w:tc>
          <w:tcPr/>
          <w:p>
            <w:pPr>
              <w:pStyle w:val="Compact"/>
            </w:pPr>
            <w:r>
              <w:t xml:space="preserve">4.88 ± 0.31</w:t>
            </w:r>
          </w:p>
        </w:tc>
        <w:tc>
          <w:tcPr/>
          <w:p>
            <w:pPr>
              <w:pStyle w:val="Compact"/>
            </w:pPr>
            <w:r>
              <w:t xml:space="preserve">2.52 ± 0.08</w:t>
            </w:r>
          </w:p>
        </w:tc>
        <w:tc>
          <w:tcPr/>
          <w:p>
            <w:pPr>
              <w:pStyle w:val="Compact"/>
            </w:pPr>
            <w:r>
              <w:t xml:space="preserve">5.07 ± 0.47</w:t>
            </w:r>
          </w:p>
        </w:tc>
        <w:tc>
          <w:tcPr/>
          <w:p>
            <w:pPr>
              <w:pStyle w:val="Compact"/>
            </w:pPr>
            <w:r>
              <w:t xml:space="preserve">3.38 ± 0.34</w:t>
            </w:r>
          </w:p>
        </w:tc>
        <w:tc>
          <w:tcPr/>
          <w:p>
            <w:pPr>
              <w:pStyle w:val="Compact"/>
            </w:pPr>
            <w:r>
              <w:t xml:space="preserve">3.55 ± 0.34</w:t>
            </w:r>
          </w:p>
        </w:tc>
        <w:tc>
          <w:tcPr/>
          <w:p>
            <w:pPr>
              <w:pStyle w:val="Compact"/>
            </w:pPr>
            <w:r>
              <w:t xml:space="preserve">4.33 ± 0.06</w:t>
            </w:r>
          </w:p>
        </w:tc>
        <w:tc>
          <w:tcPr/>
          <w:p>
            <w:pPr>
              <w:pStyle w:val="Compact"/>
            </w:pPr>
            <w:r>
              <w:t xml:space="preserve">4.93 ± 0.28</w:t>
            </w:r>
          </w:p>
        </w:tc>
        <w:tc>
          <w:tcPr/>
          <w:p>
            <w:pPr>
              <w:pStyle w:val="Compact"/>
            </w:pPr>
            <w:r>
              <w:t xml:space="preserve">4.79 ± 0.42</w:t>
            </w:r>
          </w:p>
        </w:tc>
        <w:tc>
          <w:tcPr/>
          <w:p>
            <w:pPr>
              <w:pStyle w:val="Compact"/>
            </w:pPr>
            <w:r>
              <w:t xml:space="preserve">6.04 ± 0.42</w:t>
            </w:r>
          </w:p>
        </w:tc>
        <w:tc>
          <w:tcPr/>
          <w:p>
            <w:pPr>
              <w:pStyle w:val="Compact"/>
            </w:pPr>
            <w:r>
              <w:t xml:space="preserve">4.03 ± 0.21</w:t>
            </w:r>
          </w:p>
        </w:tc>
        <w:tc>
          <w:tcPr/>
          <w:p>
            <w:pPr>
              <w:pStyle w:val="Compact"/>
            </w:pPr>
            <w:r>
              <w:t xml:space="preserve">3.31 ± 0.13</w:t>
            </w:r>
          </w:p>
        </w:tc>
        <w:tc>
          <w:tcPr/>
          <w:p>
            <w:pPr>
              <w:pStyle w:val="Compact"/>
            </w:pPr>
            <w:r>
              <w:t xml:space="preserve">1.33 ± 0.52</w:t>
            </w:r>
          </w:p>
        </w:tc>
        <w:tc>
          <w:tcPr/>
          <w:p>
            <w:pPr>
              <w:pStyle w:val="Compact"/>
            </w:pPr>
            <w:r>
              <w:t xml:space="preserve">2.03 ± 0.47</w:t>
            </w:r>
          </w:p>
        </w:tc>
      </w:tr>
      <w:tr>
        <w:tc>
          <w:tcPr/>
          <w:p>
            <w:pPr>
              <w:pStyle w:val="Compact"/>
            </w:pPr>
            <w:r>
              <w:t xml:space="preserve">Lion_N</w:t>
            </w:r>
          </w:p>
        </w:tc>
        <w:tc>
          <w:tcPr/>
          <w:p>
            <w:pPr>
              <w:pStyle w:val="Compact"/>
            </w:pPr>
            <w:r>
              <w:t xml:space="preserve">4.29 ± 0.25</w:t>
            </w:r>
          </w:p>
        </w:tc>
        <w:tc>
          <w:tcPr/>
          <w:p>
            <w:pPr>
              <w:pStyle w:val="Compact"/>
            </w:pPr>
            <w:r>
              <w:t xml:space="preserve">2.60 ± 0.59</w:t>
            </w:r>
          </w:p>
        </w:tc>
        <w:tc>
          <w:tcPr/>
          <w:p>
            <w:pPr>
              <w:pStyle w:val="Compact"/>
            </w:pPr>
            <w:r>
              <w:t xml:space="preserve">4.17 ± 0.71</w:t>
            </w:r>
          </w:p>
        </w:tc>
        <w:tc>
          <w:tcPr/>
          <w:p>
            <w:pPr>
              <w:pStyle w:val="Compact"/>
            </w:pPr>
            <w:r>
              <w:t xml:space="preserve">2.95 ± 0.11</w:t>
            </w:r>
          </w:p>
        </w:tc>
        <w:tc>
          <w:tcPr/>
          <w:p>
            <w:pPr>
              <w:pStyle w:val="Compact"/>
            </w:pPr>
            <w:r>
              <w:t xml:space="preserve">4.55 ± 0.34</w:t>
            </w:r>
          </w:p>
        </w:tc>
        <w:tc>
          <w:tcPr/>
          <w:p>
            <w:pPr>
              <w:pStyle w:val="Compact"/>
            </w:pPr>
            <w:r>
              <w:t xml:space="preserve">4.17 ± 0.39</w:t>
            </w:r>
          </w:p>
        </w:tc>
        <w:tc>
          <w:tcPr/>
          <w:p>
            <w:pPr>
              <w:pStyle w:val="Compact"/>
            </w:pPr>
            <w:r>
              <w:t xml:space="preserve">5.07 ± 0.63</w:t>
            </w:r>
          </w:p>
        </w:tc>
        <w:tc>
          <w:tcPr/>
          <w:p>
            <w:pPr>
              <w:pStyle w:val="Compact"/>
            </w:pPr>
            <w:r>
              <w:t xml:space="preserve">5.69 ± 0.07</w:t>
            </w:r>
          </w:p>
        </w:tc>
        <w:tc>
          <w:tcPr/>
          <w:p>
            <w:pPr>
              <w:pStyle w:val="Compact"/>
            </w:pPr>
            <w:r>
              <w:t xml:space="preserve">6.53 ± 0.07</w:t>
            </w:r>
          </w:p>
        </w:tc>
        <w:tc>
          <w:tcPr/>
          <w:p>
            <w:pPr>
              <w:pStyle w:val="Compact"/>
            </w:pPr>
            <w:r>
              <w:t xml:space="preserve">4.10 ± 0.14</w:t>
            </w:r>
          </w:p>
        </w:tc>
        <w:tc>
          <w:tcPr/>
          <w:p>
            <w:pPr>
              <w:pStyle w:val="Compact"/>
            </w:pPr>
            <w:r>
              <w:t xml:space="preserve">3.02 ± 0.23</w:t>
            </w:r>
          </w:p>
        </w:tc>
        <w:tc>
          <w:tcPr/>
          <w:p>
            <w:pPr>
              <w:pStyle w:val="Compact"/>
            </w:pPr>
            <w:r>
              <w:t xml:space="preserve">1.62 ± 0.20</w:t>
            </w:r>
          </w:p>
        </w:tc>
        <w:tc>
          <w:tcPr/>
          <w:p>
            <w:pPr>
              <w:pStyle w:val="Compact"/>
            </w:pPr>
            <w:r>
              <w:t xml:space="preserve">2.89 ± 0.67</w:t>
            </w:r>
          </w:p>
        </w:tc>
      </w:tr>
      <w:tr>
        <w:tc>
          <w:tcPr/>
          <w:p>
            <w:pPr>
              <w:pStyle w:val="Compact"/>
            </w:pPr>
            <w:r>
              <w:t xml:space="preserve">Troll_N</w:t>
            </w:r>
          </w:p>
        </w:tc>
        <w:tc>
          <w:tcPr/>
          <w:p>
            <w:pPr>
              <w:pStyle w:val="Compact"/>
            </w:pPr>
            <w:r>
              <w:t xml:space="preserve">4.27 ± 0.11</w:t>
            </w:r>
          </w:p>
        </w:tc>
        <w:tc>
          <w:tcPr/>
          <w:p>
            <w:pPr>
              <w:pStyle w:val="Compact"/>
            </w:pPr>
            <w:r>
              <w:t xml:space="preserve">2.33 ± 0.14</w:t>
            </w:r>
          </w:p>
        </w:tc>
        <w:tc>
          <w:tcPr/>
          <w:p>
            <w:pPr>
              <w:pStyle w:val="Compact"/>
            </w:pPr>
            <w:r>
              <w:t xml:space="preserve">4.77 ± 0.08</w:t>
            </w:r>
          </w:p>
        </w:tc>
        <w:tc>
          <w:tcPr/>
          <w:p>
            <w:pPr>
              <w:pStyle w:val="Compact"/>
            </w:pPr>
            <w:r>
              <w:t xml:space="preserve">2.83 ± 0.50</w:t>
            </w:r>
          </w:p>
        </w:tc>
        <w:tc>
          <w:tcPr/>
          <w:p>
            <w:pPr>
              <w:pStyle w:val="Compact"/>
            </w:pPr>
            <w:r>
              <w:t xml:space="preserve">3.11 ± 0.28</w:t>
            </w:r>
          </w:p>
        </w:tc>
        <w:tc>
          <w:tcPr/>
          <w:p>
            <w:pPr>
              <w:pStyle w:val="Compact"/>
            </w:pPr>
            <w:r>
              <w:t xml:space="preserve">4.39 ± 0.28</w:t>
            </w:r>
          </w:p>
        </w:tc>
        <w:tc>
          <w:tcPr/>
          <w:p>
            <w:pPr>
              <w:pStyle w:val="Compact"/>
            </w:pPr>
            <w:r>
              <w:t xml:space="preserve">5.42 ± 0.28</w:t>
            </w:r>
          </w:p>
        </w:tc>
        <w:tc>
          <w:tcPr/>
          <w:p>
            <w:pPr>
              <w:pStyle w:val="Compact"/>
            </w:pPr>
            <w:r>
              <w:t xml:space="preserve">4.86 ± 0.35</w:t>
            </w:r>
          </w:p>
        </w:tc>
        <w:tc>
          <w:tcPr/>
          <w:p>
            <w:pPr>
              <w:pStyle w:val="Compact"/>
            </w:pPr>
            <w:r>
              <w:t xml:space="preserve">5.76 ± 0.21</w:t>
            </w:r>
          </w:p>
        </w:tc>
        <w:tc>
          <w:tcPr/>
          <w:p>
            <w:pPr>
              <w:pStyle w:val="Compact"/>
            </w:pPr>
            <w:r>
              <w:t xml:space="preserve">4.10 ± 0.21</w:t>
            </w:r>
          </w:p>
        </w:tc>
        <w:tc>
          <w:tcPr/>
          <w:p>
            <w:pPr>
              <w:pStyle w:val="Compact"/>
            </w:pPr>
            <w:r>
              <w:t xml:space="preserve">2.50 ± 0.13</w:t>
            </w:r>
          </w:p>
        </w:tc>
        <w:tc>
          <w:tcPr/>
          <w:p>
            <w:pPr>
              <w:pStyle w:val="Compact"/>
            </w:pPr>
            <w:r>
              <w:t xml:space="preserve">1.80 ± 0.03</w:t>
            </w:r>
          </w:p>
        </w:tc>
        <w:tc>
          <w:tcPr/>
          <w:p>
            <w:pPr>
              <w:pStyle w:val="Compact"/>
            </w:pPr>
            <w:r>
              <w:t xml:space="preserve">2.51 ± 0.04</w:t>
            </w:r>
          </w:p>
        </w:tc>
      </w:tr>
      <w:tr>
        <w:tc>
          <w:tcPr/>
          <w:p>
            <w:pPr>
              <w:pStyle w:val="Compact"/>
            </w:pPr>
            <w:r>
              <w:t xml:space="preserve">Lunabor</w:t>
            </w:r>
          </w:p>
        </w:tc>
        <w:tc>
          <w:tcPr/>
          <w:p>
            <w:pPr>
              <w:pStyle w:val="Compact"/>
            </w:pPr>
            <w:r>
              <w:t xml:space="preserve">2.86 ± 0.15</w:t>
            </w:r>
          </w:p>
        </w:tc>
        <w:tc>
          <w:tcPr/>
          <w:p>
            <w:pPr>
              <w:pStyle w:val="Compact"/>
            </w:pPr>
            <w:r>
              <w:t xml:space="preserve">0.22 ± 0.08</w:t>
            </w:r>
          </w:p>
        </w:tc>
        <w:tc>
          <w:tcPr/>
          <w:p>
            <w:pPr>
              <w:pStyle w:val="Compact"/>
            </w:pPr>
            <w:r>
              <w:t xml:space="preserve">0.62 ± 0.43</w:t>
            </w:r>
          </w:p>
        </w:tc>
        <w:tc>
          <w:tcPr/>
          <w:p>
            <w:pPr>
              <w:pStyle w:val="Compact"/>
            </w:pPr>
            <w:r>
              <w:t xml:space="preserve">0.22 ± 0.00</w:t>
            </w:r>
          </w:p>
        </w:tc>
        <w:tc>
          <w:tcPr/>
          <w:p>
            <w:pPr>
              <w:pStyle w:val="Compact"/>
            </w:pPr>
            <w:r>
              <w:t xml:space="preserve">2.50 ± 0.06</w:t>
            </w:r>
          </w:p>
        </w:tc>
        <w:tc>
          <w:tcPr/>
          <w:p>
            <w:pPr>
              <w:pStyle w:val="Compact"/>
            </w:pPr>
            <w:r>
              <w:t xml:space="preserve">0.78 ± 0.00</w:t>
            </w:r>
          </w:p>
        </w:tc>
        <w:tc>
          <w:tcPr/>
          <w:p>
            <w:pPr>
              <w:pStyle w:val="Compact"/>
            </w:pPr>
            <w:r>
              <w:t xml:space="preserve">3.13 ± 0.14</w:t>
            </w:r>
          </w:p>
        </w:tc>
        <w:tc>
          <w:tcPr/>
          <w:p>
            <w:pPr>
              <w:pStyle w:val="Compact"/>
            </w:pPr>
            <w:r>
              <w:t xml:space="preserve">2.22 ± 1.32</w:t>
            </w:r>
          </w:p>
        </w:tc>
        <w:tc>
          <w:tcPr/>
          <w:p>
            <w:pPr>
              <w:pStyle w:val="Compact"/>
            </w:pPr>
            <w:r>
              <w:t xml:space="preserve">3.54 ± 0.42</w:t>
            </w:r>
          </w:p>
        </w:tc>
        <w:tc>
          <w:tcPr/>
          <w:p>
            <w:pPr>
              <w:pStyle w:val="Compact"/>
            </w:pPr>
            <w:r>
              <w:t xml:space="preserve">3.33 ± 0.07</w:t>
            </w:r>
          </w:p>
        </w:tc>
        <w:tc>
          <w:tcPr/>
          <w:p>
            <w:pPr>
              <w:pStyle w:val="Compact"/>
            </w:pPr>
            <w:r>
              <w:t xml:space="preserve">2.44 ± 0.20</w:t>
            </w:r>
          </w:p>
        </w:tc>
        <w:tc>
          <w:tcPr/>
          <w:p>
            <w:pPr>
              <w:pStyle w:val="Compact"/>
            </w:pPr>
            <w:r>
              <w:t xml:space="preserve">1.39 ± 0.08</w:t>
            </w:r>
          </w:p>
        </w:tc>
        <w:tc>
          <w:tcPr/>
          <w:p>
            <w:pPr>
              <w:pStyle w:val="Compact"/>
            </w:pPr>
            <w:r>
              <w:t xml:space="preserve">0.33 ± 0.15</w:t>
            </w:r>
          </w:p>
        </w:tc>
      </w:tr>
      <w:tr>
        <w:tc>
          <w:tcPr/>
          <w:p>
            <w:pPr>
              <w:pStyle w:val="Compact"/>
            </w:pPr>
            <w:r>
              <w:t xml:space="preserve">Probor</w:t>
            </w:r>
          </w:p>
        </w:tc>
        <w:tc>
          <w:tcPr/>
          <w:p>
            <w:pPr>
              <w:pStyle w:val="Compact"/>
            </w:pPr>
            <w:r>
              <w:t xml:space="preserve">2.25 ± 0.15</w:t>
            </w:r>
          </w:p>
        </w:tc>
        <w:tc>
          <w:tcPr/>
          <w:p>
            <w:pPr>
              <w:pStyle w:val="Compact"/>
            </w:pPr>
            <w:r>
              <w:t xml:space="preserve">0.10 ± 0.05</w:t>
            </w:r>
          </w:p>
        </w:tc>
        <w:tc>
          <w:tcPr/>
          <w:p>
            <w:pPr>
              <w:pStyle w:val="Compact"/>
            </w:pPr>
            <w:r>
              <w:t xml:space="preserve">0.35 ± 0.14</w:t>
            </w:r>
          </w:p>
        </w:tc>
        <w:tc>
          <w:tcPr/>
          <w:p>
            <w:pPr>
              <w:pStyle w:val="Compact"/>
            </w:pPr>
            <w:r>
              <w:t xml:space="preserve">0.39 ± 0.05</w:t>
            </w:r>
          </w:p>
        </w:tc>
        <w:tc>
          <w:tcPr/>
          <w:p>
            <w:pPr>
              <w:pStyle w:val="Compact"/>
            </w:pPr>
            <w:r>
              <w:t xml:space="preserve">1.50 ± 0.22</w:t>
            </w:r>
          </w:p>
        </w:tc>
        <w:tc>
          <w:tcPr/>
          <w:p>
            <w:pPr>
              <w:pStyle w:val="Compact"/>
            </w:pPr>
            <w:r>
              <w:t xml:space="preserve">0.83 ± 0.16</w:t>
            </w:r>
          </w:p>
        </w:tc>
        <w:tc>
          <w:tcPr/>
          <w:p>
            <w:pPr>
              <w:pStyle w:val="Compact"/>
            </w:pPr>
            <w:r>
              <w:t xml:space="preserve">3.61 ± 0.00</w:t>
            </w:r>
          </w:p>
        </w:tc>
        <w:tc>
          <w:tcPr/>
          <w:p>
            <w:pPr>
              <w:pStyle w:val="Compact"/>
            </w:pPr>
            <w:r>
              <w:t xml:space="preserve">1.81 ± 1.25</w:t>
            </w:r>
          </w:p>
        </w:tc>
        <w:tc>
          <w:tcPr/>
          <w:p>
            <w:pPr>
              <w:pStyle w:val="Compact"/>
            </w:pPr>
            <w:r>
              <w:t xml:space="preserve">3.19 ± 0.21</w:t>
            </w:r>
          </w:p>
        </w:tc>
        <w:tc>
          <w:tcPr/>
          <w:p>
            <w:pPr>
              <w:pStyle w:val="Compact"/>
            </w:pPr>
            <w:r>
              <w:t xml:space="preserve">3.33 ± 0.42</w:t>
            </w:r>
          </w:p>
        </w:tc>
        <w:tc>
          <w:tcPr/>
          <w:p>
            <w:pPr>
              <w:pStyle w:val="Compact"/>
            </w:pPr>
            <w:r>
              <w:t xml:space="preserve">2.26 ± 0.10</w:t>
            </w:r>
          </w:p>
        </w:tc>
        <w:tc>
          <w:tcPr/>
          <w:p>
            <w:pPr>
              <w:pStyle w:val="Compact"/>
            </w:pPr>
            <w:r>
              <w:t xml:space="preserve">0.88 ± 0.12</w:t>
            </w:r>
          </w:p>
        </w:tc>
        <w:tc>
          <w:tcPr/>
          <w:p>
            <w:pPr>
              <w:pStyle w:val="Compact"/>
            </w:pPr>
            <w:r>
              <w:t xml:space="preserve">0.43 ± 0.15</w:t>
            </w:r>
          </w:p>
        </w:tc>
      </w:tr>
      <w:tr>
        <w:tc>
          <w:tcPr/>
          <w:p>
            <w:pPr>
              <w:pStyle w:val="Compact"/>
            </w:pPr>
            <w:r>
              <w:t xml:space="preserve">Jowisz</w:t>
            </w:r>
          </w:p>
        </w:tc>
        <w:tc>
          <w:tcPr/>
          <w:p>
            <w:pPr>
              <w:pStyle w:val="Compact"/>
            </w:pPr>
            <w:r>
              <w:t xml:space="preserve">2.47 ± 0.13</w:t>
            </w:r>
          </w:p>
        </w:tc>
        <w:tc>
          <w:tcPr/>
          <w:p>
            <w:pPr>
              <w:pStyle w:val="Compact"/>
            </w:pPr>
            <w:r>
              <w:t xml:space="preserve">0.40 ± 0.05</w:t>
            </w:r>
          </w:p>
        </w:tc>
        <w:tc>
          <w:tcPr/>
          <w:p>
            <w:pPr>
              <w:pStyle w:val="Compact"/>
            </w:pPr>
            <w:r>
              <w:t xml:space="preserve">0.67 ± 0.46</w:t>
            </w:r>
          </w:p>
        </w:tc>
        <w:tc>
          <w:tcPr/>
          <w:p>
            <w:pPr>
              <w:pStyle w:val="Compact"/>
            </w:pPr>
            <w:r>
              <w:t xml:space="preserve">0.28 ± 0.06</w:t>
            </w:r>
          </w:p>
        </w:tc>
        <w:tc>
          <w:tcPr/>
          <w:p>
            <w:pPr>
              <w:pStyle w:val="Compact"/>
            </w:pPr>
            <w:r>
              <w:t xml:space="preserve">1.73 ± 0.11</w:t>
            </w:r>
          </w:p>
        </w:tc>
        <w:tc>
          <w:tcPr/>
          <w:p>
            <w:pPr>
              <w:pStyle w:val="Compact"/>
            </w:pPr>
            <w:r>
              <w:t xml:space="preserve">0.89 ± 0.22</w:t>
            </w:r>
          </w:p>
        </w:tc>
        <w:tc>
          <w:tcPr/>
          <w:p>
            <w:pPr>
              <w:pStyle w:val="Compact"/>
            </w:pPr>
            <w:r>
              <w:t xml:space="preserve">3.26 ± 0.14</w:t>
            </w:r>
          </w:p>
        </w:tc>
        <w:tc>
          <w:tcPr/>
          <w:p>
            <w:pPr>
              <w:pStyle w:val="Compact"/>
            </w:pPr>
            <w:r>
              <w:t xml:space="preserve">1.39 ± 0.14</w:t>
            </w:r>
          </w:p>
        </w:tc>
        <w:tc>
          <w:tcPr/>
          <w:p>
            <w:pPr>
              <w:pStyle w:val="Compact"/>
            </w:pPr>
            <w:r>
              <w:t xml:space="preserve">3.68 ± 0.14</w:t>
            </w:r>
          </w:p>
        </w:tc>
        <w:tc>
          <w:tcPr/>
          <w:p>
            <w:pPr>
              <w:pStyle w:val="Compact"/>
            </w:pPr>
            <w:r>
              <w:t xml:space="preserve">3.19 ± 0.07</w:t>
            </w:r>
          </w:p>
        </w:tc>
        <w:tc>
          <w:tcPr/>
          <w:p>
            <w:pPr>
              <w:pStyle w:val="Compact"/>
            </w:pPr>
            <w:r>
              <w:t xml:space="preserve">2.06 ± 0.10</w:t>
            </w:r>
          </w:p>
        </w:tc>
        <w:tc>
          <w:tcPr/>
          <w:p>
            <w:pPr>
              <w:pStyle w:val="Compact"/>
            </w:pPr>
            <w:r>
              <w:t xml:space="preserve">1.02 ± 0.07</w:t>
            </w:r>
          </w:p>
        </w:tc>
        <w:tc>
          <w:tcPr/>
          <w:p>
            <w:pPr>
              <w:pStyle w:val="Compact"/>
            </w:pPr>
            <w:r>
              <w:t xml:space="preserve">0.38 ± 0.12</w:t>
            </w:r>
          </w:p>
        </w:tc>
      </w:tr>
      <w:tr>
        <w:tc>
          <w:tcPr/>
          <w:p>
            <w:pPr>
              <w:pStyle w:val="Compact"/>
            </w:pPr>
            <w:r>
              <w:t xml:space="preserve">Bison × Lunabor</w:t>
            </w:r>
          </w:p>
        </w:tc>
        <w:tc>
          <w:tcPr/>
          <w:p>
            <w:pPr>
              <w:pStyle w:val="Compact"/>
            </w:pPr>
            <w:r>
              <w:t xml:space="preserve">3.49 ± 0.08</w:t>
            </w:r>
          </w:p>
        </w:tc>
        <w:tc>
          <w:tcPr/>
          <w:p>
            <w:pPr>
              <w:pStyle w:val="Compact"/>
            </w:pPr>
            <w:r>
              <w:t xml:space="preserve">0.79 ± 0.33</w:t>
            </w:r>
          </w:p>
        </w:tc>
        <w:tc>
          <w:tcPr/>
          <w:p>
            <w:pPr>
              <w:pStyle w:val="Compact"/>
            </w:pPr>
            <w:r>
              <w:t xml:space="preserve">3.18 ± 0.33</w:t>
            </w:r>
          </w:p>
        </w:tc>
        <w:tc>
          <w:tcPr/>
          <w:p>
            <w:pPr>
              <w:pStyle w:val="Compact"/>
            </w:pPr>
            <w:r>
              <w:t xml:space="preserve">1.56 ± 0.33</w:t>
            </w:r>
          </w:p>
        </w:tc>
        <w:tc>
          <w:tcPr/>
          <w:p>
            <w:pPr>
              <w:pStyle w:val="Compact"/>
            </w:pPr>
            <w:r>
              <w:t xml:space="preserve">2.89 ± 0.17</w:t>
            </w:r>
          </w:p>
        </w:tc>
        <w:tc>
          <w:tcPr/>
          <w:p>
            <w:pPr>
              <w:pStyle w:val="Compact"/>
            </w:pPr>
            <w:r>
              <w:t xml:space="preserve">2.33 ± 0.11</w:t>
            </w:r>
          </w:p>
        </w:tc>
        <w:tc>
          <w:tcPr/>
          <w:p>
            <w:pPr>
              <w:pStyle w:val="Compact"/>
            </w:pPr>
            <w:r>
              <w:t xml:space="preserve">4.72 ± 0.07</w:t>
            </w:r>
          </w:p>
        </w:tc>
        <w:tc>
          <w:tcPr/>
          <w:p>
            <w:pPr>
              <w:pStyle w:val="Compact"/>
            </w:pPr>
            <w:r>
              <w:t xml:space="preserve">3.47 ± 0.56</w:t>
            </w:r>
          </w:p>
        </w:tc>
        <w:tc>
          <w:tcPr/>
          <w:p>
            <w:pPr>
              <w:pStyle w:val="Compact"/>
            </w:pPr>
            <w:r>
              <w:t xml:space="preserve">4.31 ± 0.28</w:t>
            </w:r>
          </w:p>
        </w:tc>
        <w:tc>
          <w:tcPr/>
          <w:p>
            <w:pPr>
              <w:pStyle w:val="Compact"/>
            </w:pPr>
            <w:r>
              <w:t xml:space="preserve">4.17 ± 0.07</w:t>
            </w:r>
          </w:p>
        </w:tc>
        <w:tc>
          <w:tcPr/>
          <w:p>
            <w:pPr>
              <w:pStyle w:val="Compact"/>
            </w:pPr>
            <w:r>
              <w:t xml:space="preserve">2.73 ± 0.07</w:t>
            </w:r>
          </w:p>
        </w:tc>
        <w:tc>
          <w:tcPr/>
          <w:p>
            <w:pPr>
              <w:pStyle w:val="Compact"/>
            </w:pPr>
            <w:r>
              <w:t xml:space="preserve">1.47 ± 0.27</w:t>
            </w:r>
          </w:p>
        </w:tc>
        <w:tc>
          <w:tcPr/>
          <w:p>
            <w:pPr>
              <w:pStyle w:val="Compact"/>
            </w:pPr>
            <w:r>
              <w:t xml:space="preserve">1.19 ± 0.21</w:t>
            </w:r>
          </w:p>
        </w:tc>
      </w:tr>
      <w:tr>
        <w:tc>
          <w:tcPr/>
          <w:p>
            <w:pPr>
              <w:pStyle w:val="Compact"/>
            </w:pPr>
            <w:r>
              <w:t xml:space="preserve">Bison × Probor</w:t>
            </w:r>
          </w:p>
        </w:tc>
        <w:tc>
          <w:tcPr/>
          <w:p>
            <w:pPr>
              <w:pStyle w:val="Compact"/>
            </w:pPr>
            <w:r>
              <w:t xml:space="preserve">3.16 ± 0.16</w:t>
            </w:r>
          </w:p>
        </w:tc>
        <w:tc>
          <w:tcPr/>
          <w:p>
            <w:pPr>
              <w:pStyle w:val="Compact"/>
            </w:pPr>
            <w:r>
              <w:t xml:space="preserve">1.01 ± 0.27</w:t>
            </w:r>
          </w:p>
        </w:tc>
        <w:tc>
          <w:tcPr/>
          <w:p>
            <w:pPr>
              <w:pStyle w:val="Compact"/>
            </w:pPr>
            <w:r>
              <w:t xml:space="preserve">2.87 ± 0.30</w:t>
            </w:r>
          </w:p>
        </w:tc>
        <w:tc>
          <w:tcPr/>
          <w:p>
            <w:pPr>
              <w:pStyle w:val="Compact"/>
            </w:pPr>
            <w:r>
              <w:t xml:space="preserve">1.61 ± 0.12</w:t>
            </w:r>
          </w:p>
        </w:tc>
        <w:tc>
          <w:tcPr/>
          <w:p>
            <w:pPr>
              <w:pStyle w:val="Compact"/>
            </w:pPr>
            <w:r>
              <w:t xml:space="preserve">2.45 ± 0.05</w:t>
            </w:r>
          </w:p>
        </w:tc>
        <w:tc>
          <w:tcPr/>
          <w:p>
            <w:pPr>
              <w:pStyle w:val="Compact"/>
            </w:pPr>
            <w:r>
              <w:t xml:space="preserve">2.61 ± 0.11</w:t>
            </w:r>
          </w:p>
        </w:tc>
        <w:tc>
          <w:tcPr/>
          <w:p>
            <w:pPr>
              <w:pStyle w:val="Compact"/>
            </w:pPr>
            <w:r>
              <w:t xml:space="preserve">3.82 ± 0.35</w:t>
            </w:r>
          </w:p>
        </w:tc>
        <w:tc>
          <w:tcPr/>
          <w:p>
            <w:pPr>
              <w:pStyle w:val="Compact"/>
            </w:pPr>
            <w:r>
              <w:t xml:space="preserve">2.64 ± 0.07</w:t>
            </w:r>
          </w:p>
        </w:tc>
        <w:tc>
          <w:tcPr/>
          <w:p>
            <w:pPr>
              <w:pStyle w:val="Compact"/>
            </w:pPr>
            <w:r>
              <w:t xml:space="preserve">4.03 ± 0.00</w:t>
            </w:r>
          </w:p>
        </w:tc>
        <w:tc>
          <w:tcPr/>
          <w:p>
            <w:pPr>
              <w:pStyle w:val="Compact"/>
            </w:pPr>
            <w:r>
              <w:t xml:space="preserve">4.03 ± 0.07</w:t>
            </w:r>
          </w:p>
        </w:tc>
        <w:tc>
          <w:tcPr/>
          <w:p>
            <w:pPr>
              <w:pStyle w:val="Compact"/>
            </w:pPr>
            <w:r>
              <w:t xml:space="preserve">2.72 ± 0.08</w:t>
            </w:r>
          </w:p>
        </w:tc>
        <w:tc>
          <w:tcPr/>
          <w:p>
            <w:pPr>
              <w:pStyle w:val="Compact"/>
            </w:pPr>
            <w:r>
              <w:t xml:space="preserve">1.17 ± 0.08</w:t>
            </w:r>
          </w:p>
        </w:tc>
        <w:tc>
          <w:tcPr/>
          <w:p>
            <w:pPr>
              <w:pStyle w:val="Compact"/>
            </w:pPr>
            <w:r>
              <w:t xml:space="preserve">0.70 ± 0.28</w:t>
            </w:r>
          </w:p>
        </w:tc>
      </w:tr>
      <w:tr>
        <w:tc>
          <w:tcPr/>
          <w:p>
            <w:pPr>
              <w:pStyle w:val="Compact"/>
            </w:pPr>
            <w:r>
              <w:t xml:space="preserve">Bison × Jowisz</w:t>
            </w:r>
          </w:p>
        </w:tc>
        <w:tc>
          <w:tcPr/>
          <w:p>
            <w:pPr>
              <w:pStyle w:val="Compact"/>
            </w:pPr>
            <w:r>
              <w:t xml:space="preserve">3.02 ± 0.16</w:t>
            </w:r>
          </w:p>
        </w:tc>
        <w:tc>
          <w:tcPr/>
          <w:p>
            <w:pPr>
              <w:pStyle w:val="Compact"/>
            </w:pPr>
            <w:r>
              <w:t xml:space="preserve">0.63 ± 0.00</w:t>
            </w:r>
          </w:p>
        </w:tc>
        <w:tc>
          <w:tcPr/>
          <w:p>
            <w:pPr>
              <w:pStyle w:val="Compact"/>
            </w:pPr>
            <w:r>
              <w:t xml:space="preserve">3.44 ± 0.06</w:t>
            </w:r>
          </w:p>
        </w:tc>
        <w:tc>
          <w:tcPr/>
          <w:p>
            <w:pPr>
              <w:pStyle w:val="Compact"/>
            </w:pPr>
            <w:r>
              <w:t xml:space="preserve">1.55 ± 0.16</w:t>
            </w:r>
          </w:p>
        </w:tc>
        <w:tc>
          <w:tcPr/>
          <w:p>
            <w:pPr>
              <w:pStyle w:val="Compact"/>
            </w:pPr>
            <w:r>
              <w:t xml:space="preserve">2.62 ± 0.17</w:t>
            </w:r>
          </w:p>
        </w:tc>
        <w:tc>
          <w:tcPr/>
          <w:p>
            <w:pPr>
              <w:pStyle w:val="Compact"/>
            </w:pPr>
            <w:r>
              <w:t xml:space="preserve">2.38 ± 0.11</w:t>
            </w:r>
          </w:p>
        </w:tc>
        <w:tc>
          <w:tcPr/>
          <w:p>
            <w:pPr>
              <w:pStyle w:val="Compact"/>
            </w:pPr>
            <w:r>
              <w:t xml:space="preserve">3.61 ± 0.14</w:t>
            </w:r>
          </w:p>
        </w:tc>
        <w:tc>
          <w:tcPr/>
          <w:p>
            <w:pPr>
              <w:pStyle w:val="Compact"/>
            </w:pPr>
            <w:r>
              <w:t xml:space="preserve">2.50 ± 0.35</w:t>
            </w:r>
          </w:p>
        </w:tc>
        <w:tc>
          <w:tcPr/>
          <w:p>
            <w:pPr>
              <w:pStyle w:val="Compact"/>
            </w:pPr>
            <w:r>
              <w:t xml:space="preserve">4.51 ± 0.14</w:t>
            </w:r>
          </w:p>
        </w:tc>
        <w:tc>
          <w:tcPr/>
          <w:p>
            <w:pPr>
              <w:pStyle w:val="Compact"/>
            </w:pPr>
            <w:r>
              <w:t xml:space="preserve">3.47 ± 0.21</w:t>
            </w:r>
          </w:p>
        </w:tc>
        <w:tc>
          <w:tcPr/>
          <w:p>
            <w:pPr>
              <w:pStyle w:val="Compact"/>
            </w:pPr>
            <w:r>
              <w:t xml:space="preserve">2.69 ± 0.09</w:t>
            </w:r>
          </w:p>
        </w:tc>
        <w:tc>
          <w:tcPr/>
          <w:p>
            <w:pPr>
              <w:pStyle w:val="Compact"/>
            </w:pPr>
            <w:r>
              <w:t xml:space="preserve">0.88 ± 0.25</w:t>
            </w:r>
          </w:p>
        </w:tc>
        <w:tc>
          <w:tcPr/>
          <w:p>
            <w:pPr>
              <w:pStyle w:val="Compact"/>
            </w:pPr>
            <w:r>
              <w:t xml:space="preserve">0.83 ± 0.21</w:t>
            </w:r>
          </w:p>
        </w:tc>
      </w:tr>
      <w:tr>
        <w:tc>
          <w:tcPr/>
          <w:p>
            <w:pPr>
              <w:pStyle w:val="Compact"/>
            </w:pPr>
            <w:r>
              <w:t xml:space="preserve">Lion × Lunabor</w:t>
            </w:r>
          </w:p>
        </w:tc>
        <w:tc>
          <w:tcPr/>
          <w:p>
            <w:pPr>
              <w:pStyle w:val="Compact"/>
            </w:pPr>
            <w:r>
              <w:t xml:space="preserve">3.24 ± 0.18</w:t>
            </w:r>
          </w:p>
        </w:tc>
        <w:tc>
          <w:tcPr/>
          <w:p>
            <w:pPr>
              <w:pStyle w:val="Compact"/>
            </w:pPr>
            <w:r>
              <w:t xml:space="preserve">1.21 ± 0.14</w:t>
            </w:r>
          </w:p>
        </w:tc>
        <w:tc>
          <w:tcPr/>
          <w:p>
            <w:pPr>
              <w:pStyle w:val="Compact"/>
            </w:pPr>
            <w:r>
              <w:t xml:space="preserve">3.20 ± 0.09</w:t>
            </w:r>
          </w:p>
        </w:tc>
        <w:tc>
          <w:tcPr/>
          <w:p>
            <w:pPr>
              <w:pStyle w:val="Compact"/>
            </w:pPr>
            <w:r>
              <w:t xml:space="preserve">1.33 ± 0.00</w:t>
            </w:r>
          </w:p>
        </w:tc>
        <w:tc>
          <w:tcPr/>
          <w:p>
            <w:pPr>
              <w:pStyle w:val="Compact"/>
            </w:pPr>
            <w:r>
              <w:t xml:space="preserve">2.95 ± 0.22</w:t>
            </w:r>
          </w:p>
        </w:tc>
        <w:tc>
          <w:tcPr/>
          <w:p>
            <w:pPr>
              <w:pStyle w:val="Compact"/>
            </w:pPr>
            <w:r>
              <w:t xml:space="preserve">2.39 ± 0.11</w:t>
            </w:r>
          </w:p>
        </w:tc>
        <w:tc>
          <w:tcPr/>
          <w:p>
            <w:pPr>
              <w:pStyle w:val="Compact"/>
            </w:pPr>
            <w:r>
              <w:t xml:space="preserve">4.03 ± 0.35</w:t>
            </w:r>
          </w:p>
        </w:tc>
        <w:tc>
          <w:tcPr/>
          <w:p>
            <w:pPr>
              <w:pStyle w:val="Compact"/>
            </w:pPr>
            <w:r>
              <w:t xml:space="preserve">3.96 ± 0.07</w:t>
            </w:r>
          </w:p>
        </w:tc>
        <w:tc>
          <w:tcPr/>
          <w:p>
            <w:pPr>
              <w:pStyle w:val="Compact"/>
            </w:pPr>
            <w:r>
              <w:t xml:space="preserve">4.79 ± 0.14</w:t>
            </w:r>
          </w:p>
        </w:tc>
        <w:tc>
          <w:tcPr/>
          <w:p>
            <w:pPr>
              <w:pStyle w:val="Compact"/>
            </w:pPr>
            <w:r>
              <w:t xml:space="preserve">3.96 ± 0.07</w:t>
            </w:r>
          </w:p>
        </w:tc>
        <w:tc>
          <w:tcPr/>
          <w:p>
            <w:pPr>
              <w:pStyle w:val="Compact"/>
            </w:pPr>
            <w:r>
              <w:t xml:space="preserve">3.11 ± 0.24</w:t>
            </w:r>
          </w:p>
        </w:tc>
        <w:tc>
          <w:tcPr/>
          <w:p>
            <w:pPr>
              <w:pStyle w:val="Compact"/>
            </w:pPr>
            <w:r>
              <w:t xml:space="preserve">1.65 ± 0.06</w:t>
            </w:r>
          </w:p>
        </w:tc>
        <w:tc>
          <w:tcPr/>
          <w:p>
            <w:pPr>
              <w:pStyle w:val="Compact"/>
            </w:pPr>
            <w:r>
              <w:t xml:space="preserve">1.17 ± 0.36</w:t>
            </w:r>
          </w:p>
        </w:tc>
      </w:tr>
      <w:tr>
        <w:tc>
          <w:tcPr/>
          <w:p>
            <w:pPr>
              <w:pStyle w:val="Compact"/>
            </w:pPr>
            <w:r>
              <w:t xml:space="preserve">Lion × Probor</w:t>
            </w:r>
          </w:p>
        </w:tc>
        <w:tc>
          <w:tcPr/>
          <w:p>
            <w:pPr>
              <w:pStyle w:val="Compact"/>
            </w:pPr>
            <w:r>
              <w:t xml:space="preserve">2.90 ± 0.05</w:t>
            </w:r>
          </w:p>
        </w:tc>
        <w:tc>
          <w:tcPr/>
          <w:p>
            <w:pPr>
              <w:pStyle w:val="Compact"/>
            </w:pPr>
            <w:r>
              <w:t xml:space="preserve">0.90 ± 0.15</w:t>
            </w:r>
          </w:p>
        </w:tc>
        <w:tc>
          <w:tcPr/>
          <w:p>
            <w:pPr>
              <w:pStyle w:val="Compact"/>
            </w:pPr>
            <w:r>
              <w:t xml:space="preserve">1.22 ± 0.00</w:t>
            </w:r>
          </w:p>
        </w:tc>
        <w:tc>
          <w:tcPr/>
          <w:p>
            <w:pPr>
              <w:pStyle w:val="Compact"/>
            </w:pPr>
            <w:r>
              <w:t xml:space="preserve">1.50 ± 0.05</w:t>
            </w:r>
          </w:p>
        </w:tc>
        <w:tc>
          <w:tcPr/>
          <w:p>
            <w:pPr>
              <w:pStyle w:val="Compact"/>
            </w:pPr>
            <w:r>
              <w:t xml:space="preserve">2.55 ± 0.17</w:t>
            </w:r>
          </w:p>
        </w:tc>
        <w:tc>
          <w:tcPr/>
          <w:p>
            <w:pPr>
              <w:pStyle w:val="Compact"/>
            </w:pPr>
            <w:r>
              <w:t xml:space="preserve">2.39 ± 0.17</w:t>
            </w:r>
          </w:p>
        </w:tc>
        <w:tc>
          <w:tcPr/>
          <w:p>
            <w:pPr>
              <w:pStyle w:val="Compact"/>
            </w:pPr>
            <w:r>
              <w:t xml:space="preserve">4.17 ± 0.14</w:t>
            </w:r>
          </w:p>
        </w:tc>
        <w:tc>
          <w:tcPr/>
          <w:p>
            <w:pPr>
              <w:pStyle w:val="Compact"/>
            </w:pPr>
            <w:r>
              <w:t xml:space="preserve">3.19 ± 0.56</w:t>
            </w:r>
          </w:p>
        </w:tc>
        <w:tc>
          <w:tcPr/>
          <w:p>
            <w:pPr>
              <w:pStyle w:val="Compact"/>
            </w:pPr>
            <w:r>
              <w:t xml:space="preserve">4.17 ± 0.00</w:t>
            </w:r>
          </w:p>
        </w:tc>
        <w:tc>
          <w:tcPr/>
          <w:p>
            <w:pPr>
              <w:pStyle w:val="Compact"/>
            </w:pPr>
            <w:r>
              <w:t xml:space="preserve">4.10 ± 0.28</w:t>
            </w:r>
          </w:p>
        </w:tc>
        <w:tc>
          <w:tcPr/>
          <w:p>
            <w:pPr>
              <w:pStyle w:val="Compact"/>
            </w:pPr>
            <w:r>
              <w:t xml:space="preserve">2.69 ± 0.12</w:t>
            </w:r>
          </w:p>
        </w:tc>
        <w:tc>
          <w:tcPr/>
          <w:p>
            <w:pPr>
              <w:pStyle w:val="Compact"/>
            </w:pPr>
            <w:r>
              <w:t xml:space="preserve">1.47 ± 0.20</w:t>
            </w:r>
          </w:p>
        </w:tc>
        <w:tc>
          <w:tcPr/>
          <w:p>
            <w:pPr>
              <w:pStyle w:val="Compact"/>
            </w:pPr>
            <w:r>
              <w:t xml:space="preserve">1.28 ± 0.28</w:t>
            </w:r>
          </w:p>
        </w:tc>
      </w:tr>
      <w:tr>
        <w:tc>
          <w:tcPr/>
          <w:p>
            <w:pPr>
              <w:pStyle w:val="Compact"/>
            </w:pPr>
            <w:r>
              <w:t xml:space="preserve">Lion × Jowisz</w:t>
            </w:r>
          </w:p>
        </w:tc>
        <w:tc>
          <w:tcPr/>
          <w:p>
            <w:pPr>
              <w:pStyle w:val="Compact"/>
            </w:pPr>
            <w:r>
              <w:t xml:space="preserve">3.08 ± 0.12</w:t>
            </w:r>
          </w:p>
        </w:tc>
        <w:tc>
          <w:tcPr/>
          <w:p>
            <w:pPr>
              <w:pStyle w:val="Compact"/>
            </w:pPr>
            <w:r>
              <w:t xml:space="preserve">1.09 ± 0.17</w:t>
            </w:r>
          </w:p>
        </w:tc>
        <w:tc>
          <w:tcPr/>
          <w:p>
            <w:pPr>
              <w:pStyle w:val="Compact"/>
            </w:pPr>
            <w:r>
              <w:t xml:space="preserve">3.19 ± 0.00</w:t>
            </w:r>
          </w:p>
        </w:tc>
        <w:tc>
          <w:tcPr/>
          <w:p>
            <w:pPr>
              <w:pStyle w:val="Compact"/>
            </w:pPr>
            <w:r>
              <w:t xml:space="preserve">1.44 ± 0.00</w:t>
            </w:r>
          </w:p>
        </w:tc>
        <w:tc>
          <w:tcPr/>
          <w:p>
            <w:pPr>
              <w:pStyle w:val="Compact"/>
            </w:pPr>
            <w:r>
              <w:t xml:space="preserve">2.94 ± 0.11</w:t>
            </w:r>
          </w:p>
        </w:tc>
        <w:tc>
          <w:tcPr/>
          <w:p>
            <w:pPr>
              <w:pStyle w:val="Compact"/>
            </w:pPr>
            <w:r>
              <w:t xml:space="preserve">2.17 ± 0.11</w:t>
            </w:r>
          </w:p>
        </w:tc>
        <w:tc>
          <w:tcPr/>
          <w:p>
            <w:pPr>
              <w:pStyle w:val="Compact"/>
            </w:pPr>
            <w:r>
              <w:t xml:space="preserve">4.24 ± 0.21</w:t>
            </w:r>
          </w:p>
        </w:tc>
        <w:tc>
          <w:tcPr/>
          <w:p>
            <w:pPr>
              <w:pStyle w:val="Compact"/>
            </w:pPr>
            <w:r>
              <w:t xml:space="preserve">2.99 ± 0.28</w:t>
            </w:r>
          </w:p>
        </w:tc>
        <w:tc>
          <w:tcPr/>
          <w:p>
            <w:pPr>
              <w:pStyle w:val="Compact"/>
            </w:pPr>
            <w:r>
              <w:t xml:space="preserve">4.65 ± 0.14</w:t>
            </w:r>
          </w:p>
        </w:tc>
        <w:tc>
          <w:tcPr/>
          <w:p>
            <w:pPr>
              <w:pStyle w:val="Compact"/>
            </w:pPr>
            <w:r>
              <w:t xml:space="preserve">3.75 ± 0.07</w:t>
            </w:r>
          </w:p>
        </w:tc>
        <w:tc>
          <w:tcPr/>
          <w:p>
            <w:pPr>
              <w:pStyle w:val="Compact"/>
            </w:pPr>
            <w:r>
              <w:t xml:space="preserve">2.73 ± 0.03</w:t>
            </w:r>
          </w:p>
        </w:tc>
        <w:tc>
          <w:tcPr/>
          <w:p>
            <w:pPr>
              <w:pStyle w:val="Compact"/>
            </w:pPr>
            <w:r>
              <w:t xml:space="preserve">0.93 ± 0.03</w:t>
            </w:r>
          </w:p>
        </w:tc>
        <w:tc>
          <w:tcPr/>
          <w:p>
            <w:pPr>
              <w:pStyle w:val="Compact"/>
            </w:pPr>
            <w:r>
              <w:t xml:space="preserve">1.11 ± 0.37</w:t>
            </w:r>
          </w:p>
        </w:tc>
      </w:tr>
      <w:tr>
        <w:tc>
          <w:tcPr/>
          <w:p>
            <w:pPr>
              <w:pStyle w:val="Compact"/>
            </w:pPr>
            <w:r>
              <w:t xml:space="preserve">Troll × Lunabor</w:t>
            </w:r>
          </w:p>
        </w:tc>
        <w:tc>
          <w:tcPr/>
          <w:p>
            <w:pPr>
              <w:pStyle w:val="Compact"/>
            </w:pPr>
            <w:r>
              <w:t xml:space="preserve">3.22 ± 0.12</w:t>
            </w:r>
          </w:p>
        </w:tc>
        <w:tc>
          <w:tcPr/>
          <w:p>
            <w:pPr>
              <w:pStyle w:val="Compact"/>
            </w:pPr>
            <w:r>
              <w:t xml:space="preserve">0.68 ± 0.19</w:t>
            </w:r>
          </w:p>
        </w:tc>
        <w:tc>
          <w:tcPr/>
          <w:p>
            <w:pPr>
              <w:pStyle w:val="Compact"/>
            </w:pPr>
            <w:r>
              <w:t xml:space="preserve">3.44 ± 0.45</w:t>
            </w:r>
          </w:p>
        </w:tc>
        <w:tc>
          <w:tcPr/>
          <w:p>
            <w:pPr>
              <w:pStyle w:val="Compact"/>
            </w:pPr>
            <w:r>
              <w:t xml:space="preserve">1.17 ± 0.22</w:t>
            </w:r>
          </w:p>
        </w:tc>
        <w:tc>
          <w:tcPr/>
          <w:p>
            <w:pPr>
              <w:pStyle w:val="Compact"/>
            </w:pPr>
            <w:r>
              <w:t xml:space="preserve">2.89 ± 0.00</w:t>
            </w:r>
          </w:p>
        </w:tc>
        <w:tc>
          <w:tcPr/>
          <w:p>
            <w:pPr>
              <w:pStyle w:val="Compact"/>
            </w:pPr>
            <w:r>
              <w:t xml:space="preserve">2.23 ± 0.00</w:t>
            </w:r>
          </w:p>
        </w:tc>
        <w:tc>
          <w:tcPr/>
          <w:p>
            <w:pPr>
              <w:pStyle w:val="Compact"/>
            </w:pPr>
            <w:r>
              <w:t xml:space="preserve">4.51 ± 0.07</w:t>
            </w:r>
          </w:p>
        </w:tc>
        <w:tc>
          <w:tcPr/>
          <w:p>
            <w:pPr>
              <w:pStyle w:val="Compact"/>
            </w:pPr>
            <w:r>
              <w:t xml:space="preserve">4.17 ± 0.69</w:t>
            </w:r>
          </w:p>
        </w:tc>
        <w:tc>
          <w:tcPr/>
          <w:p>
            <w:pPr>
              <w:pStyle w:val="Compact"/>
            </w:pPr>
            <w:r>
              <w:t xml:space="preserve">4.51 ± 0.21</w:t>
            </w:r>
          </w:p>
        </w:tc>
        <w:tc>
          <w:tcPr/>
          <w:p>
            <w:pPr>
              <w:pStyle w:val="Compact"/>
            </w:pPr>
            <w:r>
              <w:t xml:space="preserve">3.96 ± 0.14</w:t>
            </w:r>
          </w:p>
        </w:tc>
        <w:tc>
          <w:tcPr/>
          <w:p>
            <w:pPr>
              <w:pStyle w:val="Compact"/>
            </w:pPr>
            <w:r>
              <w:t xml:space="preserve">2.56 ± 0.06</w:t>
            </w:r>
          </w:p>
        </w:tc>
        <w:tc>
          <w:tcPr/>
          <w:p>
            <w:pPr>
              <w:pStyle w:val="Compact"/>
            </w:pPr>
            <w:r>
              <w:t xml:space="preserve">1.73 ± 0.02</w:t>
            </w:r>
          </w:p>
        </w:tc>
        <w:tc>
          <w:tcPr/>
          <w:p>
            <w:pPr>
              <w:pStyle w:val="Compact"/>
            </w:pPr>
            <w:r>
              <w:t xml:space="preserve">0.95 ± 0.36</w:t>
            </w:r>
          </w:p>
        </w:tc>
      </w:tr>
      <w:tr>
        <w:tc>
          <w:tcPr/>
          <w:p>
            <w:pPr>
              <w:pStyle w:val="Compact"/>
            </w:pPr>
            <w:r>
              <w:t xml:space="preserve">Troll × Probor</w:t>
            </w:r>
          </w:p>
        </w:tc>
        <w:tc>
          <w:tcPr/>
          <w:p>
            <w:pPr>
              <w:pStyle w:val="Compact"/>
            </w:pPr>
            <w:r>
              <w:t xml:space="preserve">3.09 ± 0.15</w:t>
            </w:r>
          </w:p>
        </w:tc>
        <w:tc>
          <w:tcPr/>
          <w:p>
            <w:pPr>
              <w:pStyle w:val="Compact"/>
            </w:pPr>
            <w:r>
              <w:t xml:space="preserve">0.43 ± 0.21</w:t>
            </w:r>
          </w:p>
        </w:tc>
        <w:tc>
          <w:tcPr/>
          <w:p>
            <w:pPr>
              <w:pStyle w:val="Compact"/>
            </w:pPr>
            <w:r>
              <w:t xml:space="preserve">1.00 ± 0.68</w:t>
            </w:r>
          </w:p>
        </w:tc>
        <w:tc>
          <w:tcPr/>
          <w:p>
            <w:pPr>
              <w:pStyle w:val="Compact"/>
            </w:pPr>
            <w:r>
              <w:t xml:space="preserve">1.17 ± 0.06</w:t>
            </w:r>
          </w:p>
        </w:tc>
        <w:tc>
          <w:tcPr/>
          <w:p>
            <w:pPr>
              <w:pStyle w:val="Compact"/>
            </w:pPr>
            <w:r>
              <w:t xml:space="preserve">2.06 ± 0.39</w:t>
            </w:r>
          </w:p>
        </w:tc>
        <w:tc>
          <w:tcPr/>
          <w:p>
            <w:pPr>
              <w:pStyle w:val="Compact"/>
            </w:pPr>
            <w:r>
              <w:t xml:space="preserve">1.89 ± 0.12</w:t>
            </w:r>
          </w:p>
        </w:tc>
        <w:tc>
          <w:tcPr/>
          <w:p>
            <w:pPr>
              <w:pStyle w:val="Compact"/>
            </w:pPr>
            <w:r>
              <w:t xml:space="preserve">4.31 ± 0.14</w:t>
            </w:r>
          </w:p>
        </w:tc>
        <w:tc>
          <w:tcPr/>
          <w:p>
            <w:pPr>
              <w:pStyle w:val="Compact"/>
            </w:pPr>
            <w:r>
              <w:t xml:space="preserve">3.54 ± 0.56</w:t>
            </w:r>
          </w:p>
        </w:tc>
        <w:tc>
          <w:tcPr/>
          <w:p>
            <w:pPr>
              <w:pStyle w:val="Compact"/>
            </w:pPr>
            <w:r>
              <w:t xml:space="preserve">4.17 ± 0.35</w:t>
            </w:r>
          </w:p>
        </w:tc>
        <w:tc>
          <w:tcPr/>
          <w:p>
            <w:pPr>
              <w:pStyle w:val="Compact"/>
            </w:pPr>
            <w:r>
              <w:t xml:space="preserve">3.96 ± 0.14</w:t>
            </w:r>
          </w:p>
        </w:tc>
        <w:tc>
          <w:tcPr/>
          <w:p>
            <w:pPr>
              <w:pStyle w:val="Compact"/>
            </w:pPr>
            <w:r>
              <w:t xml:space="preserve">2.50 ± 0.10</w:t>
            </w:r>
          </w:p>
        </w:tc>
        <w:tc>
          <w:tcPr/>
          <w:p>
            <w:pPr>
              <w:pStyle w:val="Compact"/>
            </w:pPr>
            <w:r>
              <w:t xml:space="preserve">1.35 ± 0.18</w:t>
            </w:r>
          </w:p>
        </w:tc>
        <w:tc>
          <w:tcPr/>
          <w:p>
            <w:pPr>
              <w:pStyle w:val="Compact"/>
            </w:pPr>
            <w:r>
              <w:t xml:space="preserve">0.67 ± 0.11</w:t>
            </w:r>
          </w:p>
        </w:tc>
      </w:tr>
      <w:tr>
        <w:tc>
          <w:tcPr/>
          <w:p>
            <w:pPr>
              <w:pStyle w:val="Compact"/>
            </w:pPr>
            <w:r>
              <w:t xml:space="preserve">Troll × Jowisz</w:t>
            </w:r>
          </w:p>
        </w:tc>
        <w:tc>
          <w:tcPr/>
          <w:p>
            <w:pPr>
              <w:pStyle w:val="Compact"/>
            </w:pPr>
            <w:r>
              <w:t xml:space="preserve">2.74 ± 0.13</w:t>
            </w:r>
          </w:p>
        </w:tc>
        <w:tc>
          <w:tcPr/>
          <w:p>
            <w:pPr>
              <w:pStyle w:val="Compact"/>
            </w:pPr>
            <w:r>
              <w:t xml:space="preserve">0.55 ± 0.42</w:t>
            </w:r>
          </w:p>
        </w:tc>
        <w:tc>
          <w:tcPr/>
          <w:p>
            <w:pPr>
              <w:pStyle w:val="Compact"/>
            </w:pPr>
            <w:r>
              <w:t xml:space="preserve">3.36 ± 0.41</w:t>
            </w:r>
          </w:p>
        </w:tc>
        <w:tc>
          <w:tcPr/>
          <w:p>
            <w:pPr>
              <w:pStyle w:val="Compact"/>
            </w:pPr>
            <w:r>
              <w:t xml:space="preserve">1.22 ± 0.11</w:t>
            </w:r>
          </w:p>
        </w:tc>
        <w:tc>
          <w:tcPr/>
          <w:p>
            <w:pPr>
              <w:pStyle w:val="Compact"/>
            </w:pPr>
            <w:r>
              <w:t xml:space="preserve">2.56 ± 0.17</w:t>
            </w:r>
          </w:p>
        </w:tc>
        <w:tc>
          <w:tcPr/>
          <w:p>
            <w:pPr>
              <w:pStyle w:val="Compact"/>
            </w:pPr>
            <w:r>
              <w:t xml:space="preserve">2.11 ± 0.16</w:t>
            </w:r>
          </w:p>
        </w:tc>
        <w:tc>
          <w:tcPr/>
          <w:p>
            <w:pPr>
              <w:pStyle w:val="Compact"/>
            </w:pPr>
            <w:r>
              <w:t xml:space="preserve">3.68 ± 0.35</w:t>
            </w:r>
          </w:p>
        </w:tc>
        <w:tc>
          <w:tcPr/>
          <w:p>
            <w:pPr>
              <w:pStyle w:val="Compact"/>
            </w:pPr>
            <w:r>
              <w:t xml:space="preserve">3.26 ± 0.49</w:t>
            </w:r>
          </w:p>
        </w:tc>
        <w:tc>
          <w:tcPr/>
          <w:p>
            <w:pPr>
              <w:pStyle w:val="Compact"/>
            </w:pPr>
            <w:r>
              <w:t xml:space="preserve">4.44 ± 0.07</w:t>
            </w:r>
          </w:p>
        </w:tc>
        <w:tc>
          <w:tcPr/>
          <w:p>
            <w:pPr>
              <w:pStyle w:val="Compact"/>
            </w:pPr>
            <w:r>
              <w:t xml:space="preserve">3.47 ± 0.28</w:t>
            </w:r>
          </w:p>
        </w:tc>
        <w:tc>
          <w:tcPr/>
          <w:p>
            <w:pPr>
              <w:pStyle w:val="Compact"/>
            </w:pPr>
            <w:r>
              <w:t xml:space="preserve">2.54 ± 0.09</w:t>
            </w:r>
          </w:p>
        </w:tc>
        <w:tc>
          <w:tcPr/>
          <w:p>
            <w:pPr>
              <w:pStyle w:val="Compact"/>
            </w:pPr>
            <w:r>
              <w:t xml:space="preserve">1.03 ± 0.18</w:t>
            </w:r>
          </w:p>
        </w:tc>
        <w:tc>
          <w:tcPr/>
          <w:p>
            <w:pPr>
              <w:pStyle w:val="Compact"/>
            </w:pPr>
            <w:r>
              <w:t xml:space="preserve">0.87 ± 0.07</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5" w:name="tbl-ammi"/>
          <w:p>
            <w:pPr>
              <w:jc w:val="center"/>
            </w:pPr>
            <w:pPr>
              <w:jc w:val="left"/>
              <w:spacing w:before="200"/>
              <w:pStyle w:val="ImageCaption"/>
            </w:pPr>
            <w:r>
              <w:t xml:space="preserve">Table 7</w:t>
            </w:r>
          </w:p>
          <w:p>
            <w:pPr>
              <w:pStyle w:val="Compact"/>
              <w:jc w:val="center"/>
            </w:pPr>
            <w:r>
              <w:t xml:space="preserve">Table S4: The additive main effects and multiplicative interaction (AMMI) model output</w:t>
            </w:r>
          </w:p>
          <w:bookmarkEnd w:id="65"/>
        </w:tc>
      </w:tr>
    </w:tbl>
    <w:p>
      <w:pPr>
        <w:pStyle w:val="BodyText"/>
      </w:pPr>
      <w:r>
        <w:t xml:space="preserve"> </w:t>
      </w:r>
    </w:p>
    <w:tbl>
      <w:tblPr>
        <w:tblStyle w:val="Table"/>
        <w:tblW w:type="pct" w:w="5000"/>
        <w:tblLayout w:type="fixed"/>
        <w:tblLook w:firstRow="1" w:lastRow="0" w:firstColumn="0" w:lastColumn="0" w:noHBand="0" w:noVBand="0" w:val="0020"/>
      </w:tblPr>
      <w:tblGrid>
        <w:gridCol w:w="461"/>
        <w:gridCol w:w="538"/>
        <w:gridCol w:w="384"/>
        <w:gridCol w:w="615"/>
        <w:gridCol w:w="615"/>
        <w:gridCol w:w="615"/>
        <w:gridCol w:w="615"/>
        <w:gridCol w:w="538"/>
        <w:gridCol w:w="615"/>
        <w:gridCol w:w="692"/>
        <w:gridCol w:w="461"/>
        <w:gridCol w:w="538"/>
        <w:gridCol w:w="615"/>
        <w:gridCol w:w="615"/>
      </w:tblGrid>
      <w:tr>
        <w:trPr>
          <w:tblHeader w:val="on"/>
        </w:trPr>
        <w:tc>
          <w:tcPr/>
          <w:p>
            <w:pPr>
              <w:pStyle w:val="Compact"/>
            </w:pPr>
            <w:r>
              <w:t xml:space="preserve">Type</w:t>
            </w:r>
          </w:p>
        </w:tc>
        <w:tc>
          <w:tcPr/>
          <w:p>
            <w:pPr>
              <w:pStyle w:val="Compact"/>
            </w:pPr>
            <w:r>
              <w:t xml:space="preserve">Code</w:t>
            </w:r>
          </w:p>
        </w:tc>
        <w:tc>
          <w:tcPr/>
          <w:p>
            <w:pPr>
              <w:pStyle w:val="Compact"/>
            </w:pPr>
            <w:r>
              <w:t xml:space="preserve">Y</w:t>
            </w:r>
          </w:p>
        </w:tc>
        <w:tc>
          <w:tcPr/>
          <w:p>
            <w:pPr>
              <w:pStyle w:val="Compact"/>
            </w:pPr>
            <w:r>
              <w:t xml:space="preserve">PC1</w:t>
            </w:r>
          </w:p>
        </w:tc>
        <w:tc>
          <w:tcPr/>
          <w:p>
            <w:pPr>
              <w:pStyle w:val="Compact"/>
            </w:pPr>
            <w:r>
              <w:t xml:space="preserve">PC2</w:t>
            </w:r>
          </w:p>
        </w:tc>
        <w:tc>
          <w:tcPr/>
          <w:p>
            <w:pPr>
              <w:pStyle w:val="Compact"/>
            </w:pPr>
            <w:r>
              <w:t xml:space="preserve">PC3</w:t>
            </w:r>
          </w:p>
        </w:tc>
        <w:tc>
          <w:tcPr/>
          <w:p>
            <w:pPr>
              <w:pStyle w:val="Compact"/>
            </w:pPr>
            <w:r>
              <w:t xml:space="preserve">PC4</w:t>
            </w:r>
          </w:p>
        </w:tc>
        <w:tc>
          <w:tcPr/>
          <w:p>
            <w:pPr>
              <w:pStyle w:val="Compact"/>
            </w:pPr>
            <w:r>
              <w:t xml:space="preserve">WAAS</w:t>
            </w:r>
          </w:p>
        </w:tc>
        <w:tc>
          <w:tcPr/>
          <w:p>
            <w:pPr>
              <w:pStyle w:val="Compact"/>
            </w:pPr>
            <w:r>
              <w:t xml:space="preserve">PctResp</w:t>
            </w:r>
          </w:p>
        </w:tc>
        <w:tc>
          <w:tcPr/>
          <w:p>
            <w:pPr>
              <w:pStyle w:val="Compact"/>
            </w:pPr>
            <w:r>
              <w:t xml:space="preserve">PctWAAS</w:t>
            </w:r>
          </w:p>
        </w:tc>
        <w:tc>
          <w:tcPr/>
          <w:p>
            <w:pPr>
              <w:pStyle w:val="Compact"/>
            </w:pPr>
            <w:r>
              <w:t xml:space="preserve">wRes</w:t>
            </w:r>
          </w:p>
        </w:tc>
        <w:tc>
          <w:tcPr/>
          <w:p>
            <w:pPr>
              <w:pStyle w:val="Compact"/>
            </w:pPr>
            <w:r>
              <w:t xml:space="preserve">wWAAS</w:t>
            </w:r>
          </w:p>
        </w:tc>
        <w:tc>
          <w:tcPr/>
          <w:p>
            <w:pPr>
              <w:pStyle w:val="Compact"/>
            </w:pPr>
            <w:r>
              <w:t xml:space="preserve">OrResp</w:t>
            </w:r>
          </w:p>
        </w:tc>
        <w:tc>
          <w:tcPr/>
          <w:p>
            <w:pPr>
              <w:pStyle w:val="Compact"/>
            </w:pPr>
            <w:r>
              <w:t xml:space="preserve">OrWAAS</w:t>
            </w:r>
          </w:p>
        </w:tc>
      </w:tr>
      <w:tr>
        <w:tc>
          <w:tcPr/>
          <w:p>
            <w:pPr>
              <w:pStyle w:val="Compact"/>
            </w:pPr>
            <w:r>
              <w:t xml:space="preserve">GEN</w:t>
            </w:r>
          </w:p>
        </w:tc>
        <w:tc>
          <w:tcPr/>
          <w:p>
            <w:pPr>
              <w:pStyle w:val="Compact"/>
            </w:pPr>
            <w:r>
              <w:t xml:space="preserve">10</w:t>
            </w:r>
          </w:p>
        </w:tc>
        <w:tc>
          <w:tcPr/>
          <w:p>
            <w:pPr>
              <w:pStyle w:val="Compact"/>
            </w:pPr>
            <w:r>
              <w:t xml:space="preserve">3.0</w:t>
            </w:r>
          </w:p>
        </w:tc>
        <w:tc>
          <w:tcPr/>
          <w:p>
            <w:pPr>
              <w:pStyle w:val="Compact"/>
            </w:pPr>
            <w:r>
              <w:t xml:space="preserve">0.081</w:t>
            </w:r>
          </w:p>
        </w:tc>
        <w:tc>
          <w:tcPr/>
          <w:p>
            <w:pPr>
              <w:pStyle w:val="Compact"/>
            </w:pPr>
            <w:r>
              <w:t xml:space="preserve">0.270</w:t>
            </w:r>
          </w:p>
        </w:tc>
        <w:tc>
          <w:tcPr/>
          <w:p>
            <w:pPr>
              <w:pStyle w:val="Compact"/>
            </w:pPr>
            <w:r>
              <w:t xml:space="preserve">-0.250</w:t>
            </w:r>
          </w:p>
        </w:tc>
        <w:tc>
          <w:tcPr/>
          <w:p>
            <w:pPr>
              <w:pStyle w:val="Compact"/>
            </w:pPr>
            <w:r>
              <w:t xml:space="preserve">0.069</w:t>
            </w:r>
          </w:p>
        </w:tc>
        <w:tc>
          <w:tcPr/>
          <w:p>
            <w:pPr>
              <w:pStyle w:val="Compact"/>
            </w:pPr>
            <w:r>
              <w:t xml:space="preserve">0.081</w:t>
            </w:r>
          </w:p>
        </w:tc>
        <w:tc>
          <w:tcPr/>
          <w:p>
            <w:pPr>
              <w:pStyle w:val="Compact"/>
            </w:pPr>
            <w:r>
              <w:t xml:space="preserve">47.0</w:t>
            </w:r>
          </w:p>
        </w:tc>
        <w:tc>
          <w:tcPr/>
          <w:p>
            <w:pPr>
              <w:pStyle w:val="Compact"/>
            </w:pPr>
            <w:r>
              <w:t xml:space="preserve">93.0</w:t>
            </w:r>
          </w:p>
        </w:tc>
        <w:tc>
          <w:tcPr/>
          <w:p>
            <w:pPr>
              <w:pStyle w:val="Compact"/>
            </w:pPr>
            <w:r>
              <w:t xml:space="preserve">50</w:t>
            </w:r>
          </w:p>
        </w:tc>
        <w:tc>
          <w:tcPr/>
          <w:p>
            <w:pPr>
              <w:pStyle w:val="Compact"/>
            </w:pPr>
            <w:r>
              <w:t xml:space="preserve">50</w:t>
            </w:r>
          </w:p>
        </w:tc>
        <w:tc>
          <w:tcPr/>
          <w:p>
            <w:pPr>
              <w:pStyle w:val="Compact"/>
            </w:pPr>
            <w:r>
              <w:t xml:space="preserve">6</w:t>
            </w:r>
          </w:p>
        </w:tc>
        <w:tc>
          <w:tcPr/>
          <w:p>
            <w:pPr>
              <w:pStyle w:val="Compact"/>
            </w:pPr>
            <w:r>
              <w:t xml:space="preserve">6</w:t>
            </w:r>
          </w:p>
        </w:tc>
      </w:tr>
      <w:tr>
        <w:tc>
          <w:tcPr/>
          <w:p>
            <w:pPr>
              <w:pStyle w:val="Compact"/>
            </w:pPr>
            <w:r>
              <w:t xml:space="preserve">GEN</w:t>
            </w:r>
          </w:p>
        </w:tc>
        <w:tc>
          <w:tcPr/>
          <w:p>
            <w:pPr>
              <w:pStyle w:val="Compact"/>
            </w:pPr>
            <w:r>
              <w:t xml:space="preserve">11</w:t>
            </w:r>
          </w:p>
        </w:tc>
        <w:tc>
          <w:tcPr/>
          <w:p>
            <w:pPr>
              <w:pStyle w:val="Compact"/>
            </w:pPr>
            <w:r>
              <w:t xml:space="preserve">2.9</w:t>
            </w:r>
          </w:p>
        </w:tc>
        <w:tc>
          <w:tcPr/>
          <w:p>
            <w:pPr>
              <w:pStyle w:val="Compact"/>
            </w:pPr>
            <w:r>
              <w:t xml:space="preserve">-0.081</w:t>
            </w:r>
          </w:p>
        </w:tc>
        <w:tc>
          <w:tcPr/>
          <w:p>
            <w:pPr>
              <w:pStyle w:val="Compact"/>
            </w:pPr>
            <w:r>
              <w:t xml:space="preserve">-0.390</w:t>
            </w:r>
          </w:p>
        </w:tc>
        <w:tc>
          <w:tcPr/>
          <w:p>
            <w:pPr>
              <w:pStyle w:val="Compact"/>
            </w:pPr>
            <w:r>
              <w:t xml:space="preserve">0.014</w:t>
            </w:r>
          </w:p>
        </w:tc>
        <w:tc>
          <w:tcPr/>
          <w:p>
            <w:pPr>
              <w:pStyle w:val="Compact"/>
            </w:pPr>
            <w:r>
              <w:t xml:space="preserve">0.030</w:t>
            </w:r>
          </w:p>
        </w:tc>
        <w:tc>
          <w:tcPr/>
          <w:p>
            <w:pPr>
              <w:pStyle w:val="Compact"/>
            </w:pPr>
            <w:r>
              <w:t xml:space="preserve">0.081</w:t>
            </w:r>
          </w:p>
        </w:tc>
        <w:tc>
          <w:tcPr/>
          <w:p>
            <w:pPr>
              <w:pStyle w:val="Compact"/>
            </w:pPr>
            <w:r>
              <w:t xml:space="preserve">40.0</w:t>
            </w:r>
          </w:p>
        </w:tc>
        <w:tc>
          <w:tcPr/>
          <w:p>
            <w:pPr>
              <w:pStyle w:val="Compact"/>
            </w:pPr>
            <w:r>
              <w:t xml:space="preserve">93.0</w:t>
            </w:r>
          </w:p>
        </w:tc>
        <w:tc>
          <w:tcPr/>
          <w:p>
            <w:pPr>
              <w:pStyle w:val="Compact"/>
            </w:pPr>
            <w:r>
              <w:t xml:space="preserve">50</w:t>
            </w:r>
          </w:p>
        </w:tc>
        <w:tc>
          <w:tcPr/>
          <w:p>
            <w:pPr>
              <w:pStyle w:val="Compact"/>
            </w:pPr>
            <w:r>
              <w:t xml:space="preserve">50</w:t>
            </w:r>
          </w:p>
        </w:tc>
        <w:tc>
          <w:tcPr/>
          <w:p>
            <w:pPr>
              <w:pStyle w:val="Compact"/>
            </w:pPr>
            <w:r>
              <w:t xml:space="preserve">9</w:t>
            </w:r>
          </w:p>
        </w:tc>
        <w:tc>
          <w:tcPr/>
          <w:p>
            <w:pPr>
              <w:pStyle w:val="Compact"/>
            </w:pPr>
            <w:r>
              <w:t xml:space="preserve">7</w:t>
            </w:r>
          </w:p>
        </w:tc>
      </w:tr>
      <w:tr>
        <w:tc>
          <w:tcPr/>
          <w:p>
            <w:pPr>
              <w:pStyle w:val="Compact"/>
            </w:pPr>
            <w:r>
              <w:t xml:space="preserve">GEN</w:t>
            </w:r>
          </w:p>
        </w:tc>
        <w:tc>
          <w:tcPr/>
          <w:p>
            <w:pPr>
              <w:pStyle w:val="Compact"/>
            </w:pPr>
            <w:r>
              <w:t xml:space="preserve">12</w:t>
            </w:r>
          </w:p>
        </w:tc>
        <w:tc>
          <w:tcPr/>
          <w:p>
            <w:pPr>
              <w:pStyle w:val="Compact"/>
            </w:pPr>
            <w:r>
              <w:t xml:space="preserve">2.8</w:t>
            </w:r>
          </w:p>
        </w:tc>
        <w:tc>
          <w:tcPr/>
          <w:p>
            <w:pPr>
              <w:pStyle w:val="Compact"/>
            </w:pPr>
            <w:r>
              <w:t xml:space="preserve">-0.053</w:t>
            </w:r>
          </w:p>
        </w:tc>
        <w:tc>
          <w:tcPr/>
          <w:p>
            <w:pPr>
              <w:pStyle w:val="Compact"/>
            </w:pPr>
            <w:r>
              <w:t xml:space="preserve">-0.530</w:t>
            </w:r>
          </w:p>
        </w:tc>
        <w:tc>
          <w:tcPr/>
          <w:p>
            <w:pPr>
              <w:pStyle w:val="Compact"/>
            </w:pPr>
            <w:r>
              <w:t xml:space="preserve">0.066</w:t>
            </w:r>
          </w:p>
        </w:tc>
        <w:tc>
          <w:tcPr/>
          <w:p>
            <w:pPr>
              <w:pStyle w:val="Compact"/>
            </w:pPr>
            <w:r>
              <w:t xml:space="preserve">0.041</w:t>
            </w:r>
          </w:p>
        </w:tc>
        <w:tc>
          <w:tcPr/>
          <w:p>
            <w:pPr>
              <w:pStyle w:val="Compact"/>
            </w:pPr>
            <w:r>
              <w:t xml:space="preserve">0.053</w:t>
            </w:r>
          </w:p>
        </w:tc>
        <w:tc>
          <w:tcPr/>
          <w:p>
            <w:pPr>
              <w:pStyle w:val="Compact"/>
            </w:pPr>
            <w:r>
              <w:t xml:space="preserve">36.0</w:t>
            </w:r>
          </w:p>
        </w:tc>
        <w:tc>
          <w:tcPr/>
          <w:p>
            <w:pPr>
              <w:pStyle w:val="Compact"/>
            </w:pPr>
            <w:r>
              <w:t xml:space="preserve">97.0</w:t>
            </w:r>
          </w:p>
        </w:tc>
        <w:tc>
          <w:tcPr/>
          <w:p>
            <w:pPr>
              <w:pStyle w:val="Compact"/>
            </w:pPr>
            <w:r>
              <w:t xml:space="preserve">50</w:t>
            </w:r>
          </w:p>
        </w:tc>
        <w:tc>
          <w:tcPr/>
          <w:p>
            <w:pPr>
              <w:pStyle w:val="Compact"/>
            </w:pPr>
            <w:r>
              <w:t xml:space="preserve">50</w:t>
            </w:r>
          </w:p>
        </w:tc>
        <w:tc>
          <w:tcPr/>
          <w:p>
            <w:pPr>
              <w:pStyle w:val="Compact"/>
            </w:pPr>
            <w:r>
              <w:t xml:space="preserve">12</w:t>
            </w:r>
          </w:p>
        </w:tc>
        <w:tc>
          <w:tcPr/>
          <w:p>
            <w:pPr>
              <w:pStyle w:val="Compact"/>
            </w:pPr>
            <w:r>
              <w:t xml:space="preserve">3</w:t>
            </w:r>
          </w:p>
        </w:tc>
      </w:tr>
      <w:tr>
        <w:tc>
          <w:tcPr/>
          <w:p>
            <w:pPr>
              <w:pStyle w:val="Compact"/>
            </w:pPr>
            <w:r>
              <w:t xml:space="preserve">GEN</w:t>
            </w:r>
          </w:p>
        </w:tc>
        <w:tc>
          <w:tcPr/>
          <w:p>
            <w:pPr>
              <w:pStyle w:val="Compact"/>
            </w:pPr>
            <w:r>
              <w:t xml:space="preserve">13</w:t>
            </w:r>
          </w:p>
        </w:tc>
        <w:tc>
          <w:tcPr/>
          <w:p>
            <w:pPr>
              <w:pStyle w:val="Compact"/>
            </w:pPr>
            <w:r>
              <w:t xml:space="preserve">3.1</w:t>
            </w:r>
          </w:p>
        </w:tc>
        <w:tc>
          <w:tcPr/>
          <w:p>
            <w:pPr>
              <w:pStyle w:val="Compact"/>
            </w:pPr>
            <w:r>
              <w:t xml:space="preserve">0.084</w:t>
            </w:r>
          </w:p>
        </w:tc>
        <w:tc>
          <w:tcPr/>
          <w:p>
            <w:pPr>
              <w:pStyle w:val="Compact"/>
            </w:pPr>
            <w:r>
              <w:t xml:space="preserve">0.060</w:t>
            </w:r>
          </w:p>
        </w:tc>
        <w:tc>
          <w:tcPr/>
          <w:p>
            <w:pPr>
              <w:pStyle w:val="Compact"/>
            </w:pPr>
            <w:r>
              <w:t xml:space="preserve">-0.055</w:t>
            </w:r>
          </w:p>
        </w:tc>
        <w:tc>
          <w:tcPr/>
          <w:p>
            <w:pPr>
              <w:pStyle w:val="Compact"/>
            </w:pPr>
            <w:r>
              <w:t xml:space="preserve">0.170</w:t>
            </w:r>
          </w:p>
        </w:tc>
        <w:tc>
          <w:tcPr/>
          <w:p>
            <w:pPr>
              <w:pStyle w:val="Compact"/>
            </w:pPr>
            <w:r>
              <w:t xml:space="preserve">0.084</w:t>
            </w:r>
          </w:p>
        </w:tc>
        <w:tc>
          <w:tcPr/>
          <w:p>
            <w:pPr>
              <w:pStyle w:val="Compact"/>
            </w:pPr>
            <w:r>
              <w:t xml:space="preserve">52.0</w:t>
            </w:r>
          </w:p>
        </w:tc>
        <w:tc>
          <w:tcPr/>
          <w:p>
            <w:pPr>
              <w:pStyle w:val="Compact"/>
            </w:pPr>
            <w:r>
              <w:t xml:space="preserve">93.0</w:t>
            </w:r>
          </w:p>
        </w:tc>
        <w:tc>
          <w:tcPr/>
          <w:p>
            <w:pPr>
              <w:pStyle w:val="Compact"/>
            </w:pPr>
            <w:r>
              <w:t xml:space="preserve">50</w:t>
            </w:r>
          </w:p>
        </w:tc>
        <w:tc>
          <w:tcPr/>
          <w:p>
            <w:pPr>
              <w:pStyle w:val="Compact"/>
            </w:pPr>
            <w:r>
              <w:t xml:space="preserve">50</w:t>
            </w:r>
          </w:p>
        </w:tc>
        <w:tc>
          <w:tcPr/>
          <w:p>
            <w:pPr>
              <w:pStyle w:val="Compact"/>
            </w:pPr>
            <w:r>
              <w:t xml:space="preserve">4</w:t>
            </w:r>
          </w:p>
        </w:tc>
        <w:tc>
          <w:tcPr/>
          <w:p>
            <w:pPr>
              <w:pStyle w:val="Compact"/>
            </w:pPr>
            <w:r>
              <w:t xml:space="preserve">9</w:t>
            </w:r>
          </w:p>
        </w:tc>
      </w:tr>
      <w:tr>
        <w:tc>
          <w:tcPr/>
          <w:p>
            <w:pPr>
              <w:pStyle w:val="Compact"/>
            </w:pPr>
            <w:r>
              <w:t xml:space="preserve">GEN</w:t>
            </w:r>
          </w:p>
        </w:tc>
        <w:tc>
          <w:tcPr/>
          <w:p>
            <w:pPr>
              <w:pStyle w:val="Compact"/>
            </w:pPr>
            <w:r>
              <w:t xml:space="preserve">14</w:t>
            </w:r>
          </w:p>
        </w:tc>
        <w:tc>
          <w:tcPr/>
          <w:p>
            <w:pPr>
              <w:pStyle w:val="Compact"/>
            </w:pPr>
            <w:r>
              <w:t xml:space="preserve">3.0</w:t>
            </w:r>
          </w:p>
        </w:tc>
        <w:tc>
          <w:tcPr/>
          <w:p>
            <w:pPr>
              <w:pStyle w:val="Compact"/>
            </w:pPr>
            <w:r>
              <w:t xml:space="preserve">0.083</w:t>
            </w:r>
          </w:p>
        </w:tc>
        <w:tc>
          <w:tcPr/>
          <w:p>
            <w:pPr>
              <w:pStyle w:val="Compact"/>
            </w:pPr>
            <w:r>
              <w:t xml:space="preserve">-0.140</w:t>
            </w:r>
          </w:p>
        </w:tc>
        <w:tc>
          <w:tcPr/>
          <w:p>
            <w:pPr>
              <w:pStyle w:val="Compact"/>
            </w:pPr>
            <w:r>
              <w:t xml:space="preserve">0.0059</w:t>
            </w:r>
          </w:p>
        </w:tc>
        <w:tc>
          <w:tcPr/>
          <w:p>
            <w:pPr>
              <w:pStyle w:val="Compact"/>
            </w:pPr>
            <w:r>
              <w:t xml:space="preserve">-0.290</w:t>
            </w:r>
          </w:p>
        </w:tc>
        <w:tc>
          <w:tcPr/>
          <w:p>
            <w:pPr>
              <w:pStyle w:val="Compact"/>
            </w:pPr>
            <w:r>
              <w:t xml:space="preserve">0.083</w:t>
            </w:r>
          </w:p>
        </w:tc>
        <w:tc>
          <w:tcPr/>
          <w:p>
            <w:pPr>
              <w:pStyle w:val="Compact"/>
            </w:pPr>
            <w:r>
              <w:t xml:space="preserve">47.0</w:t>
            </w:r>
          </w:p>
        </w:tc>
        <w:tc>
          <w:tcPr/>
          <w:p>
            <w:pPr>
              <w:pStyle w:val="Compact"/>
            </w:pPr>
            <w:r>
              <w:t xml:space="preserve">93.0</w:t>
            </w:r>
          </w:p>
        </w:tc>
        <w:tc>
          <w:tcPr/>
          <w:p>
            <w:pPr>
              <w:pStyle w:val="Compact"/>
            </w:pPr>
            <w:r>
              <w:t xml:space="preserve">50</w:t>
            </w:r>
          </w:p>
        </w:tc>
        <w:tc>
          <w:tcPr/>
          <w:p>
            <w:pPr>
              <w:pStyle w:val="Compact"/>
            </w:pPr>
            <w:r>
              <w:t xml:space="preserve">50</w:t>
            </w:r>
          </w:p>
        </w:tc>
        <w:tc>
          <w:tcPr/>
          <w:p>
            <w:pPr>
              <w:pStyle w:val="Compact"/>
            </w:pPr>
            <w:r>
              <w:t xml:space="preserve">7</w:t>
            </w:r>
          </w:p>
        </w:tc>
        <w:tc>
          <w:tcPr/>
          <w:p>
            <w:pPr>
              <w:pStyle w:val="Compact"/>
            </w:pPr>
            <w:r>
              <w:t xml:space="preserve">8</w:t>
            </w:r>
          </w:p>
        </w:tc>
      </w:tr>
      <w:tr>
        <w:tc>
          <w:tcPr/>
          <w:p>
            <w:pPr>
              <w:pStyle w:val="Compact"/>
            </w:pPr>
            <w:r>
              <w:t xml:space="preserve">GEN</w:t>
            </w:r>
          </w:p>
        </w:tc>
        <w:tc>
          <w:tcPr/>
          <w:p>
            <w:pPr>
              <w:pStyle w:val="Compact"/>
            </w:pPr>
            <w:r>
              <w:t xml:space="preserve">15</w:t>
            </w:r>
          </w:p>
        </w:tc>
        <w:tc>
          <w:tcPr/>
          <w:p>
            <w:pPr>
              <w:pStyle w:val="Compact"/>
            </w:pPr>
            <w:r>
              <w:t xml:space="preserve">3.0</w:t>
            </w:r>
          </w:p>
        </w:tc>
        <w:tc>
          <w:tcPr/>
          <w:p>
            <w:pPr>
              <w:pStyle w:val="Compact"/>
            </w:pPr>
            <w:r>
              <w:t xml:space="preserve">-0.063</w:t>
            </w:r>
          </w:p>
        </w:tc>
        <w:tc>
          <w:tcPr/>
          <w:p>
            <w:pPr>
              <w:pStyle w:val="Compact"/>
            </w:pPr>
            <w:r>
              <w:t xml:space="preserve">-0.230</w:t>
            </w:r>
          </w:p>
        </w:tc>
        <w:tc>
          <w:tcPr/>
          <w:p>
            <w:pPr>
              <w:pStyle w:val="Compact"/>
            </w:pPr>
            <w:r>
              <w:t xml:space="preserve">-0.110</w:t>
            </w:r>
          </w:p>
        </w:tc>
        <w:tc>
          <w:tcPr/>
          <w:p>
            <w:pPr>
              <w:pStyle w:val="Compact"/>
            </w:pPr>
            <w:r>
              <w:t xml:space="preserve">-0.059</w:t>
            </w:r>
          </w:p>
        </w:tc>
        <w:tc>
          <w:tcPr/>
          <w:p>
            <w:pPr>
              <w:pStyle w:val="Compact"/>
            </w:pPr>
            <w:r>
              <w:t xml:space="preserve">0.063</w:t>
            </w:r>
          </w:p>
        </w:tc>
        <w:tc>
          <w:tcPr/>
          <w:p>
            <w:pPr>
              <w:pStyle w:val="Compact"/>
            </w:pPr>
            <w:r>
              <w:t xml:space="preserve">44.0</w:t>
            </w:r>
          </w:p>
        </w:tc>
        <w:tc>
          <w:tcPr/>
          <w:p>
            <w:pPr>
              <w:pStyle w:val="Compact"/>
            </w:pPr>
            <w:r>
              <w:t xml:space="preserve">96.0</w:t>
            </w:r>
          </w:p>
        </w:tc>
        <w:tc>
          <w:tcPr/>
          <w:p>
            <w:pPr>
              <w:pStyle w:val="Compact"/>
            </w:pPr>
            <w:r>
              <w:t xml:space="preserve">50</w:t>
            </w:r>
          </w:p>
        </w:tc>
        <w:tc>
          <w:tcPr/>
          <w:p>
            <w:pPr>
              <w:pStyle w:val="Compact"/>
            </w:pPr>
            <w:r>
              <w:t xml:space="preserve">50</w:t>
            </w:r>
          </w:p>
        </w:tc>
        <w:tc>
          <w:tcPr/>
          <w:p>
            <w:pPr>
              <w:pStyle w:val="Compact"/>
            </w:pPr>
            <w:r>
              <w:t xml:space="preserve">8</w:t>
            </w:r>
          </w:p>
        </w:tc>
        <w:tc>
          <w:tcPr/>
          <w:p>
            <w:pPr>
              <w:pStyle w:val="Compact"/>
            </w:pPr>
            <w:r>
              <w:t xml:space="preserve">4</w:t>
            </w:r>
          </w:p>
        </w:tc>
      </w:tr>
      <w:tr>
        <w:tc>
          <w:tcPr/>
          <w:p>
            <w:pPr>
              <w:pStyle w:val="Compact"/>
            </w:pPr>
            <w:r>
              <w:t xml:space="preserve">GEN</w:t>
            </w:r>
          </w:p>
        </w:tc>
        <w:tc>
          <w:tcPr/>
          <w:p>
            <w:pPr>
              <w:pStyle w:val="Compact"/>
            </w:pPr>
            <w:r>
              <w:t xml:space="preserve">16</w:t>
            </w:r>
          </w:p>
        </w:tc>
        <w:tc>
          <w:tcPr/>
          <w:p>
            <w:pPr>
              <w:pStyle w:val="Compact"/>
            </w:pPr>
            <w:r>
              <w:t xml:space="preserve">3.1</w:t>
            </w:r>
          </w:p>
        </w:tc>
        <w:tc>
          <w:tcPr/>
          <w:p>
            <w:pPr>
              <w:pStyle w:val="Compact"/>
            </w:pPr>
            <w:r>
              <w:t xml:space="preserve">-0.048</w:t>
            </w:r>
          </w:p>
        </w:tc>
        <w:tc>
          <w:tcPr/>
          <w:p>
            <w:pPr>
              <w:pStyle w:val="Compact"/>
            </w:pPr>
            <w:r>
              <w:t xml:space="preserve">0.370</w:t>
            </w:r>
          </w:p>
        </w:tc>
        <w:tc>
          <w:tcPr/>
          <w:p>
            <w:pPr>
              <w:pStyle w:val="Compact"/>
            </w:pPr>
            <w:r>
              <w:t xml:space="preserve">0.014</w:t>
            </w:r>
          </w:p>
        </w:tc>
        <w:tc>
          <w:tcPr/>
          <w:p>
            <w:pPr>
              <w:pStyle w:val="Compact"/>
            </w:pPr>
            <w:r>
              <w:t xml:space="preserve">-0.120</w:t>
            </w:r>
          </w:p>
        </w:tc>
        <w:tc>
          <w:tcPr/>
          <w:p>
            <w:pPr>
              <w:pStyle w:val="Compact"/>
            </w:pPr>
            <w:r>
              <w:t xml:space="preserve">0.048</w:t>
            </w:r>
          </w:p>
        </w:tc>
        <w:tc>
          <w:tcPr/>
          <w:p>
            <w:pPr>
              <w:pStyle w:val="Compact"/>
            </w:pPr>
            <w:r>
              <w:t xml:space="preserve">49.0</w:t>
            </w:r>
          </w:p>
        </w:tc>
        <w:tc>
          <w:tcPr/>
          <w:p>
            <w:pPr>
              <w:pStyle w:val="Compact"/>
            </w:pPr>
            <w:r>
              <w:t xml:space="preserve">98.0</w:t>
            </w:r>
          </w:p>
        </w:tc>
        <w:tc>
          <w:tcPr/>
          <w:p>
            <w:pPr>
              <w:pStyle w:val="Compact"/>
            </w:pPr>
            <w:r>
              <w:t xml:space="preserve">50</w:t>
            </w:r>
          </w:p>
        </w:tc>
        <w:tc>
          <w:tcPr/>
          <w:p>
            <w:pPr>
              <w:pStyle w:val="Compact"/>
            </w:pPr>
            <w:r>
              <w:t xml:space="preserve">50</w:t>
            </w:r>
          </w:p>
        </w:tc>
        <w:tc>
          <w:tcPr/>
          <w:p>
            <w:pPr>
              <w:pStyle w:val="Compact"/>
            </w:pPr>
            <w:r>
              <w:t xml:space="preserve">5</w:t>
            </w:r>
          </w:p>
        </w:tc>
        <w:tc>
          <w:tcPr/>
          <w:p>
            <w:pPr>
              <w:pStyle w:val="Compact"/>
            </w:pPr>
            <w:r>
              <w:t xml:space="preserve">2</w:t>
            </w:r>
          </w:p>
        </w:tc>
      </w:tr>
      <w:tr>
        <w:tc>
          <w:tcPr/>
          <w:p>
            <w:pPr>
              <w:pStyle w:val="Compact"/>
            </w:pPr>
            <w:r>
              <w:t xml:space="preserve">GEN</w:t>
            </w:r>
          </w:p>
        </w:tc>
        <w:tc>
          <w:tcPr/>
          <w:p>
            <w:pPr>
              <w:pStyle w:val="Compact"/>
            </w:pPr>
            <w:r>
              <w:t xml:space="preserve">17</w:t>
            </w:r>
          </w:p>
        </w:tc>
        <w:tc>
          <w:tcPr/>
          <w:p>
            <w:pPr>
              <w:pStyle w:val="Compact"/>
            </w:pPr>
            <w:r>
              <w:t xml:space="preserve">2.8</w:t>
            </w:r>
          </w:p>
        </w:tc>
        <w:tc>
          <w:tcPr/>
          <w:p>
            <w:pPr>
              <w:pStyle w:val="Compact"/>
            </w:pPr>
            <w:r>
              <w:t xml:space="preserve">0.080</w:t>
            </w:r>
          </w:p>
        </w:tc>
        <w:tc>
          <w:tcPr/>
          <w:p>
            <w:pPr>
              <w:pStyle w:val="Compact"/>
            </w:pPr>
            <w:r>
              <w:t xml:space="preserve">0.370</w:t>
            </w:r>
          </w:p>
        </w:tc>
        <w:tc>
          <w:tcPr/>
          <w:p>
            <w:pPr>
              <w:pStyle w:val="Compact"/>
            </w:pPr>
            <w:r>
              <w:t xml:space="preserve">-0.230</w:t>
            </w:r>
          </w:p>
        </w:tc>
        <w:tc>
          <w:tcPr/>
          <w:p>
            <w:pPr>
              <w:pStyle w:val="Compact"/>
            </w:pPr>
            <w:r>
              <w:t xml:space="preserve">-0.150</w:t>
            </w:r>
          </w:p>
        </w:tc>
        <w:tc>
          <w:tcPr/>
          <w:p>
            <w:pPr>
              <w:pStyle w:val="Compact"/>
            </w:pPr>
            <w:r>
              <w:t xml:space="preserve">0.080</w:t>
            </w:r>
          </w:p>
        </w:tc>
        <w:tc>
          <w:tcPr/>
          <w:p>
            <w:pPr>
              <w:pStyle w:val="Compact"/>
            </w:pPr>
            <w:r>
              <w:t xml:space="preserve">38.0</w:t>
            </w:r>
          </w:p>
        </w:tc>
        <w:tc>
          <w:tcPr/>
          <w:p>
            <w:pPr>
              <w:pStyle w:val="Compact"/>
            </w:pPr>
            <w:r>
              <w:t xml:space="preserve">94.0</w:t>
            </w:r>
          </w:p>
        </w:tc>
        <w:tc>
          <w:tcPr/>
          <w:p>
            <w:pPr>
              <w:pStyle w:val="Compact"/>
            </w:pPr>
            <w:r>
              <w:t xml:space="preserve">50</w:t>
            </w:r>
          </w:p>
        </w:tc>
        <w:tc>
          <w:tcPr/>
          <w:p>
            <w:pPr>
              <w:pStyle w:val="Compact"/>
            </w:pPr>
            <w:r>
              <w:t xml:space="preserve">50</w:t>
            </w:r>
          </w:p>
        </w:tc>
        <w:tc>
          <w:tcPr/>
          <w:p>
            <w:pPr>
              <w:pStyle w:val="Compact"/>
            </w:pPr>
            <w:r>
              <w:t xml:space="preserve">11</w:t>
            </w:r>
          </w:p>
        </w:tc>
        <w:tc>
          <w:tcPr/>
          <w:p>
            <w:pPr>
              <w:pStyle w:val="Compact"/>
            </w:pPr>
            <w:r>
              <w:t xml:space="preserve">5</w:t>
            </w:r>
          </w:p>
        </w:tc>
      </w:tr>
      <w:tr>
        <w:tc>
          <w:tcPr/>
          <w:p>
            <w:pPr>
              <w:pStyle w:val="Compact"/>
            </w:pPr>
            <w:r>
              <w:t xml:space="preserve">GEN</w:t>
            </w:r>
          </w:p>
        </w:tc>
        <w:tc>
          <w:tcPr/>
          <w:p>
            <w:pPr>
              <w:pStyle w:val="Compact"/>
            </w:pPr>
            <w:r>
              <w:t xml:space="preserve">18</w:t>
            </w:r>
          </w:p>
        </w:tc>
        <w:tc>
          <w:tcPr/>
          <w:p>
            <w:pPr>
              <w:pStyle w:val="Compact"/>
            </w:pPr>
            <w:r>
              <w:t xml:space="preserve">2.8</w:t>
            </w:r>
          </w:p>
        </w:tc>
        <w:tc>
          <w:tcPr/>
          <w:p>
            <w:pPr>
              <w:pStyle w:val="Compact"/>
            </w:pPr>
            <w:r>
              <w:t xml:space="preserve">-0.032</w:t>
            </w:r>
          </w:p>
        </w:tc>
        <w:tc>
          <w:tcPr/>
          <w:p>
            <w:pPr>
              <w:pStyle w:val="Compact"/>
            </w:pPr>
            <w:r>
              <w:t xml:space="preserve">-0.120</w:t>
            </w:r>
          </w:p>
        </w:tc>
        <w:tc>
          <w:tcPr/>
          <w:p>
            <w:pPr>
              <w:pStyle w:val="Compact"/>
            </w:pPr>
            <w:r>
              <w:t xml:space="preserve">-0.075</w:t>
            </w:r>
          </w:p>
        </w:tc>
        <w:tc>
          <w:tcPr/>
          <w:p>
            <w:pPr>
              <w:pStyle w:val="Compact"/>
            </w:pPr>
            <w:r>
              <w:t xml:space="preserve">0.061</w:t>
            </w:r>
          </w:p>
        </w:tc>
        <w:tc>
          <w:tcPr/>
          <w:p>
            <w:pPr>
              <w:pStyle w:val="Compact"/>
            </w:pPr>
            <w:r>
              <w:t xml:space="preserve">0.032</w:t>
            </w:r>
          </w:p>
        </w:tc>
        <w:tc>
          <w:tcPr/>
          <w:p>
            <w:pPr>
              <w:pStyle w:val="Compact"/>
            </w:pPr>
            <w:r>
              <w:t xml:space="preserve">39.0</w:t>
            </w:r>
          </w:p>
        </w:tc>
        <w:tc>
          <w:tcPr/>
          <w:p>
            <w:pPr>
              <w:pStyle w:val="Compact"/>
            </w:pPr>
            <w:r>
              <w:t xml:space="preserve">100.0</w:t>
            </w:r>
          </w:p>
        </w:tc>
        <w:tc>
          <w:tcPr/>
          <w:p>
            <w:pPr>
              <w:pStyle w:val="Compact"/>
            </w:pPr>
            <w:r>
              <w:t xml:space="preserve">50</w:t>
            </w:r>
          </w:p>
        </w:tc>
        <w:tc>
          <w:tcPr/>
          <w:p>
            <w:pPr>
              <w:pStyle w:val="Compact"/>
            </w:pPr>
            <w:r>
              <w:t xml:space="preserve">50</w:t>
            </w:r>
          </w:p>
        </w:tc>
        <w:tc>
          <w:tcPr/>
          <w:p>
            <w:pPr>
              <w:pStyle w:val="Compact"/>
            </w:pPr>
            <w:r>
              <w:t xml:space="preserve">10</w:t>
            </w:r>
          </w:p>
        </w:tc>
        <w:tc>
          <w:tcPr/>
          <w:p>
            <w:pPr>
              <w:pStyle w:val="Compact"/>
            </w:pPr>
            <w:r>
              <w:t xml:space="preserve">1</w:t>
            </w:r>
          </w:p>
        </w:tc>
      </w:tr>
      <w:tr>
        <w:tc>
          <w:tcPr/>
          <w:p>
            <w:pPr>
              <w:pStyle w:val="Compact"/>
            </w:pPr>
            <w:r>
              <w:t xml:space="preserve">GEN</w:t>
            </w:r>
          </w:p>
        </w:tc>
        <w:tc>
          <w:tcPr/>
          <w:p>
            <w:pPr>
              <w:pStyle w:val="Compact"/>
            </w:pPr>
            <w:r>
              <w:t xml:space="preserve">4</w:t>
            </w:r>
          </w:p>
        </w:tc>
        <w:tc>
          <w:tcPr/>
          <w:p>
            <w:pPr>
              <w:pStyle w:val="Compact"/>
            </w:pPr>
            <w:r>
              <w:t xml:space="preserve">4.3</w:t>
            </w:r>
          </w:p>
        </w:tc>
        <w:tc>
          <w:tcPr/>
          <w:p>
            <w:pPr>
              <w:pStyle w:val="Compact"/>
            </w:pPr>
            <w:r>
              <w:t xml:space="preserve">-0.760</w:t>
            </w:r>
          </w:p>
        </w:tc>
        <w:tc>
          <w:tcPr/>
          <w:p>
            <w:pPr>
              <w:pStyle w:val="Compact"/>
            </w:pPr>
            <w:r>
              <w:t xml:space="preserve">-0.0005</w:t>
            </w:r>
          </w:p>
        </w:tc>
        <w:tc>
          <w:tcPr/>
          <w:p>
            <w:pPr>
              <w:pStyle w:val="Compact"/>
            </w:pPr>
            <w:r>
              <w:t xml:space="preserve">-0.320</w:t>
            </w:r>
          </w:p>
        </w:tc>
        <w:tc>
          <w:tcPr/>
          <w:p>
            <w:pPr>
              <w:pStyle w:val="Compact"/>
            </w:pPr>
            <w:r>
              <w:t xml:space="preserve">0.200</w:t>
            </w:r>
          </w:p>
        </w:tc>
        <w:tc>
          <w:tcPr/>
          <w:p>
            <w:pPr>
              <w:pStyle w:val="Compact"/>
            </w:pPr>
            <w:r>
              <w:t xml:space="preserve">0.760</w:t>
            </w:r>
          </w:p>
        </w:tc>
        <w:tc>
          <w:tcPr/>
          <w:p>
            <w:pPr>
              <w:pStyle w:val="Compact"/>
            </w:pPr>
            <w:r>
              <w:t xml:space="preserve">95.0</w:t>
            </w:r>
          </w:p>
        </w:tc>
        <w:tc>
          <w:tcPr/>
          <w:p>
            <w:pPr>
              <w:pStyle w:val="Compact"/>
            </w:pPr>
            <w:r>
              <w:t xml:space="preserve">0.0</w:t>
            </w:r>
          </w:p>
        </w:tc>
        <w:tc>
          <w:tcPr/>
          <w:p>
            <w:pPr>
              <w:pStyle w:val="Compact"/>
            </w:pPr>
            <w:r>
              <w:t xml:space="preserve">50</w:t>
            </w:r>
          </w:p>
        </w:tc>
        <w:tc>
          <w:tcPr/>
          <w:p>
            <w:pPr>
              <w:pStyle w:val="Compact"/>
            </w:pPr>
            <w:r>
              <w:t xml:space="preserve">50</w:t>
            </w:r>
          </w:p>
        </w:tc>
        <w:tc>
          <w:tcPr/>
          <w:p>
            <w:pPr>
              <w:pStyle w:val="Compact"/>
            </w:pPr>
            <w:r>
              <w:t xml:space="preserve">2</w:t>
            </w:r>
          </w:p>
        </w:tc>
        <w:tc>
          <w:tcPr/>
          <w:p>
            <w:pPr>
              <w:pStyle w:val="Compact"/>
            </w:pPr>
            <w:r>
              <w:t xml:space="preserve">15</w:t>
            </w:r>
          </w:p>
        </w:tc>
      </w:tr>
      <w:tr>
        <w:tc>
          <w:tcPr/>
          <w:p>
            <w:pPr>
              <w:pStyle w:val="Compact"/>
            </w:pPr>
            <w:r>
              <w:t xml:space="preserve">GEN</w:t>
            </w:r>
          </w:p>
        </w:tc>
        <w:tc>
          <w:tcPr/>
          <w:p>
            <w:pPr>
              <w:pStyle w:val="Compact"/>
            </w:pPr>
            <w:r>
              <w:t xml:space="preserve">5</w:t>
            </w:r>
          </w:p>
        </w:tc>
        <w:tc>
          <w:tcPr/>
          <w:p>
            <w:pPr>
              <w:pStyle w:val="Compact"/>
            </w:pPr>
            <w:r>
              <w:t xml:space="preserve">4.4</w:t>
            </w:r>
          </w:p>
        </w:tc>
        <w:tc>
          <w:tcPr/>
          <w:p>
            <w:pPr>
              <w:pStyle w:val="Compact"/>
            </w:pPr>
            <w:r>
              <w:t xml:space="preserve">-0.480</w:t>
            </w:r>
          </w:p>
        </w:tc>
        <w:tc>
          <w:tcPr/>
          <w:p>
            <w:pPr>
              <w:pStyle w:val="Compact"/>
            </w:pPr>
            <w:r>
              <w:t xml:space="preserve">0.019</w:t>
            </w:r>
          </w:p>
        </w:tc>
        <w:tc>
          <w:tcPr/>
          <w:p>
            <w:pPr>
              <w:pStyle w:val="Compact"/>
            </w:pPr>
            <w:r>
              <w:t xml:space="preserve">0.510</w:t>
            </w:r>
          </w:p>
        </w:tc>
        <w:tc>
          <w:tcPr/>
          <w:p>
            <w:pPr>
              <w:pStyle w:val="Compact"/>
            </w:pPr>
            <w:r>
              <w:t xml:space="preserve">-0.0085</w:t>
            </w:r>
          </w:p>
        </w:tc>
        <w:tc>
          <w:tcPr/>
          <w:p>
            <w:pPr>
              <w:pStyle w:val="Compact"/>
            </w:pPr>
            <w:r>
              <w:t xml:space="preserve">0.480</w:t>
            </w:r>
          </w:p>
        </w:tc>
        <w:tc>
          <w:tcPr/>
          <w:p>
            <w:pPr>
              <w:pStyle w:val="Compact"/>
            </w:pPr>
            <w:r>
              <w:t xml:space="preserve">100.0</w:t>
            </w:r>
          </w:p>
        </w:tc>
        <w:tc>
          <w:tcPr/>
          <w:p>
            <w:pPr>
              <w:pStyle w:val="Compact"/>
            </w:pPr>
            <w:r>
              <w:t xml:space="preserve">38.0</w:t>
            </w:r>
          </w:p>
        </w:tc>
        <w:tc>
          <w:tcPr/>
          <w:p>
            <w:pPr>
              <w:pStyle w:val="Compact"/>
            </w:pPr>
            <w:r>
              <w:t xml:space="preserve">50</w:t>
            </w:r>
          </w:p>
        </w:tc>
        <w:tc>
          <w:tcPr/>
          <w:p>
            <w:pPr>
              <w:pStyle w:val="Compact"/>
            </w:pPr>
            <w:r>
              <w:t xml:space="preserve">50</w:t>
            </w:r>
          </w:p>
        </w:tc>
        <w:tc>
          <w:tcPr/>
          <w:p>
            <w:pPr>
              <w:pStyle w:val="Compact"/>
            </w:pPr>
            <w:r>
              <w:t xml:space="preserve">1</w:t>
            </w:r>
          </w:p>
        </w:tc>
        <w:tc>
          <w:tcPr/>
          <w:p>
            <w:pPr>
              <w:pStyle w:val="Compact"/>
            </w:pPr>
            <w:r>
              <w:t xml:space="preserve">10</w:t>
            </w:r>
          </w:p>
        </w:tc>
      </w:tr>
      <w:tr>
        <w:tc>
          <w:tcPr/>
          <w:p>
            <w:pPr>
              <w:pStyle w:val="Compact"/>
            </w:pPr>
            <w:r>
              <w:t xml:space="preserve">GEN</w:t>
            </w:r>
          </w:p>
        </w:tc>
        <w:tc>
          <w:tcPr/>
          <w:p>
            <w:pPr>
              <w:pStyle w:val="Compact"/>
            </w:pPr>
            <w:r>
              <w:t xml:space="preserve">6</w:t>
            </w:r>
          </w:p>
        </w:tc>
        <w:tc>
          <w:tcPr/>
          <w:p>
            <w:pPr>
              <w:pStyle w:val="Compact"/>
            </w:pPr>
            <w:r>
              <w:t xml:space="preserve">4.0</w:t>
            </w:r>
          </w:p>
        </w:tc>
        <w:tc>
          <w:tcPr/>
          <w:p>
            <w:pPr>
              <w:pStyle w:val="Compact"/>
            </w:pPr>
            <w:r>
              <w:t xml:space="preserve">-0.490</w:t>
            </w:r>
          </w:p>
        </w:tc>
        <w:tc>
          <w:tcPr/>
          <w:p>
            <w:pPr>
              <w:pStyle w:val="Compact"/>
            </w:pPr>
            <w:r>
              <w:t xml:space="preserve">0.260</w:t>
            </w:r>
          </w:p>
        </w:tc>
        <w:tc>
          <w:tcPr/>
          <w:p>
            <w:pPr>
              <w:pStyle w:val="Compact"/>
            </w:pPr>
            <w:r>
              <w:t xml:space="preserve">0.190</w:t>
            </w:r>
          </w:p>
        </w:tc>
        <w:tc>
          <w:tcPr/>
          <w:p>
            <w:pPr>
              <w:pStyle w:val="Compact"/>
            </w:pPr>
            <w:r>
              <w:t xml:space="preserve">-0.120</w:t>
            </w:r>
          </w:p>
        </w:tc>
        <w:tc>
          <w:tcPr/>
          <w:p>
            <w:pPr>
              <w:pStyle w:val="Compact"/>
            </w:pPr>
            <w:r>
              <w:t xml:space="preserve">0.490</w:t>
            </w:r>
          </w:p>
        </w:tc>
        <w:tc>
          <w:tcPr/>
          <w:p>
            <w:pPr>
              <w:pStyle w:val="Compact"/>
            </w:pPr>
            <w:r>
              <w:t xml:space="preserve">85.0</w:t>
            </w:r>
          </w:p>
        </w:tc>
        <w:tc>
          <w:tcPr/>
          <w:p>
            <w:pPr>
              <w:pStyle w:val="Compact"/>
            </w:pPr>
            <w:r>
              <w:t xml:space="preserve">37.0</w:t>
            </w:r>
          </w:p>
        </w:tc>
        <w:tc>
          <w:tcPr/>
          <w:p>
            <w:pPr>
              <w:pStyle w:val="Compact"/>
            </w:pPr>
            <w:r>
              <w:t xml:space="preserve">50</w:t>
            </w:r>
          </w:p>
        </w:tc>
        <w:tc>
          <w:tcPr/>
          <w:p>
            <w:pPr>
              <w:pStyle w:val="Compact"/>
            </w:pPr>
            <w:r>
              <w:t xml:space="preserve">50</w:t>
            </w:r>
          </w:p>
        </w:tc>
        <w:tc>
          <w:tcPr/>
          <w:p>
            <w:pPr>
              <w:pStyle w:val="Compact"/>
            </w:pPr>
            <w:r>
              <w:t xml:space="preserve">3</w:t>
            </w:r>
          </w:p>
        </w:tc>
        <w:tc>
          <w:tcPr/>
          <w:p>
            <w:pPr>
              <w:pStyle w:val="Compact"/>
            </w:pPr>
            <w:r>
              <w:t xml:space="preserve">11</w:t>
            </w:r>
          </w:p>
        </w:tc>
      </w:tr>
      <w:tr>
        <w:tc>
          <w:tcPr/>
          <w:p>
            <w:pPr>
              <w:pStyle w:val="Compact"/>
            </w:pPr>
            <w:r>
              <w:t xml:space="preserve">GEN</w:t>
            </w:r>
          </w:p>
        </w:tc>
        <w:tc>
          <w:tcPr/>
          <w:p>
            <w:pPr>
              <w:pStyle w:val="Compact"/>
            </w:pPr>
            <w:r>
              <w:t xml:space="preserve">7</w:t>
            </w:r>
          </w:p>
        </w:tc>
        <w:tc>
          <w:tcPr/>
          <w:p>
            <w:pPr>
              <w:pStyle w:val="Compact"/>
            </w:pPr>
            <w:r>
              <w:t xml:space="preserve">2.1</w:t>
            </w:r>
          </w:p>
        </w:tc>
        <w:tc>
          <w:tcPr/>
          <w:p>
            <w:pPr>
              <w:pStyle w:val="Compact"/>
            </w:pPr>
            <w:r>
              <w:t xml:space="preserve">0.580</w:t>
            </w:r>
          </w:p>
        </w:tc>
        <w:tc>
          <w:tcPr/>
          <w:p>
            <w:pPr>
              <w:pStyle w:val="Compact"/>
            </w:pPr>
            <w:r>
              <w:t xml:space="preserve">-0.035</w:t>
            </w:r>
          </w:p>
        </w:tc>
        <w:tc>
          <w:tcPr/>
          <w:p>
            <w:pPr>
              <w:pStyle w:val="Compact"/>
            </w:pPr>
            <w:r>
              <w:t xml:space="preserve">0.072</w:t>
            </w:r>
          </w:p>
        </w:tc>
        <w:tc>
          <w:tcPr/>
          <w:p>
            <w:pPr>
              <w:pStyle w:val="Compact"/>
            </w:pPr>
            <w:r>
              <w:t xml:space="preserve">0.250</w:t>
            </w:r>
          </w:p>
        </w:tc>
        <w:tc>
          <w:tcPr/>
          <w:p>
            <w:pPr>
              <w:pStyle w:val="Compact"/>
            </w:pPr>
            <w:r>
              <w:t xml:space="preserve">0.580</w:t>
            </w:r>
          </w:p>
        </w:tc>
        <w:tc>
          <w:tcPr/>
          <w:p>
            <w:pPr>
              <w:pStyle w:val="Compact"/>
            </w:pPr>
            <w:r>
              <w:t xml:space="preserve">12.0</w:t>
            </w:r>
          </w:p>
        </w:tc>
        <w:tc>
          <w:tcPr/>
          <w:p>
            <w:pPr>
              <w:pStyle w:val="Compact"/>
            </w:pPr>
            <w:r>
              <w:t xml:space="preserve">26.0</w:t>
            </w:r>
          </w:p>
        </w:tc>
        <w:tc>
          <w:tcPr/>
          <w:p>
            <w:pPr>
              <w:pStyle w:val="Compact"/>
            </w:pPr>
            <w:r>
              <w:t xml:space="preserve">50</w:t>
            </w:r>
          </w:p>
        </w:tc>
        <w:tc>
          <w:tcPr/>
          <w:p>
            <w:pPr>
              <w:pStyle w:val="Compact"/>
            </w:pPr>
            <w:r>
              <w:t xml:space="preserve">50</w:t>
            </w:r>
          </w:p>
        </w:tc>
        <w:tc>
          <w:tcPr/>
          <w:p>
            <w:pPr>
              <w:pStyle w:val="Compact"/>
            </w:pPr>
            <w:r>
              <w:t xml:space="preserve">13</w:t>
            </w:r>
          </w:p>
        </w:tc>
        <w:tc>
          <w:tcPr/>
          <w:p>
            <w:pPr>
              <w:pStyle w:val="Compact"/>
            </w:pPr>
            <w:r>
              <w:t xml:space="preserve">14</w:t>
            </w:r>
          </w:p>
        </w:tc>
      </w:tr>
      <w:tr>
        <w:tc>
          <w:tcPr/>
          <w:p>
            <w:pPr>
              <w:pStyle w:val="Compact"/>
            </w:pPr>
            <w:r>
              <w:t xml:space="preserve">GEN</w:t>
            </w:r>
          </w:p>
        </w:tc>
        <w:tc>
          <w:tcPr/>
          <w:p>
            <w:pPr>
              <w:pStyle w:val="Compact"/>
            </w:pPr>
            <w:r>
              <w:t xml:space="preserve">8</w:t>
            </w:r>
          </w:p>
        </w:tc>
        <w:tc>
          <w:tcPr/>
          <w:p>
            <w:pPr>
              <w:pStyle w:val="Compact"/>
            </w:pPr>
            <w:r>
              <w:t xml:space="preserve">1.9</w:t>
            </w:r>
          </w:p>
        </w:tc>
        <w:tc>
          <w:tcPr/>
          <w:p>
            <w:pPr>
              <w:pStyle w:val="Compact"/>
            </w:pPr>
            <w:r>
              <w:t xml:space="preserve">0.560</w:t>
            </w:r>
          </w:p>
        </w:tc>
        <w:tc>
          <w:tcPr/>
          <w:p>
            <w:pPr>
              <w:pStyle w:val="Compact"/>
            </w:pPr>
            <w:r>
              <w:t xml:space="preserve">0.300</w:t>
            </w:r>
          </w:p>
        </w:tc>
        <w:tc>
          <w:tcPr/>
          <w:p>
            <w:pPr>
              <w:pStyle w:val="Compact"/>
            </w:pPr>
            <w:r>
              <w:t xml:space="preserve">0.260</w:t>
            </w:r>
          </w:p>
        </w:tc>
        <w:tc>
          <w:tcPr/>
          <w:p>
            <w:pPr>
              <w:pStyle w:val="Compact"/>
            </w:pPr>
            <w:r>
              <w:t xml:space="preserve">0.150</w:t>
            </w:r>
          </w:p>
        </w:tc>
        <w:tc>
          <w:tcPr/>
          <w:p>
            <w:pPr>
              <w:pStyle w:val="Compact"/>
            </w:pPr>
            <w:r>
              <w:t xml:space="preserve">0.560</w:t>
            </w:r>
          </w:p>
        </w:tc>
        <w:tc>
          <w:tcPr/>
          <w:p>
            <w:pPr>
              <w:pStyle w:val="Compact"/>
            </w:pPr>
            <w:r>
              <w:t xml:space="preserve">4.0</w:t>
            </w:r>
          </w:p>
        </w:tc>
        <w:tc>
          <w:tcPr/>
          <w:p>
            <w:pPr>
              <w:pStyle w:val="Compact"/>
            </w:pPr>
            <w:r>
              <w:t xml:space="preserve">28.0</w:t>
            </w:r>
          </w:p>
        </w:tc>
        <w:tc>
          <w:tcPr/>
          <w:p>
            <w:pPr>
              <w:pStyle w:val="Compact"/>
            </w:pPr>
            <w:r>
              <w:t xml:space="preserve">50</w:t>
            </w:r>
          </w:p>
        </w:tc>
        <w:tc>
          <w:tcPr/>
          <w:p>
            <w:pPr>
              <w:pStyle w:val="Compact"/>
            </w:pPr>
            <w:r>
              <w:t xml:space="preserve">50</w:t>
            </w:r>
          </w:p>
        </w:tc>
        <w:tc>
          <w:tcPr/>
          <w:p>
            <w:pPr>
              <w:pStyle w:val="Compact"/>
            </w:pPr>
            <w:r>
              <w:t xml:space="preserve">14</w:t>
            </w:r>
          </w:p>
        </w:tc>
        <w:tc>
          <w:tcPr/>
          <w:p>
            <w:pPr>
              <w:pStyle w:val="Compact"/>
            </w:pPr>
            <w:r>
              <w:t xml:space="preserve">13</w:t>
            </w:r>
          </w:p>
        </w:tc>
      </w:tr>
      <w:tr>
        <w:tc>
          <w:tcPr/>
          <w:p>
            <w:pPr>
              <w:pStyle w:val="Compact"/>
            </w:pPr>
            <w:r>
              <w:t xml:space="preserve">GEN</w:t>
            </w:r>
          </w:p>
        </w:tc>
        <w:tc>
          <w:tcPr/>
          <w:p>
            <w:pPr>
              <w:pStyle w:val="Compact"/>
            </w:pPr>
            <w:r>
              <w:t xml:space="preserve">9</w:t>
            </w:r>
          </w:p>
        </w:tc>
        <w:tc>
          <w:tcPr/>
          <w:p>
            <w:pPr>
              <w:pStyle w:val="Compact"/>
            </w:pPr>
            <w:r>
              <w:t xml:space="preserve">1.8</w:t>
            </w:r>
          </w:p>
        </w:tc>
        <w:tc>
          <w:tcPr/>
          <w:p>
            <w:pPr>
              <w:pStyle w:val="Compact"/>
            </w:pPr>
            <w:r>
              <w:t xml:space="preserve">0.550</w:t>
            </w:r>
          </w:p>
        </w:tc>
        <w:tc>
          <w:tcPr/>
          <w:p>
            <w:pPr>
              <w:pStyle w:val="Compact"/>
            </w:pPr>
            <w:r>
              <w:t xml:space="preserve">-0.210</w:t>
            </w:r>
          </w:p>
        </w:tc>
        <w:tc>
          <w:tcPr/>
          <w:p>
            <w:pPr>
              <w:pStyle w:val="Compact"/>
            </w:pPr>
            <w:r>
              <w:t xml:space="preserve">-0.097</w:t>
            </w:r>
          </w:p>
        </w:tc>
        <w:tc>
          <w:tcPr/>
          <w:p>
            <w:pPr>
              <w:pStyle w:val="Compact"/>
            </w:pPr>
            <w:r>
              <w:t xml:space="preserve">-0.240</w:t>
            </w:r>
          </w:p>
        </w:tc>
        <w:tc>
          <w:tcPr/>
          <w:p>
            <w:pPr>
              <w:pStyle w:val="Compact"/>
            </w:pPr>
            <w:r>
              <w:t xml:space="preserve">0.550</w:t>
            </w:r>
          </w:p>
        </w:tc>
        <w:tc>
          <w:tcPr/>
          <w:p>
            <w:pPr>
              <w:pStyle w:val="Compact"/>
            </w:pPr>
            <w:r>
              <w:t xml:space="preserve">0.0</w:t>
            </w:r>
          </w:p>
        </w:tc>
        <w:tc>
          <w:tcPr/>
          <w:p>
            <w:pPr>
              <w:pStyle w:val="Compact"/>
            </w:pPr>
            <w:r>
              <w:t xml:space="preserve">29.0</w:t>
            </w:r>
          </w:p>
        </w:tc>
        <w:tc>
          <w:tcPr/>
          <w:p>
            <w:pPr>
              <w:pStyle w:val="Compact"/>
            </w:pPr>
            <w:r>
              <w:t xml:space="preserve">50</w:t>
            </w:r>
          </w:p>
        </w:tc>
        <w:tc>
          <w:tcPr/>
          <w:p>
            <w:pPr>
              <w:pStyle w:val="Compact"/>
            </w:pPr>
            <w:r>
              <w:t xml:space="preserve">50</w:t>
            </w:r>
          </w:p>
        </w:tc>
        <w:tc>
          <w:tcPr/>
          <w:p>
            <w:pPr>
              <w:pStyle w:val="Compact"/>
            </w:pPr>
            <w:r>
              <w:t xml:space="preserve">15</w:t>
            </w:r>
          </w:p>
        </w:tc>
        <w:tc>
          <w:tcPr/>
          <w:p>
            <w:pPr>
              <w:pStyle w:val="Compact"/>
            </w:pPr>
            <w:r>
              <w:t xml:space="preserve">12</w:t>
            </w:r>
          </w:p>
        </w:tc>
      </w:tr>
      <w:tr>
        <w:tc>
          <w:tcPr/>
          <w:p>
            <w:pPr>
              <w:pStyle w:val="Compact"/>
            </w:pPr>
            <w:r>
              <w:t xml:space="preserve">ENV</w:t>
            </w:r>
          </w:p>
        </w:tc>
        <w:tc>
          <w:tcPr/>
          <w:p>
            <w:pPr>
              <w:pStyle w:val="Compact"/>
            </w:pPr>
            <w:r>
              <w:t xml:space="preserve">Gross</w:t>
            </w:r>
          </w:p>
        </w:tc>
        <w:tc>
          <w:tcPr/>
          <w:p>
            <w:pPr>
              <w:pStyle w:val="Compact"/>
            </w:pPr>
            <w:r>
              <w:t xml:space="preserve">2.7</w:t>
            </w:r>
          </w:p>
        </w:tc>
        <w:tc>
          <w:tcPr/>
          <w:p>
            <w:pPr>
              <w:pStyle w:val="Compact"/>
            </w:pPr>
            <w:r>
              <w:t xml:space="preserve">-0.600</w:t>
            </w:r>
          </w:p>
        </w:tc>
        <w:tc>
          <w:tcPr/>
          <w:p>
            <w:pPr>
              <w:pStyle w:val="Compact"/>
            </w:pPr>
            <w:r>
              <w:t xml:space="preserve">-0.110</w:t>
            </w:r>
          </w:p>
        </w:tc>
        <w:tc>
          <w:tcPr/>
          <w:p>
            <w:pPr>
              <w:pStyle w:val="Compact"/>
            </w:pPr>
            <w:r>
              <w:t xml:space="preserve">-0.600</w:t>
            </w:r>
          </w:p>
        </w:tc>
        <w:tc>
          <w:tcPr/>
          <w:p>
            <w:pPr>
              <w:pStyle w:val="Compact"/>
            </w:pPr>
            <w:r>
              <w:t xml:space="preserve">0.120</w:t>
            </w:r>
          </w:p>
        </w:tc>
        <w:tc>
          <w:tcPr/>
          <w:p>
            <w:pPr>
              <w:pStyle w:val="Compact"/>
            </w:pPr>
            <w:r>
              <w:t xml:space="preserve">0.600</w:t>
            </w:r>
          </w:p>
        </w:tc>
        <w:tc>
          <w:tcPr/>
          <w:p>
            <w:pPr>
              <w:pStyle w:val="Compact"/>
            </w:pPr>
            <w:r>
              <w:t xml:space="preserve">43.0</w:t>
            </w:r>
          </w:p>
        </w:tc>
        <w:tc>
          <w:tcPr/>
          <w:p>
            <w:pPr>
              <w:pStyle w:val="Compact"/>
            </w:pPr>
            <w:r>
              <w:t xml:space="preserve">41.0</w:t>
            </w:r>
          </w:p>
        </w:tc>
        <w:tc>
          <w:tcPr/>
          <w:p>
            <w:pPr>
              <w:pStyle w:val="Compact"/>
            </w:pPr>
            <w:r>
              <w:t xml:space="preserve">50</w:t>
            </w:r>
          </w:p>
        </w:tc>
        <w:tc>
          <w:tcPr/>
          <w:p>
            <w:pPr>
              <w:pStyle w:val="Compact"/>
            </w:pPr>
            <w:r>
              <w:t xml:space="preserve">50</w:t>
            </w:r>
          </w:p>
        </w:tc>
        <w:tc>
          <w:tcPr/>
          <w:p>
            <w:pPr>
              <w:pStyle w:val="Compact"/>
            </w:pPr>
            <w:r>
              <w:t xml:space="preserve">3</w:t>
            </w:r>
          </w:p>
        </w:tc>
        <w:tc>
          <w:tcPr/>
          <w:p>
            <w:pPr>
              <w:pStyle w:val="Compact"/>
            </w:pPr>
            <w:r>
              <w:t xml:space="preserve">3</w:t>
            </w:r>
          </w:p>
        </w:tc>
      </w:tr>
      <w:tr>
        <w:tc>
          <w:tcPr/>
          <w:p>
            <w:pPr>
              <w:pStyle w:val="Compact"/>
            </w:pPr>
            <w:r>
              <w:t xml:space="preserve">ENV</w:t>
            </w:r>
          </w:p>
        </w:tc>
        <w:tc>
          <w:tcPr/>
          <w:p>
            <w:pPr>
              <w:pStyle w:val="Compact"/>
            </w:pPr>
            <w:r>
              <w:t xml:space="preserve">Novi</w:t>
            </w:r>
          </w:p>
        </w:tc>
        <w:tc>
          <w:tcPr/>
          <w:p>
            <w:pPr>
              <w:pStyle w:val="Compact"/>
            </w:pPr>
            <w:r>
              <w:t xml:space="preserve">2.5</w:t>
            </w:r>
          </w:p>
        </w:tc>
        <w:tc>
          <w:tcPr/>
          <w:p>
            <w:pPr>
              <w:pStyle w:val="Compact"/>
            </w:pPr>
            <w:r>
              <w:t xml:space="preserve">-0.740</w:t>
            </w:r>
          </w:p>
        </w:tc>
        <w:tc>
          <w:tcPr/>
          <w:p>
            <w:pPr>
              <w:pStyle w:val="Compact"/>
            </w:pPr>
            <w:r>
              <w:t xml:space="preserve">-0.370</w:t>
            </w:r>
          </w:p>
        </w:tc>
        <w:tc>
          <w:tcPr/>
          <w:p>
            <w:pPr>
              <w:pStyle w:val="Compact"/>
            </w:pPr>
            <w:r>
              <w:t xml:space="preserve">0.500</w:t>
            </w:r>
          </w:p>
        </w:tc>
        <w:tc>
          <w:tcPr/>
          <w:p>
            <w:pPr>
              <w:pStyle w:val="Compact"/>
            </w:pPr>
            <w:r>
              <w:t xml:space="preserve">0.058</w:t>
            </w:r>
          </w:p>
        </w:tc>
        <w:tc>
          <w:tcPr/>
          <w:p>
            <w:pPr>
              <w:pStyle w:val="Compact"/>
            </w:pPr>
            <w:r>
              <w:t xml:space="preserve">0.740</w:t>
            </w:r>
          </w:p>
        </w:tc>
        <w:tc>
          <w:tcPr/>
          <w:p>
            <w:pPr>
              <w:pStyle w:val="Compact"/>
            </w:pPr>
            <w:r>
              <w:t xml:space="preserve">33.0</w:t>
            </w:r>
          </w:p>
        </w:tc>
        <w:tc>
          <w:tcPr/>
          <w:p>
            <w:pPr>
              <w:pStyle w:val="Compact"/>
            </w:pPr>
            <w:r>
              <w:t xml:space="preserve">26.0</w:t>
            </w:r>
          </w:p>
        </w:tc>
        <w:tc>
          <w:tcPr/>
          <w:p>
            <w:pPr>
              <w:pStyle w:val="Compact"/>
            </w:pPr>
            <w:r>
              <w:t xml:space="preserve">50</w:t>
            </w:r>
          </w:p>
        </w:tc>
        <w:tc>
          <w:tcPr/>
          <w:p>
            <w:pPr>
              <w:pStyle w:val="Compact"/>
            </w:pPr>
            <w:r>
              <w:t xml:space="preserve">50</w:t>
            </w:r>
          </w:p>
        </w:tc>
        <w:tc>
          <w:tcPr/>
          <w:p>
            <w:pPr>
              <w:pStyle w:val="Compact"/>
            </w:pPr>
            <w:r>
              <w:t xml:space="preserve">4</w:t>
            </w:r>
          </w:p>
        </w:tc>
        <w:tc>
          <w:tcPr/>
          <w:p>
            <w:pPr>
              <w:pStyle w:val="Compact"/>
            </w:pPr>
            <w:r>
              <w:t xml:space="preserve">4</w:t>
            </w:r>
          </w:p>
        </w:tc>
      </w:tr>
      <w:tr>
        <w:tc>
          <w:tcPr/>
          <w:p>
            <w:pPr>
              <w:pStyle w:val="Compact"/>
            </w:pPr>
            <w:r>
              <w:t xml:space="preserve">ENV</w:t>
            </w:r>
          </w:p>
        </w:tc>
        <w:tc>
          <w:tcPr/>
          <w:p>
            <w:pPr>
              <w:pStyle w:val="Compact"/>
            </w:pPr>
            <w:r>
              <w:t xml:space="preserve">Re</w:t>
            </w:r>
          </w:p>
        </w:tc>
        <w:tc>
          <w:tcPr/>
          <w:p>
            <w:pPr>
              <w:pStyle w:val="Compact"/>
            </w:pPr>
            <w:r>
              <w:t xml:space="preserve">3.9</w:t>
            </w:r>
          </w:p>
        </w:tc>
        <w:tc>
          <w:tcPr/>
          <w:p>
            <w:pPr>
              <w:pStyle w:val="Compact"/>
            </w:pPr>
            <w:r>
              <w:t xml:space="preserve">-0.058</w:t>
            </w:r>
          </w:p>
        </w:tc>
        <w:tc>
          <w:tcPr/>
          <w:p>
            <w:pPr>
              <w:pStyle w:val="Compact"/>
            </w:pPr>
            <w:r>
              <w:t xml:space="preserve">0.910</w:t>
            </w:r>
          </w:p>
        </w:tc>
        <w:tc>
          <w:tcPr/>
          <w:p>
            <w:pPr>
              <w:pStyle w:val="Compact"/>
            </w:pPr>
            <w:r>
              <w:t xml:space="preserve">0.120</w:t>
            </w:r>
          </w:p>
        </w:tc>
        <w:tc>
          <w:tcPr/>
          <w:p>
            <w:pPr>
              <w:pStyle w:val="Compact"/>
            </w:pPr>
            <w:r>
              <w:t xml:space="preserve">-0.015</w:t>
            </w:r>
          </w:p>
        </w:tc>
        <w:tc>
          <w:tcPr/>
          <w:p>
            <w:pPr>
              <w:pStyle w:val="Compact"/>
            </w:pPr>
            <w:r>
              <w:t xml:space="preserve">0.058</w:t>
            </w:r>
          </w:p>
        </w:tc>
        <w:tc>
          <w:tcPr/>
          <w:p>
            <w:pPr>
              <w:pStyle w:val="Compact"/>
            </w:pPr>
            <w:r>
              <w:t xml:space="preserve">88.0</w:t>
            </w:r>
          </w:p>
        </w:tc>
        <w:tc>
          <w:tcPr/>
          <w:p>
            <w:pPr>
              <w:pStyle w:val="Compact"/>
            </w:pPr>
            <w:r>
              <w:t xml:space="preserve">100.0</w:t>
            </w:r>
          </w:p>
        </w:tc>
        <w:tc>
          <w:tcPr/>
          <w:p>
            <w:pPr>
              <w:pStyle w:val="Compact"/>
            </w:pPr>
            <w:r>
              <w:t xml:space="preserve">50</w:t>
            </w:r>
          </w:p>
        </w:tc>
        <w:tc>
          <w:tcPr/>
          <w:p>
            <w:pPr>
              <w:pStyle w:val="Compact"/>
            </w:pPr>
            <w:r>
              <w:t xml:space="preserve">50</w:t>
            </w:r>
          </w:p>
        </w:tc>
        <w:tc>
          <w:tcPr/>
          <w:p>
            <w:pPr>
              <w:pStyle w:val="Compact"/>
            </w:pPr>
            <w:r>
              <w:t xml:space="preserve">2</w:t>
            </w:r>
          </w:p>
        </w:tc>
        <w:tc>
          <w:tcPr/>
          <w:p>
            <w:pPr>
              <w:pStyle w:val="Compact"/>
            </w:pPr>
            <w:r>
              <w:t xml:space="preserve">1</w:t>
            </w:r>
          </w:p>
        </w:tc>
      </w:tr>
      <w:tr>
        <w:tc>
          <w:tcPr/>
          <w:p>
            <w:pPr>
              <w:pStyle w:val="Compact"/>
            </w:pPr>
            <w:r>
              <w:t xml:space="preserve">ENV</w:t>
            </w:r>
          </w:p>
        </w:tc>
        <w:tc>
          <w:tcPr/>
          <w:p>
            <w:pPr>
              <w:pStyle w:val="Compact"/>
            </w:pPr>
            <w:r>
              <w:t xml:space="preserve">Seegr</w:t>
            </w:r>
          </w:p>
        </w:tc>
        <w:tc>
          <w:tcPr/>
          <w:p>
            <w:pPr>
              <w:pStyle w:val="Compact"/>
            </w:pPr>
            <w:r>
              <w:t xml:space="preserve">4.2</w:t>
            </w:r>
          </w:p>
        </w:tc>
        <w:tc>
          <w:tcPr/>
          <w:p>
            <w:pPr>
              <w:pStyle w:val="Compact"/>
            </w:pPr>
            <w:r>
              <w:t xml:space="preserve">0.420</w:t>
            </w:r>
          </w:p>
        </w:tc>
        <w:tc>
          <w:tcPr/>
          <w:p>
            <w:pPr>
              <w:pStyle w:val="Compact"/>
            </w:pPr>
            <w:r>
              <w:t xml:space="preserve">-0.230</w:t>
            </w:r>
          </w:p>
        </w:tc>
        <w:tc>
          <w:tcPr/>
          <w:p>
            <w:pPr>
              <w:pStyle w:val="Compact"/>
            </w:pPr>
            <w:r>
              <w:t xml:space="preserve">-0.065</w:t>
            </w:r>
          </w:p>
        </w:tc>
        <w:tc>
          <w:tcPr/>
          <w:p>
            <w:pPr>
              <w:pStyle w:val="Compact"/>
            </w:pPr>
            <w:r>
              <w:t xml:space="preserve">-0.490</w:t>
            </w:r>
          </w:p>
        </w:tc>
        <w:tc>
          <w:tcPr/>
          <w:p>
            <w:pPr>
              <w:pStyle w:val="Compact"/>
            </w:pPr>
            <w:r>
              <w:t xml:space="preserve">0.420</w:t>
            </w:r>
          </w:p>
        </w:tc>
        <w:tc>
          <w:tcPr/>
          <w:p>
            <w:pPr>
              <w:pStyle w:val="Compact"/>
            </w:pPr>
            <w:r>
              <w:t xml:space="preserve">100.0</w:t>
            </w:r>
          </w:p>
        </w:tc>
        <w:tc>
          <w:tcPr/>
          <w:p>
            <w:pPr>
              <w:pStyle w:val="Compact"/>
            </w:pPr>
            <w:r>
              <w:t xml:space="preserve">61.0</w:t>
            </w:r>
          </w:p>
        </w:tc>
        <w:tc>
          <w:tcPr/>
          <w:p>
            <w:pPr>
              <w:pStyle w:val="Compact"/>
            </w:pPr>
            <w:r>
              <w:t xml:space="preserve">50</w:t>
            </w:r>
          </w:p>
        </w:tc>
        <w:tc>
          <w:tcPr/>
          <w:p>
            <w:pPr>
              <w:pStyle w:val="Compact"/>
            </w:pPr>
            <w:r>
              <w:t xml:space="preserve">50</w:t>
            </w:r>
          </w:p>
        </w:tc>
        <w:tc>
          <w:tcPr/>
          <w:p>
            <w:pPr>
              <w:pStyle w:val="Compact"/>
            </w:pPr>
            <w:r>
              <w:t xml:space="preserve">1</w:t>
            </w:r>
          </w:p>
        </w:tc>
        <w:tc>
          <w:tcPr/>
          <w:p>
            <w:pPr>
              <w:pStyle w:val="Compact"/>
            </w:pPr>
            <w:r>
              <w:t xml:space="preserve">2</w:t>
            </w:r>
          </w:p>
        </w:tc>
      </w:tr>
      <w:tr>
        <w:tc>
          <w:tcPr/>
          <w:p>
            <w:pPr>
              <w:pStyle w:val="Compact"/>
            </w:pPr>
            <w:r>
              <w:t xml:space="preserve">ENV</w:t>
            </w:r>
          </w:p>
        </w:tc>
        <w:tc>
          <w:tcPr/>
          <w:p>
            <w:pPr>
              <w:pStyle w:val="Compact"/>
            </w:pPr>
            <w:r>
              <w:t xml:space="preserve">Vilbel</w:t>
            </w:r>
          </w:p>
        </w:tc>
        <w:tc>
          <w:tcPr/>
          <w:p>
            <w:pPr>
              <w:pStyle w:val="Compact"/>
            </w:pPr>
            <w:r>
              <w:t xml:space="preserve">1.7</w:t>
            </w:r>
          </w:p>
        </w:tc>
        <w:tc>
          <w:tcPr/>
          <w:p>
            <w:pPr>
              <w:pStyle w:val="Compact"/>
            </w:pPr>
            <w:r>
              <w:t xml:space="preserve">0.980</w:t>
            </w:r>
          </w:p>
        </w:tc>
        <w:tc>
          <w:tcPr/>
          <w:p>
            <w:pPr>
              <w:pStyle w:val="Compact"/>
            </w:pPr>
            <w:r>
              <w:t xml:space="preserve">-0.200</w:t>
            </w:r>
          </w:p>
        </w:tc>
        <w:tc>
          <w:tcPr/>
          <w:p>
            <w:pPr>
              <w:pStyle w:val="Compact"/>
            </w:pPr>
            <w:r>
              <w:t xml:space="preserve">0.045</w:t>
            </w:r>
          </w:p>
        </w:tc>
        <w:tc>
          <w:tcPr/>
          <w:p>
            <w:pPr>
              <w:pStyle w:val="Compact"/>
            </w:pPr>
            <w:r>
              <w:t xml:space="preserve">0.320</w:t>
            </w:r>
          </w:p>
        </w:tc>
        <w:tc>
          <w:tcPr/>
          <w:p>
            <w:pPr>
              <w:pStyle w:val="Compact"/>
            </w:pPr>
            <w:r>
              <w:t xml:space="preserve">0.980</w:t>
            </w:r>
          </w:p>
        </w:tc>
        <w:tc>
          <w:tcPr/>
          <w:p>
            <w:pPr>
              <w:pStyle w:val="Compact"/>
            </w:pPr>
            <w:r>
              <w:t xml:space="preserve">0.0</w:t>
            </w:r>
          </w:p>
        </w:tc>
        <w:tc>
          <w:tcPr/>
          <w:p>
            <w:pPr>
              <w:pStyle w:val="Compact"/>
            </w:pPr>
            <w:r>
              <w:t xml:space="preserve">0.0</w:t>
            </w:r>
          </w:p>
        </w:tc>
        <w:tc>
          <w:tcPr/>
          <w:p>
            <w:pPr>
              <w:pStyle w:val="Compact"/>
            </w:pPr>
            <w:r>
              <w:t xml:space="preserve">50</w:t>
            </w:r>
          </w:p>
        </w:tc>
        <w:tc>
          <w:tcPr/>
          <w:p>
            <w:pPr>
              <w:pStyle w:val="Compact"/>
            </w:pPr>
            <w:r>
              <w:t xml:space="preserve">50</w:t>
            </w:r>
          </w:p>
        </w:tc>
        <w:tc>
          <w:tcPr/>
          <w:p>
            <w:pPr>
              <w:pStyle w:val="Compact"/>
            </w:pPr>
            <w:r>
              <w:t xml:space="preserve">5</w:t>
            </w:r>
          </w:p>
        </w:tc>
        <w:tc>
          <w:tcPr/>
          <w:p>
            <w:pPr>
              <w:pStyle w:val="Compact"/>
            </w:pPr>
            <w:r>
              <w:t xml:space="preserve">5</w:t>
            </w:r>
          </w:p>
        </w:tc>
      </w:tr>
    </w:tbl>
    <w:p>
      <w:pPr>
        <w:pStyle w:val="BodyText"/>
      </w:pPr>
      <w:r>
        <w:t xml:space="preserve">Appendix A: Hypothesis analysis.</w:t>
      </w:r>
    </w:p>
    <w:bookmarkEnd w:id="66"/>
    <w:bookmarkStart w:id="151" w:name="references"/>
    <w:p>
      <w:pPr>
        <w:pStyle w:val="Heading1"/>
      </w:pPr>
      <w:r>
        <w:t xml:space="preserve">References</w:t>
      </w:r>
    </w:p>
    <w:bookmarkStart w:id="150" w:name="refs"/>
    <w:bookmarkStart w:id="67" w:name="ref-arbizu2020"/>
    <w:p>
      <w:pPr>
        <w:pStyle w:val="Bibliography"/>
      </w:pPr>
      <w:r>
        <w:t xml:space="preserve">Arbizu, M.P., 2020.</w:t>
      </w:r>
      <w:r>
        <w:t xml:space="preserve"> </w:t>
      </w:r>
      <w:r>
        <w:t xml:space="preserve">pairwiseAdonis</w:t>
      </w:r>
      <w:r>
        <w:t xml:space="preserve">:</w:t>
      </w:r>
      <w:r>
        <w:t xml:space="preserve"> </w:t>
      </w:r>
      <w:r>
        <w:t xml:space="preserve">Pairwise</w:t>
      </w:r>
      <w:r>
        <w:t xml:space="preserve"> </w:t>
      </w:r>
      <w:r>
        <w:t xml:space="preserve">multilevel comparison using adonis.</w:t>
      </w:r>
      <w:r>
        <w:t xml:space="preserve"> </w:t>
      </w:r>
      <w:r>
        <w:t xml:space="preserve">R</w:t>
      </w:r>
      <w:r>
        <w:t xml:space="preserve"> </w:t>
      </w:r>
      <w:r>
        <w:t xml:space="preserve">package version 0.4.</w:t>
      </w:r>
    </w:p>
    <w:bookmarkEnd w:id="67"/>
    <w:bookmarkStart w:id="69" w:name="ref-bates2015"/>
    <w:p>
      <w:pPr>
        <w:pStyle w:val="Bibliography"/>
      </w:pPr>
      <w:r>
        <w:t xml:space="preserve">Bates, D., Mächler, M., Bolker, B., Walker, S., 2015. Fitting</w:t>
      </w:r>
      <w:r>
        <w:t xml:space="preserve"> </w:t>
      </w:r>
      <w:r>
        <w:t xml:space="preserve">Linear Mixed-Effects Models Using</w:t>
      </w:r>
      <w:r>
        <w:t xml:space="preserve"> </w:t>
      </w:r>
      <w:r>
        <w:rPr>
          <w:b/>
          <w:bCs/>
        </w:rPr>
        <w:t xml:space="preserve">Lme4</w:t>
      </w:r>
      <w:r>
        <w:t xml:space="preserve">. Journal of Statistical Software 67.</w:t>
      </w:r>
      <w:r>
        <w:t xml:space="preserve"> </w:t>
      </w:r>
      <w:hyperlink r:id="rId68">
        <w:r>
          <w:rPr>
            <w:rStyle w:val="Hyperlink"/>
          </w:rPr>
          <w:t xml:space="preserve">https://doi.org/10.18637/jss.v067.i01</w:t>
        </w:r>
      </w:hyperlink>
    </w:p>
    <w:bookmarkEnd w:id="69"/>
    <w:bookmarkStart w:id="71" w:name="ref-baxevanos2020"/>
    <w:p>
      <w:pPr>
        <w:pStyle w:val="Bibliography"/>
      </w:pPr>
      <w:r>
        <w:t xml:space="preserve">Baxevanos, D., Tsialtas, I.T., Voulgari, O., Pankou, C.I., Vlachostergios, D., Lithourgidis, A.S., 2020. Oat genotypic requirement for intercropping with vetch under</w:t>
      </w:r>
      <w:r>
        <w:t xml:space="preserve"> </w:t>
      </w:r>
      <w:r>
        <w:t xml:space="preserve">Mediterranean</w:t>
      </w:r>
      <w:r>
        <w:t xml:space="preserve"> </w:t>
      </w:r>
      <w:r>
        <w:t xml:space="preserve">conditions. The Journal of Agricultural Science 158, 695–706.</w:t>
      </w:r>
      <w:r>
        <w:t xml:space="preserve"> </w:t>
      </w:r>
      <w:hyperlink r:id="rId70">
        <w:r>
          <w:rPr>
            <w:rStyle w:val="Hyperlink"/>
          </w:rPr>
          <w:t xml:space="preserve">https://doi.org/10.1017/S0021859621000071</w:t>
        </w:r>
      </w:hyperlink>
    </w:p>
    <w:bookmarkEnd w:id="71"/>
    <w:bookmarkStart w:id="73" w:name="ref-bedoussac2015"/>
    <w:p>
      <w:pPr>
        <w:pStyle w:val="Bibliography"/>
      </w:pPr>
      <w:r>
        <w:t xml:space="preserve">Bedoussac, L., Journet, E.-P., Hauggaard-Nielsen, H., Naudin, C., Corre-Hellou, G., Jensen, E.S., Prieur, L., Justes, E., 2015. Ecological principles underlying the increase of productivity achieved by cereal-grain legume intercrops in organic farming.</w:t>
      </w:r>
      <w:r>
        <w:t xml:space="preserve"> </w:t>
      </w:r>
      <w:r>
        <w:t xml:space="preserve">A</w:t>
      </w:r>
      <w:r>
        <w:t xml:space="preserve"> </w:t>
      </w:r>
      <w:r>
        <w:t xml:space="preserve">review. Agronomy for Sustainable Development 35, 911–935.</w:t>
      </w:r>
      <w:r>
        <w:t xml:space="preserve"> </w:t>
      </w:r>
      <w:hyperlink r:id="rId72">
        <w:r>
          <w:rPr>
            <w:rStyle w:val="Hyperlink"/>
          </w:rPr>
          <w:t xml:space="preserve">https://doi.org/10.1007/s13593-014-0277-7</w:t>
        </w:r>
      </w:hyperlink>
    </w:p>
    <w:bookmarkEnd w:id="73"/>
    <w:bookmarkStart w:id="74" w:name="ref-bohm"/>
    <w:p>
      <w:pPr>
        <w:pStyle w:val="Bibliography"/>
      </w:pPr>
      <w:r>
        <w:t xml:space="preserve">Böhm, H., Bramm, A., Aulrich, K., Rühl, G., 2008. Effect of different sowing densities in mixed cultivation of blue lupin (</w:t>
      </w:r>
      <w:r>
        <w:rPr>
          <w:i/>
          <w:iCs/>
        </w:rPr>
        <w:t xml:space="preserve">Lupinus</w:t>
      </w:r>
      <w:r>
        <w:t xml:space="preserve"> </w:t>
      </w:r>
      <w:r>
        <w:rPr>
          <w:i/>
          <w:iCs/>
        </w:rPr>
        <w:t xml:space="preserve">Angustifolius</w:t>
      </w:r>
      <w:r>
        <w:t xml:space="preserve">) with spring crops on yield and quality, in: Lupins for</w:t>
      </w:r>
      <w:r>
        <w:t xml:space="preserve"> </w:t>
      </w:r>
      <w:r>
        <w:t xml:space="preserve">Health</w:t>
      </w:r>
      <w:r>
        <w:t xml:space="preserve"> </w:t>
      </w:r>
      <w:r>
        <w:t xml:space="preserve">and</w:t>
      </w:r>
      <w:r>
        <w:t xml:space="preserve"> </w:t>
      </w:r>
      <w:r>
        <w:t xml:space="preserve">Wealth-Proceedings</w:t>
      </w:r>
      <w:r>
        <w:t xml:space="preserve"> </w:t>
      </w:r>
      <w:r>
        <w:t xml:space="preserve">of the 12th</w:t>
      </w:r>
      <w:r>
        <w:t xml:space="preserve"> </w:t>
      </w:r>
      <w:r>
        <w:t xml:space="preserve">International Lupin Conference</w:t>
      </w:r>
      <w:r>
        <w:t xml:space="preserve">. International Lupin Association, Fremantle, Western Australia.</w:t>
      </w:r>
    </w:p>
    <w:bookmarkEnd w:id="74"/>
    <w:bookmarkStart w:id="76" w:name="ref-brooker2024"/>
    <w:p>
      <w:pPr>
        <w:pStyle w:val="Bibliography"/>
      </w:pPr>
      <w:r>
        <w:t xml:space="preserve">Brooker, R.W., Pakeman, R.J., Adam, E., Banfield-Zanin, J.A., Bertelsen, I., Bickler, C., Fog-Petersen, J., George, D., Newton, A.C., Rubiales, D., Tavoletti, S., Villegas-Fernández, Á.M., Karley, A.J., 2024. Positive effects of intercrop yields in farms from across</w:t>
      </w:r>
      <w:r>
        <w:t xml:space="preserve"> </w:t>
      </w:r>
      <w:r>
        <w:t xml:space="preserve">Europe</w:t>
      </w:r>
      <w:r>
        <w:t xml:space="preserve"> </w:t>
      </w:r>
      <w:r>
        <w:t xml:space="preserve">depend on rainfall, crop composition, and management. Agronomy for Sustainable Development 44, 35.</w:t>
      </w:r>
      <w:r>
        <w:t xml:space="preserve"> </w:t>
      </w:r>
      <w:hyperlink r:id="rId75">
        <w:r>
          <w:rPr>
            <w:rStyle w:val="Hyperlink"/>
          </w:rPr>
          <w:t xml:space="preserve">https://doi.org/10.1007/s13593-024-00968-2</w:t>
        </w:r>
      </w:hyperlink>
    </w:p>
    <w:bookmarkEnd w:id="76"/>
    <w:bookmarkStart w:id="77" w:name="ref-zotero-521"/>
    <w:p>
      <w:pPr>
        <w:pStyle w:val="Bibliography"/>
      </w:pPr>
      <w:r>
        <w:t xml:space="preserve">Bundessortenamt, 2021. Descriptive</w:t>
      </w:r>
      <w:r>
        <w:t xml:space="preserve"> </w:t>
      </w:r>
      <w:r>
        <w:t xml:space="preserve">Variety List</w:t>
      </w:r>
      <w:r>
        <w:t xml:space="preserve"> </w:t>
      </w:r>
      <w:r>
        <w:t xml:space="preserve">(in</w:t>
      </w:r>
      <w:r>
        <w:t xml:space="preserve"> </w:t>
      </w:r>
      <w:r>
        <w:t xml:space="preserve">German</w:t>
      </w:r>
      <w:r>
        <w:t xml:space="preserve">). Bundessortenamt, Hannover.</w:t>
      </w:r>
    </w:p>
    <w:bookmarkEnd w:id="77"/>
    <w:bookmarkStart w:id="79" w:name="ref-danso1993"/>
    <w:p>
      <w:pPr>
        <w:pStyle w:val="Bibliography"/>
      </w:pPr>
      <w:r>
        <w:t xml:space="preserve">Danso, S.K.A., Pálmason, F., Hardarson, G., 1993. Is nitrogen transferred between field crops? Examining the question through a sweet-blue lupin (</w:t>
      </w:r>
      <w:r>
        <w:rPr>
          <w:i/>
          <w:iCs/>
        </w:rPr>
        <w:t xml:space="preserve">Lupinus</w:t>
      </w:r>
      <w:r>
        <w:t xml:space="preserve"> </w:t>
      </w:r>
      <w:r>
        <w:rPr>
          <w:i/>
          <w:iCs/>
        </w:rPr>
        <w:t xml:space="preserve">Angustifolius</w:t>
      </w:r>
      <w:r>
        <w:t xml:space="preserve"> </w:t>
      </w:r>
      <w:r>
        <w:t xml:space="preserve">L</w:t>
      </w:r>
      <w:r>
        <w:t xml:space="preserve">.)-oats (</w:t>
      </w:r>
      <w:r>
        <w:rPr>
          <w:i/>
          <w:iCs/>
        </w:rPr>
        <w:t xml:space="preserve">Avena</w:t>
      </w:r>
      <w:r>
        <w:t xml:space="preserve"> </w:t>
      </w:r>
      <w:r>
        <w:rPr>
          <w:i/>
          <w:iCs/>
        </w:rPr>
        <w:t xml:space="preserve">Sativa</w:t>
      </w:r>
      <w:r>
        <w:t xml:space="preserve">) intercrop. Soil Biology and Biochemistry 25, 1135–1137.</w:t>
      </w:r>
      <w:r>
        <w:t xml:space="preserve"> </w:t>
      </w:r>
      <w:hyperlink r:id="rId78">
        <w:r>
          <w:rPr>
            <w:rStyle w:val="Hyperlink"/>
          </w:rPr>
          <w:t xml:space="preserve">https://doi.org/10.1016/0038-0717(93)90163-6</w:t>
        </w:r>
      </w:hyperlink>
    </w:p>
    <w:bookmarkEnd w:id="79"/>
    <w:bookmarkStart w:id="81" w:name="ref-demie2022"/>
    <w:p>
      <w:pPr>
        <w:pStyle w:val="Bibliography"/>
      </w:pPr>
      <w:r>
        <w:t xml:space="preserve">Demie, D.T., Döring, T.F., Finckh, M.R., Van Der Werf, W., Enjalbert, J., Seidel, S.J., 2022. Mixture</w:t>
      </w:r>
      <w:r>
        <w:t xml:space="preserve"> </w:t>
      </w:r>
      <w:r>
        <w:t xml:space="preserve"> </w:t>
      </w:r>
      <w:r>
        <w:t xml:space="preserve">Genotype Effects</w:t>
      </w:r>
      <w:r>
        <w:t xml:space="preserve"> </w:t>
      </w:r>
      <w:r>
        <w:t xml:space="preserve">in</w:t>
      </w:r>
      <w:r>
        <w:t xml:space="preserve"> </w:t>
      </w:r>
      <w:r>
        <w:t xml:space="preserve">Cereal</w:t>
      </w:r>
      <w:r>
        <w:t xml:space="preserve">/</w:t>
      </w:r>
      <w:r>
        <w:t xml:space="preserve">Legume Intercropping</w:t>
      </w:r>
      <w:r>
        <w:t xml:space="preserve">. Frontiers in Plant Science 13, 846720.</w:t>
      </w:r>
      <w:r>
        <w:t xml:space="preserve"> </w:t>
      </w:r>
      <w:hyperlink r:id="rId80">
        <w:r>
          <w:rPr>
            <w:rStyle w:val="Hyperlink"/>
          </w:rPr>
          <w:t xml:space="preserve">https://doi.org/10.3389/fpls.2022.846720</w:t>
        </w:r>
      </w:hyperlink>
    </w:p>
    <w:bookmarkEnd w:id="81"/>
    <w:bookmarkStart w:id="83" w:name="ref-eberhart1966"/>
    <w:p>
      <w:pPr>
        <w:pStyle w:val="Bibliography"/>
      </w:pPr>
      <w:r>
        <w:t xml:space="preserve">Eberhart, S.A., Russell, W.A., 1966. Stability</w:t>
      </w:r>
      <w:r>
        <w:t xml:space="preserve"> </w:t>
      </w:r>
      <w:r>
        <w:t xml:space="preserve">Parameters</w:t>
      </w:r>
      <w:r>
        <w:t xml:space="preserve"> </w:t>
      </w:r>
      <w:r>
        <w:t xml:space="preserve">for</w:t>
      </w:r>
      <w:r>
        <w:t xml:space="preserve"> </w:t>
      </w:r>
      <w:r>
        <w:t xml:space="preserve">Comparing Varieties</w:t>
      </w:r>
      <w:r>
        <w:rPr>
          <w:vertAlign w:val="superscript"/>
        </w:rPr>
        <w:t xml:space="preserve">1</w:t>
      </w:r>
      <w:r>
        <w:t xml:space="preserve">. Crop Science 6, 36–40.</w:t>
      </w:r>
      <w:r>
        <w:t xml:space="preserve"> </w:t>
      </w:r>
      <w:hyperlink r:id="rId82">
        <w:r>
          <w:rPr>
            <w:rStyle w:val="Hyperlink"/>
          </w:rPr>
          <w:t xml:space="preserve">https://doi.org/10.2135/cropsci1966.0011183X000600010011x</w:t>
        </w:r>
      </w:hyperlink>
    </w:p>
    <w:bookmarkEnd w:id="83"/>
    <w:bookmarkStart w:id="85" w:name="ref-engbersen2021"/>
    <w:p>
      <w:pPr>
        <w:pStyle w:val="Bibliography"/>
      </w:pPr>
      <w:r>
        <w:t xml:space="preserve">Engbersen, N., Brooker, R.W., Stefan, L., Studer, B., Schöb, C., 2021. Temporal</w:t>
      </w:r>
      <w:r>
        <w:t xml:space="preserve"> </w:t>
      </w:r>
      <w:r>
        <w:t xml:space="preserve">Differentiation</w:t>
      </w:r>
      <w:r>
        <w:t xml:space="preserve"> </w:t>
      </w:r>
      <w:r>
        <w:t xml:space="preserve">of</w:t>
      </w:r>
      <w:r>
        <w:t xml:space="preserve"> </w:t>
      </w:r>
      <w:r>
        <w:t xml:space="preserve">Resource Capture</w:t>
      </w:r>
      <w:r>
        <w:t xml:space="preserve"> </w:t>
      </w:r>
      <w:r>
        <w:t xml:space="preserve">and</w:t>
      </w:r>
      <w:r>
        <w:t xml:space="preserve"> </w:t>
      </w:r>
      <w:r>
        <w:t xml:space="preserve">Biomass Accumulation</w:t>
      </w:r>
      <w:r>
        <w:t xml:space="preserve"> </w:t>
      </w:r>
      <w:r>
        <w:t xml:space="preserve">as a</w:t>
      </w:r>
      <w:r>
        <w:t xml:space="preserve"> </w:t>
      </w:r>
      <w:r>
        <w:t xml:space="preserve">Driver</w:t>
      </w:r>
      <w:r>
        <w:t xml:space="preserve"> </w:t>
      </w:r>
      <w:r>
        <w:t xml:space="preserve">of</w:t>
      </w:r>
      <w:r>
        <w:t xml:space="preserve"> </w:t>
      </w:r>
      <w:r>
        <w:t xml:space="preserve">Yield Increase</w:t>
      </w:r>
      <w:r>
        <w:t xml:space="preserve"> </w:t>
      </w:r>
      <w:r>
        <w:t xml:space="preserve">in</w:t>
      </w:r>
      <w:r>
        <w:t xml:space="preserve"> </w:t>
      </w:r>
      <w:r>
        <w:t xml:space="preserve">Intercropping</w:t>
      </w:r>
      <w:r>
        <w:t xml:space="preserve">. Frontiers in Plant Science 12, 668803.</w:t>
      </w:r>
      <w:r>
        <w:t xml:space="preserve"> </w:t>
      </w:r>
      <w:hyperlink r:id="rId84">
        <w:r>
          <w:rPr>
            <w:rStyle w:val="Hyperlink"/>
          </w:rPr>
          <w:t xml:space="preserve">https://doi.org/10.3389/fpls.2021.668803</w:t>
        </w:r>
      </w:hyperlink>
    </w:p>
    <w:bookmarkEnd w:id="85"/>
    <w:bookmarkStart w:id="87" w:name="ref-finlay1963"/>
    <w:p>
      <w:pPr>
        <w:pStyle w:val="Bibliography"/>
      </w:pPr>
      <w:r>
        <w:t xml:space="preserve">Finlay, K., Wilkinson, G., 1963. The analysis of adaptation in a plant-breeding programme. Australian Journal of Agricultural Research 14, 742.</w:t>
      </w:r>
      <w:r>
        <w:t xml:space="preserve"> </w:t>
      </w:r>
      <w:hyperlink r:id="rId86">
        <w:r>
          <w:rPr>
            <w:rStyle w:val="Hyperlink"/>
          </w:rPr>
          <w:t xml:space="preserve">https://doi.org/10.1071/AR9630742</w:t>
        </w:r>
      </w:hyperlink>
    </w:p>
    <w:bookmarkEnd w:id="87"/>
    <w:bookmarkStart w:id="88" w:name="ref-zotero-535"/>
    <w:p>
      <w:pPr>
        <w:pStyle w:val="Bibliography"/>
      </w:pPr>
      <w:r>
        <w:t xml:space="preserve">Gauch, H.G., 1992. Statistical</w:t>
      </w:r>
      <w:r>
        <w:t xml:space="preserve"> </w:t>
      </w:r>
      <w:r>
        <w:t xml:space="preserve">Analysis</w:t>
      </w:r>
      <w:r>
        <w:t xml:space="preserve"> </w:t>
      </w:r>
      <w:r>
        <w:t xml:space="preserve">of</w:t>
      </w:r>
      <w:r>
        <w:t xml:space="preserve"> </w:t>
      </w:r>
      <w:r>
        <w:t xml:space="preserve">Regional Yield Trials</w:t>
      </w:r>
      <w:r>
        <w:t xml:space="preserve">:</w:t>
      </w:r>
      <w:r>
        <w:t xml:space="preserve"> </w:t>
      </w:r>
      <w:r>
        <w:t xml:space="preserve">AMMI Analysis</w:t>
      </w:r>
      <w:r>
        <w:t xml:space="preserve"> </w:t>
      </w:r>
      <w:r>
        <w:t xml:space="preserve">of</w:t>
      </w:r>
      <w:r>
        <w:t xml:space="preserve"> </w:t>
      </w:r>
      <w:r>
        <w:t xml:space="preserve">Factorial Designs</w:t>
      </w:r>
      <w:r>
        <w:t xml:space="preserve">. Elsevier.</w:t>
      </w:r>
    </w:p>
    <w:bookmarkEnd w:id="88"/>
    <w:bookmarkStart w:id="90" w:name="ref-hauggaard-nielsen2001a"/>
    <w:p>
      <w:pPr>
        <w:pStyle w:val="Bibliography"/>
      </w:pPr>
      <w:r>
        <w:t xml:space="preserve">Hauggaard-Nielsen, H., Ambus, P., Jensen, E.S., 2001. Interspecific competition,</w:t>
      </w:r>
      <w:r>
        <w:t xml:space="preserve"> </w:t>
      </w:r>
      <w:r>
        <w:t xml:space="preserve">N</w:t>
      </w:r>
      <w:r>
        <w:t xml:space="preserve"> </w:t>
      </w:r>
      <w:r>
        <w:t xml:space="preserve">use and interference with weeds in pea–barley intercropping. Field Crops Research 70, 101–109.</w:t>
      </w:r>
      <w:r>
        <w:t xml:space="preserve"> </w:t>
      </w:r>
      <w:hyperlink r:id="rId89">
        <w:r>
          <w:rPr>
            <w:rStyle w:val="Hyperlink"/>
          </w:rPr>
          <w:t xml:space="preserve">https://doi.org/10.1016/S0378-4290(01)00126-5</w:t>
        </w:r>
      </w:hyperlink>
    </w:p>
    <w:bookmarkEnd w:id="90"/>
    <w:bookmarkStart w:id="92" w:name="ref-hauggaard-nielsen2001"/>
    <w:p>
      <w:pPr>
        <w:pStyle w:val="Bibliography"/>
      </w:pPr>
      <w:r>
        <w:t xml:space="preserve">Hauggaard-Nielsen, H., Jensen, E.S., 2001. Evaluating pea and barley cultivars for complementarity in intercropping at different levels of soil</w:t>
      </w:r>
      <w:r>
        <w:t xml:space="preserve"> </w:t>
      </w:r>
      <w:r>
        <w:t xml:space="preserve">N</w:t>
      </w:r>
      <w:r>
        <w:t xml:space="preserve"> </w:t>
      </w:r>
      <w:r>
        <w:t xml:space="preserve">availability. Field Crops Research 72, 185–196.</w:t>
      </w:r>
      <w:r>
        <w:t xml:space="preserve"> </w:t>
      </w:r>
      <w:hyperlink r:id="rId91">
        <w:r>
          <w:rPr>
            <w:rStyle w:val="Hyperlink"/>
          </w:rPr>
          <w:t xml:space="preserve">https://doi.org/10.1016/S0378-4290(01)00176-9</w:t>
        </w:r>
      </w:hyperlink>
    </w:p>
    <w:bookmarkEnd w:id="92"/>
    <w:bookmarkStart w:id="94" w:name="ref-ismail2020"/>
    <w:p>
      <w:pPr>
        <w:pStyle w:val="Bibliography"/>
      </w:pPr>
      <w:r>
        <w:t xml:space="preserve">Ismail, B.P., Senaratne-Lenagala, L., Stube, A., Brackenridge, A., 2020. Protein demand: Review of plant and animal proteins used in alternative protein product development and production. Animal Frontiers 10, 53–63.</w:t>
      </w:r>
      <w:r>
        <w:t xml:space="preserve"> </w:t>
      </w:r>
      <w:hyperlink r:id="rId93">
        <w:r>
          <w:rPr>
            <w:rStyle w:val="Hyperlink"/>
          </w:rPr>
          <w:t xml:space="preserve">https://doi.org/10.1093/af/vfaa040</w:t>
        </w:r>
      </w:hyperlink>
    </w:p>
    <w:bookmarkEnd w:id="94"/>
    <w:bookmarkStart w:id="96" w:name="ref-jensen1996"/>
    <w:p>
      <w:pPr>
        <w:pStyle w:val="Bibliography"/>
      </w:pPr>
      <w:r>
        <w:t xml:space="preserve">Jensen, E.S., 1996. Grain yield, symbiotic</w:t>
      </w:r>
      <w:r>
        <w:t xml:space="preserve"> </w:t>
      </w:r>
      <w:r>
        <w:t xml:space="preserve">N2</w:t>
      </w:r>
      <w:r>
        <w:t xml:space="preserve"> </w:t>
      </w:r>
      <w:r>
        <w:t xml:space="preserve">fixation and interspecific competition for inorganic</w:t>
      </w:r>
      <w:r>
        <w:t xml:space="preserve"> </w:t>
      </w:r>
      <w:r>
        <w:t xml:space="preserve">N</w:t>
      </w:r>
      <w:r>
        <w:t xml:space="preserve"> </w:t>
      </w:r>
      <w:r>
        <w:t xml:space="preserve">in pea-barley intercrops. Plant and Soil 182, 25–38.</w:t>
      </w:r>
      <w:r>
        <w:t xml:space="preserve"> </w:t>
      </w:r>
      <w:hyperlink r:id="rId95">
        <w:r>
          <w:rPr>
            <w:rStyle w:val="Hyperlink"/>
          </w:rPr>
          <w:t xml:space="preserve">https://doi.org/10.1007/BF00010992</w:t>
        </w:r>
      </w:hyperlink>
    </w:p>
    <w:bookmarkEnd w:id="96"/>
    <w:bookmarkStart w:id="98" w:name="ref-kato-noguchi1994"/>
    <w:p>
      <w:pPr>
        <w:pStyle w:val="Bibliography"/>
      </w:pPr>
      <w:r>
        <w:t xml:space="preserve">Kato-Noguchi, H., Kosemura, S., Yamamura, S., Mizutani, J., Hasegawa, K., 1994. Allelopathy of oats.</w:t>
      </w:r>
      <w:r>
        <w:t xml:space="preserve"> </w:t>
      </w:r>
      <w:r>
        <w:t xml:space="preserve">I</w:t>
      </w:r>
      <w:r>
        <w:t xml:space="preserve">.</w:t>
      </w:r>
      <w:r>
        <w:t xml:space="preserve"> </w:t>
      </w:r>
      <w:r>
        <w:t xml:space="preserve">Assessment</w:t>
      </w:r>
      <w:r>
        <w:t xml:space="preserve"> </w:t>
      </w:r>
      <w:r>
        <w:t xml:space="preserve">of allelopathic potential of extract of oat shoots and identification of an allelochemical. Journal of Chemical Ecology 20, 309–314.</w:t>
      </w:r>
      <w:r>
        <w:t xml:space="preserve"> </w:t>
      </w:r>
      <w:hyperlink r:id="rId97">
        <w:r>
          <w:rPr>
            <w:rStyle w:val="Hyperlink"/>
          </w:rPr>
          <w:t xml:space="preserve">https://doi.org/10.1007/BF02064439</w:t>
        </w:r>
      </w:hyperlink>
    </w:p>
    <w:bookmarkEnd w:id="98"/>
    <w:bookmarkStart w:id="100" w:name="ref-koller2016"/>
    <w:p>
      <w:pPr>
        <w:pStyle w:val="Bibliography"/>
      </w:pPr>
      <w:r>
        <w:t xml:space="preserve">Koller, M., 2016.</w:t>
      </w:r>
      <w:r>
        <w:t xml:space="preserve"> </w:t>
      </w:r>
      <w:r>
        <w:rPr>
          <w:b/>
          <w:bCs/>
        </w:rPr>
        <w:t xml:space="preserve">Robustlmm</w:t>
      </w:r>
      <w:r>
        <w:t xml:space="preserve"> </w:t>
      </w:r>
      <w:r>
        <w:t xml:space="preserve">:</w:t>
      </w:r>
      <w:r>
        <w:t xml:space="preserve"> </w:t>
      </w:r>
      <w:r>
        <w:t xml:space="preserve">An</w:t>
      </w:r>
      <w:r>
        <w:t xml:space="preserve"> </w:t>
      </w:r>
      <w:r>
        <w:rPr>
          <w:i/>
          <w:iCs/>
        </w:rPr>
        <w:t xml:space="preserve">R</w:t>
      </w:r>
      <w:r>
        <w:t xml:space="preserve"> </w:t>
      </w:r>
      <w:r>
        <w:t xml:space="preserve">Package</w:t>
      </w:r>
      <w:r>
        <w:t xml:space="preserve"> </w:t>
      </w:r>
      <w:r>
        <w:t xml:space="preserve">for</w:t>
      </w:r>
      <w:r>
        <w:t xml:space="preserve"> </w:t>
      </w:r>
      <w:r>
        <w:t xml:space="preserve">Robust Estimation</w:t>
      </w:r>
      <w:r>
        <w:t xml:space="preserve"> </w:t>
      </w:r>
      <w:r>
        <w:t xml:space="preserve">of</w:t>
      </w:r>
      <w:r>
        <w:t xml:space="preserve"> </w:t>
      </w:r>
      <w:r>
        <w:t xml:space="preserve">Linear Mixed-Effects Models</w:t>
      </w:r>
      <w:r>
        <w:t xml:space="preserve">. Journal of Statistical Software 75.</w:t>
      </w:r>
      <w:r>
        <w:t xml:space="preserve"> </w:t>
      </w:r>
      <w:hyperlink r:id="rId99">
        <w:r>
          <w:rPr>
            <w:rStyle w:val="Hyperlink"/>
          </w:rPr>
          <w:t xml:space="preserve">https://doi.org/10.18637/jss.v075.i06</w:t>
        </w:r>
      </w:hyperlink>
    </w:p>
    <w:bookmarkEnd w:id="100"/>
    <w:bookmarkStart w:id="102" w:name="ref-kumawat2022"/>
    <w:p>
      <w:pPr>
        <w:pStyle w:val="Bibliography"/>
      </w:pPr>
      <w:r>
        <w:t xml:space="preserve">Kumawat, A., Bamboriya, S.D., Meena, R.S., Yadav, D., Kumar, A., Kumar, S., Raj, A., Pradhan, G., 2022. Legume-based inter-cropping to achieve the crop, soil, and environmental health security, in: Advances in</w:t>
      </w:r>
      <w:r>
        <w:t xml:space="preserve"> </w:t>
      </w:r>
      <w:r>
        <w:t xml:space="preserve">Legumes</w:t>
      </w:r>
      <w:r>
        <w:t xml:space="preserve"> </w:t>
      </w:r>
      <w:r>
        <w:t xml:space="preserve">for</w:t>
      </w:r>
      <w:r>
        <w:t xml:space="preserve"> </w:t>
      </w:r>
      <w:r>
        <w:t xml:space="preserve">Sustainable Intensification</w:t>
      </w:r>
      <w:r>
        <w:t xml:space="preserve">. Elsevier, pp. 307–328.</w:t>
      </w:r>
      <w:r>
        <w:t xml:space="preserve"> </w:t>
      </w:r>
      <w:hyperlink r:id="rId101">
        <w:r>
          <w:rPr>
            <w:rStyle w:val="Hyperlink"/>
          </w:rPr>
          <w:t xml:space="preserve">https://doi.org/10.1016/B978-0-323-85797-0.00005-7</w:t>
        </w:r>
      </w:hyperlink>
    </w:p>
    <w:bookmarkEnd w:id="102"/>
    <w:bookmarkStart w:id="104" w:name="ref-kuznetsova2017"/>
    <w:p>
      <w:pPr>
        <w:pStyle w:val="Bibliography"/>
      </w:pPr>
      <w:r>
        <w:t xml:space="preserve">Kuznetsova, A., Brockhoff, P.B., Christensen, R.H.B., 2017.</w:t>
      </w:r>
      <w:r>
        <w:t xml:space="preserve"> </w:t>
      </w:r>
      <w:r>
        <w:rPr>
          <w:b/>
          <w:bCs/>
        </w:rPr>
        <w:t xml:space="preserve">lmerTest</w:t>
      </w:r>
      <w:r>
        <w:t xml:space="preserve"> </w:t>
      </w:r>
      <w:r>
        <w:t xml:space="preserve">Package</w:t>
      </w:r>
      <w:r>
        <w:t xml:space="preserve">:</w:t>
      </w:r>
      <w:r>
        <w:t xml:space="preserve"> </w:t>
      </w:r>
      <w:r>
        <w:t xml:space="preserve">Tests</w:t>
      </w:r>
      <w:r>
        <w:t xml:space="preserve"> </w:t>
      </w:r>
      <w:r>
        <w:t xml:space="preserve">in</w:t>
      </w:r>
      <w:r>
        <w:t xml:space="preserve"> </w:t>
      </w:r>
      <w:r>
        <w:t xml:space="preserve">Linear Mixed Effects Models</w:t>
      </w:r>
      <w:r>
        <w:t xml:space="preserve">. Journal of Statistical Software 82.</w:t>
      </w:r>
      <w:r>
        <w:t xml:space="preserve"> </w:t>
      </w:r>
      <w:hyperlink r:id="rId103">
        <w:r>
          <w:rPr>
            <w:rStyle w:val="Hyperlink"/>
          </w:rPr>
          <w:t xml:space="preserve">https://doi.org/10.18637/jss.v082.i13</w:t>
        </w:r>
      </w:hyperlink>
    </w:p>
    <w:bookmarkEnd w:id="104"/>
    <w:bookmarkStart w:id="106" w:name="ref-li2020"/>
    <w:p>
      <w:pPr>
        <w:pStyle w:val="Bibliography"/>
      </w:pPr>
      <w:r>
        <w:t xml:space="preserve">Li, C., Hoffland, E., Kuyper, T.W., Yu, Y., Li, H., Zhang, C., Zhang, F., Van Der Werf, W., 2020. Yield gain, complementarity and competitive dominance in intercropping in</w:t>
      </w:r>
      <w:r>
        <w:t xml:space="preserve"> </w:t>
      </w:r>
      <w:r>
        <w:t xml:space="preserve">China</w:t>
      </w:r>
      <w:r>
        <w:t xml:space="preserve">:</w:t>
      </w:r>
      <w:r>
        <w:t xml:space="preserve"> </w:t>
      </w:r>
      <w:r>
        <w:t xml:space="preserve">A</w:t>
      </w:r>
      <w:r>
        <w:t xml:space="preserve"> </w:t>
      </w:r>
      <w:r>
        <w:t xml:space="preserve">meta-analysis of drivers of yield gain using additive partitioning. European Journal of Agronomy 113, 125987.</w:t>
      </w:r>
      <w:r>
        <w:t xml:space="preserve"> </w:t>
      </w:r>
      <w:hyperlink r:id="rId105">
        <w:r>
          <w:rPr>
            <w:rStyle w:val="Hyperlink"/>
          </w:rPr>
          <w:t xml:space="preserve">https://doi.org/10.1016/j.eja.2019.125987</w:t>
        </w:r>
      </w:hyperlink>
    </w:p>
    <w:bookmarkEnd w:id="106"/>
    <w:bookmarkStart w:id="108" w:name="ref-liu2023"/>
    <w:p>
      <w:pPr>
        <w:pStyle w:val="Bibliography"/>
      </w:pPr>
      <w:r>
        <w:t xml:space="preserve">Liu, H., Struik, P.C., Zhang, Y., Jing, J., Stomph, T.-J., 2023. Forage quality in cereal/legume intercropping:</w:t>
      </w:r>
      <w:r>
        <w:t xml:space="preserve"> </w:t>
      </w:r>
      <w:r>
        <w:t xml:space="preserve">A</w:t>
      </w:r>
      <w:r>
        <w:t xml:space="preserve"> </w:t>
      </w:r>
      <w:r>
        <w:t xml:space="preserve">meta-analysis. Field Crops Research 304, 109174.</w:t>
      </w:r>
      <w:r>
        <w:t xml:space="preserve"> </w:t>
      </w:r>
      <w:hyperlink r:id="rId107">
        <w:r>
          <w:rPr>
            <w:rStyle w:val="Hyperlink"/>
          </w:rPr>
          <w:t xml:space="preserve">https://doi.org/10.1016/j.fcr.2023.109174</w:t>
        </w:r>
      </w:hyperlink>
    </w:p>
    <w:bookmarkEnd w:id="108"/>
    <w:bookmarkStart w:id="110" w:name="ref-lopez-bellido1986"/>
    <w:p>
      <w:pPr>
        <w:pStyle w:val="Bibliography"/>
      </w:pPr>
      <w:r>
        <w:t xml:space="preserve">Lopez-Bellido, L., Fuente, M., 1986. Lupin</w:t>
      </w:r>
      <w:r>
        <w:t xml:space="preserve"> </w:t>
      </w:r>
      <w:r>
        <w:t xml:space="preserve">Crop</w:t>
      </w:r>
      <w:r>
        <w:t xml:space="preserve"> </w:t>
      </w:r>
      <w:r>
        <w:t xml:space="preserve">as an</w:t>
      </w:r>
      <w:r>
        <w:t xml:space="preserve"> </w:t>
      </w:r>
      <w:r>
        <w:t xml:space="preserve">Alternative Source</w:t>
      </w:r>
      <w:r>
        <w:t xml:space="preserve"> </w:t>
      </w:r>
      <w:r>
        <w:t xml:space="preserve">of</w:t>
      </w:r>
      <w:r>
        <w:t xml:space="preserve"> </w:t>
      </w:r>
      <w:r>
        <w:t xml:space="preserve">Protein</w:t>
      </w:r>
      <w:r>
        <w:t xml:space="preserve">, in: Advances in</w:t>
      </w:r>
      <w:r>
        <w:t xml:space="preserve"> </w:t>
      </w:r>
      <w:r>
        <w:t xml:space="preserve">Agronomy</w:t>
      </w:r>
      <w:r>
        <w:t xml:space="preserve">. Elsevier, pp. 239–295.</w:t>
      </w:r>
      <w:r>
        <w:t xml:space="preserve"> </w:t>
      </w:r>
      <w:hyperlink r:id="rId109">
        <w:r>
          <w:rPr>
            <w:rStyle w:val="Hyperlink"/>
          </w:rPr>
          <w:t xml:space="preserve">https://doi.org/10.1016/S0065-2113(08)60284-9</w:t>
        </w:r>
      </w:hyperlink>
    </w:p>
    <w:bookmarkEnd w:id="110"/>
    <w:bookmarkStart w:id="112" w:name="ref-mead1980"/>
    <w:p>
      <w:pPr>
        <w:pStyle w:val="Bibliography"/>
      </w:pPr>
      <w:r>
        <w:t xml:space="preserve">Mead, R., Willey, R.W., 1980. The</w:t>
      </w:r>
      <w:r>
        <w:t xml:space="preserve"> </w:t>
      </w:r>
      <w:r>
        <w:t xml:space="preserve">Concept</w:t>
      </w:r>
      <w:r>
        <w:t xml:space="preserve"> </w:t>
      </w:r>
      <w:r>
        <w:t xml:space="preserve">of a</w:t>
      </w:r>
      <w:r>
        <w:t xml:space="preserve"> </w:t>
      </w:r>
      <w:r>
        <w:t xml:space="preserve">‘</w:t>
      </w:r>
      <w:r>
        <w:t xml:space="preserve">Land Equivalent Ratio</w:t>
      </w:r>
      <w:r>
        <w:t xml:space="preserve">’</w:t>
      </w:r>
      <w:r>
        <w:t xml:space="preserve"> </w:t>
      </w:r>
      <w:r>
        <w:t xml:space="preserve">and</w:t>
      </w:r>
      <w:r>
        <w:t xml:space="preserve"> </w:t>
      </w:r>
      <w:r>
        <w:t xml:space="preserve">Advantages</w:t>
      </w:r>
      <w:r>
        <w:t xml:space="preserve"> </w:t>
      </w:r>
      <w:r>
        <w:t xml:space="preserve">in</w:t>
      </w:r>
      <w:r>
        <w:t xml:space="preserve"> </w:t>
      </w:r>
      <w:r>
        <w:t xml:space="preserve">Yields</w:t>
      </w:r>
      <w:r>
        <w:t xml:space="preserve"> </w:t>
      </w:r>
      <w:r>
        <w:t xml:space="preserve">from</w:t>
      </w:r>
      <w:r>
        <w:t xml:space="preserve"> </w:t>
      </w:r>
      <w:r>
        <w:t xml:space="preserve">Intercropping</w:t>
      </w:r>
      <w:r>
        <w:t xml:space="preserve">. Experimental Agriculture 16, 217–228.</w:t>
      </w:r>
      <w:r>
        <w:t xml:space="preserve"> </w:t>
      </w:r>
      <w:hyperlink r:id="rId111">
        <w:r>
          <w:rPr>
            <w:rStyle w:val="Hyperlink"/>
          </w:rPr>
          <w:t xml:space="preserve">https://doi.org/10.1017/S0014479700010978</w:t>
        </w:r>
      </w:hyperlink>
    </w:p>
    <w:bookmarkEnd w:id="112"/>
    <w:bookmarkStart w:id="114" w:name="ref-munz2025"/>
    <w:p>
      <w:pPr>
        <w:pStyle w:val="Bibliography"/>
      </w:pPr>
      <w:r>
        <w:t xml:space="preserve">Munz, S., Zachmann, J., Chongtham, I.R., Dhamala, N.R., Hartung, J., Jensen, E.S., Carlsson, G., 2025. Yield stability and weed dry matter in response to field-scale soil variability in pea-oat intercropping. Plant and Soil 506, 291–310.</w:t>
      </w:r>
      <w:r>
        <w:t xml:space="preserve"> </w:t>
      </w:r>
      <w:hyperlink r:id="rId113">
        <w:r>
          <w:rPr>
            <w:rStyle w:val="Hyperlink"/>
          </w:rPr>
          <w:t xml:space="preserve">https://doi.org/10.1007/s11104-023-06316-9</w:t>
        </w:r>
      </w:hyperlink>
    </w:p>
    <w:bookmarkEnd w:id="114"/>
    <w:bookmarkStart w:id="116" w:name="ref-oksanen2001"/>
    <w:p>
      <w:pPr>
        <w:pStyle w:val="Bibliography"/>
      </w:pPr>
      <w:r>
        <w:t xml:space="preserve">Oksanen, J., Simpson, G.L., Blanchet, F.G., Kindt, R., Legendre, P., Minchin, P.R., O’Hara, R.B., Solymos, P., Stevens, M.H.H., Szoecs, E., Wagner, H., Barbour, M., Bedward, M., Bolker, B., Borcard, D., Borman, T., Carvalho, G., Chirico, M., De Caceres, M., Durand, S., Evangelista, H.B.A., FitzJohn, R., Friendly, M., Furneaux, B., Hannigan, G., Hill, M.O., Lahti, L., Martino, C., McGlinn, D., Ouellette, M.-H., Ribeiro Cunha, E., Smith, T., Stier, A., Ter Braak, C.J.F., Weedon, J., 2001. Vegan:</w:t>
      </w:r>
      <w:r>
        <w:t xml:space="preserve"> </w:t>
      </w:r>
      <w:r>
        <w:t xml:space="preserve">Community Ecology Package</w:t>
      </w:r>
      <w:r>
        <w:t xml:space="preserve">.</w:t>
      </w:r>
      <w:r>
        <w:t xml:space="preserve"> </w:t>
      </w:r>
      <w:hyperlink r:id="rId115">
        <w:r>
          <w:rPr>
            <w:rStyle w:val="Hyperlink"/>
          </w:rPr>
          <w:t xml:space="preserve">https://doi.org/10.32614/CRAN.package.vegan</w:t>
        </w:r>
      </w:hyperlink>
    </w:p>
    <w:bookmarkEnd w:id="116"/>
    <w:bookmarkStart w:id="118" w:name="ref-olivoto2020"/>
    <w:p>
      <w:pPr>
        <w:pStyle w:val="Bibliography"/>
      </w:pPr>
      <w:r>
        <w:t xml:space="preserve">Olivoto, T., 2020. Metan:</w:t>
      </w:r>
      <w:r>
        <w:t xml:space="preserve"> </w:t>
      </w:r>
      <w:r>
        <w:t xml:space="preserve">Multi Environment Trials Analysis</w:t>
      </w:r>
      <w:r>
        <w:t xml:space="preserve">.</w:t>
      </w:r>
      <w:r>
        <w:t xml:space="preserve"> </w:t>
      </w:r>
      <w:hyperlink r:id="rId117">
        <w:r>
          <w:rPr>
            <w:rStyle w:val="Hyperlink"/>
          </w:rPr>
          <w:t xml:space="preserve">https://doi.org/10.32614/CRAN.package.metan</w:t>
        </w:r>
      </w:hyperlink>
    </w:p>
    <w:bookmarkEnd w:id="118"/>
    <w:bookmarkStart w:id="120" w:name="ref-olivoto2019"/>
    <w:p>
      <w:pPr>
        <w:pStyle w:val="Bibliography"/>
      </w:pPr>
      <w:r>
        <w:t xml:space="preserve">Olivoto, T., Lúcio, A.D.C., Da Silva, J.A.G., Sari, B.G., Diel, M.I., 2019. Mean</w:t>
      </w:r>
      <w:r>
        <w:t xml:space="preserve"> </w:t>
      </w:r>
      <w:r>
        <w:t xml:space="preserve">Performance</w:t>
      </w:r>
      <w:r>
        <w:t xml:space="preserve"> </w:t>
      </w:r>
      <w:r>
        <w:t xml:space="preserve">and</w:t>
      </w:r>
      <w:r>
        <w:t xml:space="preserve"> </w:t>
      </w:r>
      <w:r>
        <w:t xml:space="preserve">Stability</w:t>
      </w:r>
      <w:r>
        <w:t xml:space="preserve"> </w:t>
      </w:r>
      <w:r>
        <w:t xml:space="preserve">in</w:t>
      </w:r>
      <w:r>
        <w:t xml:space="preserve"> </w:t>
      </w:r>
      <w:r>
        <w:t xml:space="preserve">Multi</w:t>
      </w:r>
      <w:r>
        <w:t xml:space="preserve">-</w:t>
      </w:r>
      <w:r>
        <w:t xml:space="preserve">Environment Trials II</w:t>
      </w:r>
      <w:r>
        <w:t xml:space="preserve">:</w:t>
      </w:r>
      <w:r>
        <w:t xml:space="preserve"> </w:t>
      </w:r>
      <w:r>
        <w:t xml:space="preserve">Selection Based</w:t>
      </w:r>
      <w:r>
        <w:t xml:space="preserve"> </w:t>
      </w:r>
      <w:r>
        <w:t xml:space="preserve">on</w:t>
      </w:r>
      <w:r>
        <w:t xml:space="preserve"> </w:t>
      </w:r>
      <w:r>
        <w:t xml:space="preserve">Multiple Traits</w:t>
      </w:r>
      <w:r>
        <w:t xml:space="preserve">. Agronomy Journal 111, 2961–2969.</w:t>
      </w:r>
      <w:r>
        <w:t xml:space="preserve"> </w:t>
      </w:r>
      <w:hyperlink r:id="rId119">
        <w:r>
          <w:rPr>
            <w:rStyle w:val="Hyperlink"/>
          </w:rPr>
          <w:t xml:space="preserve">https://doi.org/10.2134/agronj2019.03.0221</w:t>
        </w:r>
      </w:hyperlink>
    </w:p>
    <w:bookmarkEnd w:id="120"/>
    <w:bookmarkStart w:id="122" w:name="ref-palmason1992"/>
    <w:p>
      <w:pPr>
        <w:pStyle w:val="Bibliography"/>
      </w:pPr>
      <w:r>
        <w:t xml:space="preserve">Pálmason, F., Danso, S.K.A., Hardarson, G., 1992. Nitrogen accumulation in sole and mixed stands of sweet-blue lupin (</w:t>
      </w:r>
      <w:r>
        <w:rPr>
          <w:i/>
          <w:iCs/>
        </w:rPr>
        <w:t xml:space="preserve">Lupinus</w:t>
      </w:r>
      <w:r>
        <w:t xml:space="preserve"> </w:t>
      </w:r>
      <w:r>
        <w:rPr>
          <w:i/>
          <w:iCs/>
        </w:rPr>
        <w:t xml:space="preserve">Angustifolius</w:t>
      </w:r>
      <w:r>
        <w:t xml:space="preserve"> </w:t>
      </w:r>
      <w:r>
        <w:t xml:space="preserve">L</w:t>
      </w:r>
      <w:r>
        <w:t xml:space="preserve">.), ryegrass and oats. Plant and Soil 142, 135–142.</w:t>
      </w:r>
      <w:r>
        <w:t xml:space="preserve"> </w:t>
      </w:r>
      <w:hyperlink r:id="rId121">
        <w:r>
          <w:rPr>
            <w:rStyle w:val="Hyperlink"/>
          </w:rPr>
          <w:t xml:space="preserve">https://doi.org/10.1007/BF00010183</w:t>
        </w:r>
      </w:hyperlink>
    </w:p>
    <w:bookmarkEnd w:id="122"/>
    <w:bookmarkStart w:id="124" w:name="ref-puzynska2021"/>
    <w:p>
      <w:pPr>
        <w:pStyle w:val="Bibliography"/>
      </w:pPr>
      <w:r>
        <w:t xml:space="preserve">Pużyńska, K., Pużyński, S., Synowiec, A., Bocianowski, J., Lepiarczyk, A., 2021. Grain</w:t>
      </w:r>
      <w:r>
        <w:t xml:space="preserve"> </w:t>
      </w:r>
      <w:r>
        <w:t xml:space="preserve">Yield</w:t>
      </w:r>
      <w:r>
        <w:t xml:space="preserve"> </w:t>
      </w:r>
      <w:r>
        <w:t xml:space="preserve">and</w:t>
      </w:r>
      <w:r>
        <w:t xml:space="preserve"> </w:t>
      </w:r>
      <w:r>
        <w:t xml:space="preserve">Total Protein Content</w:t>
      </w:r>
      <w:r>
        <w:t xml:space="preserve"> </w:t>
      </w:r>
      <w:r>
        <w:t xml:space="preserve">of</w:t>
      </w:r>
      <w:r>
        <w:t xml:space="preserve"> </w:t>
      </w:r>
      <w:r>
        <w:t xml:space="preserve">Organically Grown Oats</w:t>
      </w:r>
      <w:r>
        <w:t xml:space="preserve">–</w:t>
      </w:r>
      <w:r>
        <w:t xml:space="preserve">Vetch Mixtures Depending</w:t>
      </w:r>
      <w:r>
        <w:t xml:space="preserve"> </w:t>
      </w:r>
      <w:r>
        <w:t xml:space="preserve">on</w:t>
      </w:r>
      <w:r>
        <w:t xml:space="preserve"> </w:t>
      </w:r>
      <w:r>
        <w:t xml:space="preserve">Soil Type</w:t>
      </w:r>
      <w:r>
        <w:t xml:space="preserve"> </w:t>
      </w:r>
      <w:r>
        <w:t xml:space="preserve">and</w:t>
      </w:r>
      <w:r>
        <w:t xml:space="preserve"> </w:t>
      </w:r>
      <w:r>
        <w:t xml:space="preserve">Oats</w:t>
      </w:r>
      <w:r>
        <w:t xml:space="preserve">’</w:t>
      </w:r>
      <w:r>
        <w:t xml:space="preserve"> </w:t>
      </w:r>
      <w:r>
        <w:t xml:space="preserve">Cultivar</w:t>
      </w:r>
      <w:r>
        <w:t xml:space="preserve">. Agriculture 11, 79.</w:t>
      </w:r>
      <w:r>
        <w:t xml:space="preserve"> </w:t>
      </w:r>
      <w:hyperlink r:id="rId123">
        <w:r>
          <w:rPr>
            <w:rStyle w:val="Hyperlink"/>
          </w:rPr>
          <w:t xml:space="preserve">https://doi.org/10.3390/agriculture11010079</w:t>
        </w:r>
      </w:hyperlink>
    </w:p>
    <w:bookmarkEnd w:id="124"/>
    <w:bookmarkStart w:id="126" w:name="ref-rahman2022"/>
    <w:p>
      <w:pPr>
        <w:pStyle w:val="Bibliography"/>
      </w:pPr>
      <w:r>
        <w:t xml:space="preserve">Rahman, Md.M., Alam, M.S., Islam, Md.M., Kamal, M.Z.U., Rahman, G.K.M.M., Haque, M.M., Miah, Md.G., Biswas, J.C., 2022. Potential of legume-based cropping systems for climate change adaptation and mitigation, in: Advances in</w:t>
      </w:r>
      <w:r>
        <w:t xml:space="preserve"> </w:t>
      </w:r>
      <w:r>
        <w:t xml:space="preserve">Legumes</w:t>
      </w:r>
      <w:r>
        <w:t xml:space="preserve"> </w:t>
      </w:r>
      <w:r>
        <w:t xml:space="preserve">for</w:t>
      </w:r>
      <w:r>
        <w:t xml:space="preserve"> </w:t>
      </w:r>
      <w:r>
        <w:t xml:space="preserve">Sustainable Intensification</w:t>
      </w:r>
      <w:r>
        <w:t xml:space="preserve">. Elsevier, pp. 381–402.</w:t>
      </w:r>
      <w:r>
        <w:t xml:space="preserve"> </w:t>
      </w:r>
      <w:hyperlink r:id="rId125">
        <w:r>
          <w:rPr>
            <w:rStyle w:val="Hyperlink"/>
          </w:rPr>
          <w:t xml:space="preserve">https://doi.org/10.1016/B978-0-323-85797-0.00030-6</w:t>
        </w:r>
      </w:hyperlink>
    </w:p>
    <w:bookmarkEnd w:id="126"/>
    <w:bookmarkStart w:id="128" w:name="ref-raseduzzaman2017"/>
    <w:p>
      <w:pPr>
        <w:pStyle w:val="Bibliography"/>
      </w:pPr>
      <w:r>
        <w:t xml:space="preserve">Raseduzzaman, Md., Jensen, E.S., 2017. Does intercropping enhance yield stability in arable crop production?</w:t>
      </w:r>
      <w:r>
        <w:t xml:space="preserve"> </w:t>
      </w:r>
      <w:r>
        <w:t xml:space="preserve">A</w:t>
      </w:r>
      <w:r>
        <w:t xml:space="preserve"> </w:t>
      </w:r>
      <w:r>
        <w:t xml:space="preserve">meta-analysis. European Journal of Agronomy 91, 25–33.</w:t>
      </w:r>
      <w:r>
        <w:t xml:space="preserve"> </w:t>
      </w:r>
      <w:hyperlink r:id="rId127">
        <w:r>
          <w:rPr>
            <w:rStyle w:val="Hyperlink"/>
          </w:rPr>
          <w:t xml:space="preserve">https://doi.org/10.1016/j.eja.2017.09.009</w:t>
        </w:r>
      </w:hyperlink>
    </w:p>
    <w:bookmarkEnd w:id="128"/>
    <w:bookmarkStart w:id="130" w:name="ref-reckling2018"/>
    <w:p>
      <w:pPr>
        <w:pStyle w:val="Bibliography"/>
      </w:pPr>
      <w:r>
        <w:t xml:space="preserve">Reckling, M., Döring, T.F., Bergkvist, G., Stoddard, F.L., Watson, C.A., Seddig, S., Chmielewski, F.-M., Bachinger, J., 2018. Grain legume yields are as stable as other spring crops in long-term experiments across northern</w:t>
      </w:r>
      <w:r>
        <w:t xml:space="preserve"> </w:t>
      </w:r>
      <w:r>
        <w:t xml:space="preserve">Europe</w:t>
      </w:r>
      <w:r>
        <w:t xml:space="preserve">. Agronomy for Sustainable Development 38, 63.</w:t>
      </w:r>
      <w:r>
        <w:t xml:space="preserve"> </w:t>
      </w:r>
      <w:hyperlink r:id="rId129">
        <w:r>
          <w:rPr>
            <w:rStyle w:val="Hyperlink"/>
          </w:rPr>
          <w:t xml:space="preserve">https://doi.org/10.1007/s13593-018-0541-3</w:t>
        </w:r>
      </w:hyperlink>
    </w:p>
    <w:bookmarkEnd w:id="130"/>
    <w:bookmarkStart w:id="132" w:name="ref-rodriguez2020"/>
    <w:p>
      <w:pPr>
        <w:pStyle w:val="Bibliography"/>
      </w:pPr>
      <w:r>
        <w:t xml:space="preserve">Rodriguez, C., Carlsson, G., Englund, J.-E., Flöhr, A., Pelzer, E., Jeuffroy, M.-H., Makowski, D., Jensen, E.S., 2020. Grain legume-cereal intercropping enhances the use of soil-derived and biologically fixed nitrogen in temperate agroecosystems.</w:t>
      </w:r>
      <w:r>
        <w:t xml:space="preserve"> </w:t>
      </w:r>
      <w:r>
        <w:t xml:space="preserve">A</w:t>
      </w:r>
      <w:r>
        <w:t xml:space="preserve"> </w:t>
      </w:r>
      <w:r>
        <w:t xml:space="preserve">meta-analysis. European Journal of Agronomy 118, 126077.</w:t>
      </w:r>
      <w:r>
        <w:t xml:space="preserve"> </w:t>
      </w:r>
      <w:hyperlink r:id="rId131">
        <w:r>
          <w:rPr>
            <w:rStyle w:val="Hyperlink"/>
          </w:rPr>
          <w:t xml:space="preserve">https://doi.org/10.1016/j.eja.2020.126077</w:t>
        </w:r>
      </w:hyperlink>
    </w:p>
    <w:bookmarkEnd w:id="132"/>
    <w:bookmarkStart w:id="134" w:name="ref-schlup2026"/>
    <w:p>
      <w:pPr>
        <w:pStyle w:val="Bibliography"/>
      </w:pPr>
      <w:r>
        <w:t xml:space="preserve">Schlup, Y., Graz, L., Kägi, A., Six, J., Vogelgsang, S., 2026. Mixed cropping of narrow-leaved lupin and oat enhances plant health and yield buffering while maintaining protein yield. Field Crops Research 340, 110291.</w:t>
      </w:r>
      <w:r>
        <w:t xml:space="preserve"> </w:t>
      </w:r>
      <w:hyperlink r:id="rId133">
        <w:r>
          <w:rPr>
            <w:rStyle w:val="Hyperlink"/>
          </w:rPr>
          <w:t xml:space="preserve">https://doi.org/10.1016/j.fcr.2025.110291</w:t>
        </w:r>
      </w:hyperlink>
    </w:p>
    <w:bookmarkEnd w:id="134"/>
    <w:bookmarkStart w:id="136" w:name="ref-silva2016"/>
    <w:p>
      <w:pPr>
        <w:pStyle w:val="Bibliography"/>
      </w:pPr>
      <w:r>
        <w:t xml:space="preserve">Silva, J.A.G.D., Goi Neto, C.J., Fernandes, S.B.V., Mantai, R.D., Scremin, O.B., Pretto, R., 2016. Nitrogen efficiency in oats on grain yield with stability. Revista Brasileira de Engenharia Agrícola e Ambiental 20, 1095–1100.</w:t>
      </w:r>
      <w:r>
        <w:t xml:space="preserve"> </w:t>
      </w:r>
      <w:hyperlink r:id="rId135">
        <w:r>
          <w:rPr>
            <w:rStyle w:val="Hyperlink"/>
          </w:rPr>
          <w:t xml:space="preserve">https://doi.org/10.1590/1807-1929/agriambi.v20n12p1095-1100</w:t>
        </w:r>
      </w:hyperlink>
    </w:p>
    <w:bookmarkEnd w:id="136"/>
    <w:bookmarkStart w:id="138" w:name="ref-tang2021"/>
    <w:p>
      <w:pPr>
        <w:pStyle w:val="Bibliography"/>
      </w:pPr>
      <w:r>
        <w:t xml:space="preserve">Tang, X., Zhang, C., Yu, Y., Shen, J., Van Der Werf, W., Zhang, F., 2021. Intercropping legumes and cereals increases phosphorus use efficiency; a meta-analysis. Plant and Soil 460, 89–104.</w:t>
      </w:r>
      <w:r>
        <w:t xml:space="preserve"> </w:t>
      </w:r>
      <w:hyperlink r:id="rId137">
        <w:r>
          <w:rPr>
            <w:rStyle w:val="Hyperlink"/>
          </w:rPr>
          <w:t xml:space="preserve">https://doi.org/10.1007/s11104-020-04768-x</w:t>
        </w:r>
      </w:hyperlink>
    </w:p>
    <w:bookmarkEnd w:id="138"/>
    <w:bookmarkStart w:id="139" w:name="ref-zotero-47"/>
    <w:p>
      <w:pPr>
        <w:pStyle w:val="Bibliography"/>
      </w:pPr>
      <w:r>
        <w:t xml:space="preserve">Team, R.C., 2025. A</w:t>
      </w:r>
      <w:r>
        <w:t xml:space="preserve"> </w:t>
      </w:r>
      <w:r>
        <w:t xml:space="preserve">Language</w:t>
      </w:r>
      <w:r>
        <w:t xml:space="preserve"> </w:t>
      </w:r>
      <w:r>
        <w:t xml:space="preserve">and</w:t>
      </w:r>
      <w:r>
        <w:t xml:space="preserve"> </w:t>
      </w:r>
      <w:r>
        <w:t xml:space="preserve">Environment</w:t>
      </w:r>
      <w:r>
        <w:t xml:space="preserve"> </w:t>
      </w:r>
      <w:r>
        <w:t xml:space="preserve">for</w:t>
      </w:r>
      <w:r>
        <w:t xml:space="preserve"> </w:t>
      </w:r>
      <w:r>
        <w:t xml:space="preserve">Statistical Computing</w:t>
      </w:r>
      <w:r>
        <w:t xml:space="preserve">.</w:t>
      </w:r>
    </w:p>
    <w:bookmarkEnd w:id="139"/>
    <w:bookmarkStart w:id="141" w:name="ref-wang2012"/>
    <w:p>
      <w:pPr>
        <w:pStyle w:val="Bibliography"/>
      </w:pPr>
      <w:r>
        <w:t xml:space="preserve">Wang, L., Gruber, S., Claupein, W., 2012. Optimizing lentil-based mixed cropping with different companion crops and plant densities in terms of crop yield and weed control. Organic Agriculture 2, 79–87.</w:t>
      </w:r>
      <w:r>
        <w:t xml:space="preserve"> </w:t>
      </w:r>
      <w:hyperlink r:id="rId140">
        <w:r>
          <w:rPr>
            <w:rStyle w:val="Hyperlink"/>
          </w:rPr>
          <w:t xml:space="preserve">https://doi.org/10.1007/s13165-012-0028-5</w:t>
        </w:r>
      </w:hyperlink>
    </w:p>
    <w:bookmarkEnd w:id="141"/>
    <w:bookmarkStart w:id="143" w:name="ref-watiki1993"/>
    <w:p>
      <w:pPr>
        <w:pStyle w:val="Bibliography"/>
      </w:pPr>
      <w:r>
        <w:t xml:space="preserve">Watiki, J.M., Fukai, S., Banda, J.A., Keating, B.A., 1993. Radiation interception and growth of maize/cowpea intercrop as affected by maize plant density and cowpea cultivar. Field Crops Research 35, 123–133.</w:t>
      </w:r>
      <w:r>
        <w:t xml:space="preserve"> </w:t>
      </w:r>
      <w:hyperlink r:id="rId142">
        <w:r>
          <w:rPr>
            <w:rStyle w:val="Hyperlink"/>
          </w:rPr>
          <w:t xml:space="preserve">https://doi.org/10.1016/0378-4290(93)90145-D</w:t>
        </w:r>
      </w:hyperlink>
    </w:p>
    <w:bookmarkEnd w:id="143"/>
    <w:bookmarkStart w:id="145" w:name="ref-weih2021"/>
    <w:p>
      <w:pPr>
        <w:pStyle w:val="Bibliography"/>
      </w:pPr>
      <w:r>
        <w:t xml:space="preserve">Weih, M., Karley, A.J., Newton, A.C., Kiær, L.P., Scherber, C., Rubiales, D., Adam, E., Ajal, J., Brandmeier, J., Pappagallo, S., Villegas-Fernández, A., Reckling, M., Tavoletti, S., 2021. Grain</w:t>
      </w:r>
      <w:r>
        <w:t xml:space="preserve"> </w:t>
      </w:r>
      <w:r>
        <w:t xml:space="preserve">Yield Stability</w:t>
      </w:r>
      <w:r>
        <w:t xml:space="preserve"> </w:t>
      </w:r>
      <w:r>
        <w:t xml:space="preserve">of</w:t>
      </w:r>
      <w:r>
        <w:t xml:space="preserve"> </w:t>
      </w:r>
      <w:r>
        <w:t xml:space="preserve">Cereal-Legume Intercrops Is Greater Than Sole Crops</w:t>
      </w:r>
      <w:r>
        <w:t xml:space="preserve"> </w:t>
      </w:r>
      <w:r>
        <w:t xml:space="preserve">in</w:t>
      </w:r>
      <w:r>
        <w:t xml:space="preserve"> </w:t>
      </w:r>
      <w:r>
        <w:t xml:space="preserve">More Productive Conditions</w:t>
      </w:r>
      <w:r>
        <w:t xml:space="preserve">. Agriculture 11, 255.</w:t>
      </w:r>
      <w:r>
        <w:t xml:space="preserve"> </w:t>
      </w:r>
      <w:hyperlink r:id="rId144">
        <w:r>
          <w:rPr>
            <w:rStyle w:val="Hyperlink"/>
          </w:rPr>
          <w:t xml:space="preserve">https://doi.org/10.3390/agriculture11030255</w:t>
        </w:r>
      </w:hyperlink>
    </w:p>
    <w:bookmarkEnd w:id="145"/>
    <w:bookmarkStart w:id="147" w:name="ref-zobel1988"/>
    <w:p>
      <w:pPr>
        <w:pStyle w:val="Bibliography"/>
      </w:pPr>
      <w:r>
        <w:t xml:space="preserve">Zobel, R.W., Wright, M.J., Gauch, H.G., 1988. Statistical</w:t>
      </w:r>
      <w:r>
        <w:t xml:space="preserve"> </w:t>
      </w:r>
      <w:r>
        <w:t xml:space="preserve">Analysis</w:t>
      </w:r>
      <w:r>
        <w:t xml:space="preserve"> </w:t>
      </w:r>
      <w:r>
        <w:t xml:space="preserve">of a</w:t>
      </w:r>
      <w:r>
        <w:t xml:space="preserve"> </w:t>
      </w:r>
      <w:r>
        <w:t xml:space="preserve">Yield Trial</w:t>
      </w:r>
      <w:r>
        <w:t xml:space="preserve">. Agronomy Journal 80, 388–393.</w:t>
      </w:r>
      <w:r>
        <w:t xml:space="preserve"> </w:t>
      </w:r>
      <w:hyperlink r:id="rId146">
        <w:r>
          <w:rPr>
            <w:rStyle w:val="Hyperlink"/>
          </w:rPr>
          <w:t xml:space="preserve">https://doi.org/10.2134/agronj1988.00021962008000030002x</w:t>
        </w:r>
      </w:hyperlink>
    </w:p>
    <w:bookmarkEnd w:id="147"/>
    <w:bookmarkStart w:id="149" w:name="ref-zustovi2024"/>
    <w:p>
      <w:pPr>
        <w:pStyle w:val="Bibliography"/>
      </w:pPr>
      <w:r>
        <w:t xml:space="preserve">Zustovi, R., Landschoot, S., Dewitte, K., Verlinden, G., Dubey, R., Maenhout, S., Haesaert, G., 2024. Intercropping indices evaluation on grain legume-small grain cereals mixture: A critical meta-analysis review. Agronomy for Sustainable Development 44, 5.</w:t>
      </w:r>
      <w:r>
        <w:t xml:space="preserve"> </w:t>
      </w:r>
      <w:hyperlink r:id="rId148">
        <w:r>
          <w:rPr>
            <w:rStyle w:val="Hyperlink"/>
          </w:rPr>
          <w:t xml:space="preserve">https://doi.org/10.1007/s13593-023-00934-4</w:t>
        </w:r>
      </w:hyperlink>
    </w:p>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35" Target="media/rId35.png" /><Relationship Type="http://schemas.openxmlformats.org/officeDocument/2006/relationships/image" Id="rId43" Target="media/rId43.png" /><Relationship Type="http://schemas.openxmlformats.org/officeDocument/2006/relationships/hyperlink" Id="rId121" Target="https://doi.org/10.1007/BF00010183" TargetMode="External" /><Relationship Type="http://schemas.openxmlformats.org/officeDocument/2006/relationships/hyperlink" Id="rId95" Target="https://doi.org/10.1007/BF00010992" TargetMode="External" /><Relationship Type="http://schemas.openxmlformats.org/officeDocument/2006/relationships/hyperlink" Id="rId97" Target="https://doi.org/10.1007/BF02064439" TargetMode="External" /><Relationship Type="http://schemas.openxmlformats.org/officeDocument/2006/relationships/hyperlink" Id="rId137" Target="https://doi.org/10.1007/s11104-020-04768-x" TargetMode="External" /><Relationship Type="http://schemas.openxmlformats.org/officeDocument/2006/relationships/hyperlink" Id="rId113" Target="https://doi.org/10.1007/s11104-023-06316-9" TargetMode="External" /><Relationship Type="http://schemas.openxmlformats.org/officeDocument/2006/relationships/hyperlink" Id="rId140" Target="https://doi.org/10.1007/s13165-012-0028-5" TargetMode="External" /><Relationship Type="http://schemas.openxmlformats.org/officeDocument/2006/relationships/hyperlink" Id="rId72" Target="https://doi.org/10.1007/s13593-014-0277-7" TargetMode="External" /><Relationship Type="http://schemas.openxmlformats.org/officeDocument/2006/relationships/hyperlink" Id="rId129" Target="https://doi.org/10.1007/s13593-018-0541-3" TargetMode="External" /><Relationship Type="http://schemas.openxmlformats.org/officeDocument/2006/relationships/hyperlink" Id="rId148" Target="https://doi.org/10.1007/s13593-023-00934-4" TargetMode="External" /><Relationship Type="http://schemas.openxmlformats.org/officeDocument/2006/relationships/hyperlink" Id="rId75" Target="https://doi.org/10.1007/s13593-024-00968-2" TargetMode="External" /><Relationship Type="http://schemas.openxmlformats.org/officeDocument/2006/relationships/hyperlink" Id="rId78" Target="https://doi.org/10.1016/0038-0717(93)90163-6" TargetMode="External" /><Relationship Type="http://schemas.openxmlformats.org/officeDocument/2006/relationships/hyperlink" Id="rId142" Target="https://doi.org/10.1016/0378-4290(93)90145-D" TargetMode="External" /><Relationship Type="http://schemas.openxmlformats.org/officeDocument/2006/relationships/hyperlink" Id="rId101" Target="https://doi.org/10.1016/B978-0-323-85797-0.00005-7" TargetMode="External" /><Relationship Type="http://schemas.openxmlformats.org/officeDocument/2006/relationships/hyperlink" Id="rId125" Target="https://doi.org/10.1016/B978-0-323-85797-0.00030-6" TargetMode="External" /><Relationship Type="http://schemas.openxmlformats.org/officeDocument/2006/relationships/hyperlink" Id="rId109" Target="https://doi.org/10.1016/S0065-2113(08)60284-9" TargetMode="External" /><Relationship Type="http://schemas.openxmlformats.org/officeDocument/2006/relationships/hyperlink" Id="rId89" Target="https://doi.org/10.1016/S0378-4290(01)00126-5" TargetMode="External" /><Relationship Type="http://schemas.openxmlformats.org/officeDocument/2006/relationships/hyperlink" Id="rId91" Target="https://doi.org/10.1016/S0378-4290(01)00176-9" TargetMode="External" /><Relationship Type="http://schemas.openxmlformats.org/officeDocument/2006/relationships/hyperlink" Id="rId127" Target="https://doi.org/10.1016/j.eja.2017.09.009" TargetMode="External" /><Relationship Type="http://schemas.openxmlformats.org/officeDocument/2006/relationships/hyperlink" Id="rId105" Target="https://doi.org/10.1016/j.eja.2019.125987" TargetMode="External" /><Relationship Type="http://schemas.openxmlformats.org/officeDocument/2006/relationships/hyperlink" Id="rId131" Target="https://doi.org/10.1016/j.eja.2020.126077" TargetMode="External" /><Relationship Type="http://schemas.openxmlformats.org/officeDocument/2006/relationships/hyperlink" Id="rId107" Target="https://doi.org/10.1016/j.fcr.2023.109174" TargetMode="External" /><Relationship Type="http://schemas.openxmlformats.org/officeDocument/2006/relationships/hyperlink" Id="rId133" Target="https://doi.org/10.1016/j.fcr.2025.110291" TargetMode="External" /><Relationship Type="http://schemas.openxmlformats.org/officeDocument/2006/relationships/hyperlink" Id="rId111" Target="https://doi.org/10.1017/S0014479700010978" TargetMode="External" /><Relationship Type="http://schemas.openxmlformats.org/officeDocument/2006/relationships/hyperlink" Id="rId70" Target="https://doi.org/10.1017/S0021859621000071" TargetMode="External" /><Relationship Type="http://schemas.openxmlformats.org/officeDocument/2006/relationships/hyperlink" Id="rId86" Target="https://doi.org/10.1071/AR9630742" TargetMode="External" /><Relationship Type="http://schemas.openxmlformats.org/officeDocument/2006/relationships/hyperlink" Id="rId93" Target="https://doi.org/10.1093/af/vfaa040" TargetMode="External" /><Relationship Type="http://schemas.openxmlformats.org/officeDocument/2006/relationships/hyperlink" Id="rId135" Target="https://doi.org/10.1590/1807-1929/agriambi.v20n12p1095-1100" TargetMode="External" /><Relationship Type="http://schemas.openxmlformats.org/officeDocument/2006/relationships/hyperlink" Id="rId68" Target="https://doi.org/10.18637/jss.v067.i01" TargetMode="External" /><Relationship Type="http://schemas.openxmlformats.org/officeDocument/2006/relationships/hyperlink" Id="rId99" Target="https://doi.org/10.18637/jss.v075.i06" TargetMode="External" /><Relationship Type="http://schemas.openxmlformats.org/officeDocument/2006/relationships/hyperlink" Id="rId103" Target="https://doi.org/10.18637/jss.v082.i13" TargetMode="External" /><Relationship Type="http://schemas.openxmlformats.org/officeDocument/2006/relationships/hyperlink" Id="rId146" Target="https://doi.org/10.2134/agronj1988.00021962008000030002x" TargetMode="External" /><Relationship Type="http://schemas.openxmlformats.org/officeDocument/2006/relationships/hyperlink" Id="rId119" Target="https://doi.org/10.2134/agronj2019.03.0221" TargetMode="External" /><Relationship Type="http://schemas.openxmlformats.org/officeDocument/2006/relationships/hyperlink" Id="rId82" Target="https://doi.org/10.2135/cropsci1966.0011183X000600010011x" TargetMode="External" /><Relationship Type="http://schemas.openxmlformats.org/officeDocument/2006/relationships/hyperlink" Id="rId117" Target="https://doi.org/10.32614/CRAN.package.metan" TargetMode="External" /><Relationship Type="http://schemas.openxmlformats.org/officeDocument/2006/relationships/hyperlink" Id="rId115" Target="https://doi.org/10.32614/CRAN.package.vegan" TargetMode="External" /><Relationship Type="http://schemas.openxmlformats.org/officeDocument/2006/relationships/hyperlink" Id="rId84" Target="https://doi.org/10.3389/fpls.2021.668803" TargetMode="External" /><Relationship Type="http://schemas.openxmlformats.org/officeDocument/2006/relationships/hyperlink" Id="rId80" Target="https://doi.org/10.3389/fpls.2022.846720" TargetMode="External" /><Relationship Type="http://schemas.openxmlformats.org/officeDocument/2006/relationships/hyperlink" Id="rId123" Target="https://doi.org/10.3390/agriculture11010079" TargetMode="External" /><Relationship Type="http://schemas.openxmlformats.org/officeDocument/2006/relationships/hyperlink" Id="rId144" Target="https://doi.org/10.3390/agriculture11030255" TargetMode="External" /></Relationships>
</file>

<file path=word/_rels/footnotes.xml.rels><?xml version="1.0" encoding="UTF-8"?><Relationships xmlns="http://schemas.openxmlformats.org/package/2006/relationships"><Relationship Type="http://schemas.openxmlformats.org/officeDocument/2006/relationships/hyperlink" Id="rId121" Target="https://doi.org/10.1007/BF00010183" TargetMode="External" /><Relationship Type="http://schemas.openxmlformats.org/officeDocument/2006/relationships/hyperlink" Id="rId95" Target="https://doi.org/10.1007/BF00010992" TargetMode="External" /><Relationship Type="http://schemas.openxmlformats.org/officeDocument/2006/relationships/hyperlink" Id="rId97" Target="https://doi.org/10.1007/BF02064439" TargetMode="External" /><Relationship Type="http://schemas.openxmlformats.org/officeDocument/2006/relationships/hyperlink" Id="rId137" Target="https://doi.org/10.1007/s11104-020-04768-x" TargetMode="External" /><Relationship Type="http://schemas.openxmlformats.org/officeDocument/2006/relationships/hyperlink" Id="rId113" Target="https://doi.org/10.1007/s11104-023-06316-9" TargetMode="External" /><Relationship Type="http://schemas.openxmlformats.org/officeDocument/2006/relationships/hyperlink" Id="rId140" Target="https://doi.org/10.1007/s13165-012-0028-5" TargetMode="External" /><Relationship Type="http://schemas.openxmlformats.org/officeDocument/2006/relationships/hyperlink" Id="rId72" Target="https://doi.org/10.1007/s13593-014-0277-7" TargetMode="External" /><Relationship Type="http://schemas.openxmlformats.org/officeDocument/2006/relationships/hyperlink" Id="rId129" Target="https://doi.org/10.1007/s13593-018-0541-3" TargetMode="External" /><Relationship Type="http://schemas.openxmlformats.org/officeDocument/2006/relationships/hyperlink" Id="rId148" Target="https://doi.org/10.1007/s13593-023-00934-4" TargetMode="External" /><Relationship Type="http://schemas.openxmlformats.org/officeDocument/2006/relationships/hyperlink" Id="rId75" Target="https://doi.org/10.1007/s13593-024-00968-2" TargetMode="External" /><Relationship Type="http://schemas.openxmlformats.org/officeDocument/2006/relationships/hyperlink" Id="rId78" Target="https://doi.org/10.1016/0038-0717(93)90163-6" TargetMode="External" /><Relationship Type="http://schemas.openxmlformats.org/officeDocument/2006/relationships/hyperlink" Id="rId142" Target="https://doi.org/10.1016/0378-4290(93)90145-D" TargetMode="External" /><Relationship Type="http://schemas.openxmlformats.org/officeDocument/2006/relationships/hyperlink" Id="rId101" Target="https://doi.org/10.1016/B978-0-323-85797-0.00005-7" TargetMode="External" /><Relationship Type="http://schemas.openxmlformats.org/officeDocument/2006/relationships/hyperlink" Id="rId125" Target="https://doi.org/10.1016/B978-0-323-85797-0.00030-6" TargetMode="External" /><Relationship Type="http://schemas.openxmlformats.org/officeDocument/2006/relationships/hyperlink" Id="rId109" Target="https://doi.org/10.1016/S0065-2113(08)60284-9" TargetMode="External" /><Relationship Type="http://schemas.openxmlformats.org/officeDocument/2006/relationships/hyperlink" Id="rId89" Target="https://doi.org/10.1016/S0378-4290(01)00126-5" TargetMode="External" /><Relationship Type="http://schemas.openxmlformats.org/officeDocument/2006/relationships/hyperlink" Id="rId91" Target="https://doi.org/10.1016/S0378-4290(01)00176-9" TargetMode="External" /><Relationship Type="http://schemas.openxmlformats.org/officeDocument/2006/relationships/hyperlink" Id="rId127" Target="https://doi.org/10.1016/j.eja.2017.09.009" TargetMode="External" /><Relationship Type="http://schemas.openxmlformats.org/officeDocument/2006/relationships/hyperlink" Id="rId105" Target="https://doi.org/10.1016/j.eja.2019.125987" TargetMode="External" /><Relationship Type="http://schemas.openxmlformats.org/officeDocument/2006/relationships/hyperlink" Id="rId131" Target="https://doi.org/10.1016/j.eja.2020.126077" TargetMode="External" /><Relationship Type="http://schemas.openxmlformats.org/officeDocument/2006/relationships/hyperlink" Id="rId107" Target="https://doi.org/10.1016/j.fcr.2023.109174" TargetMode="External" /><Relationship Type="http://schemas.openxmlformats.org/officeDocument/2006/relationships/hyperlink" Id="rId133" Target="https://doi.org/10.1016/j.fcr.2025.110291" TargetMode="External" /><Relationship Type="http://schemas.openxmlformats.org/officeDocument/2006/relationships/hyperlink" Id="rId111" Target="https://doi.org/10.1017/S0014479700010978" TargetMode="External" /><Relationship Type="http://schemas.openxmlformats.org/officeDocument/2006/relationships/hyperlink" Id="rId70" Target="https://doi.org/10.1017/S0021859621000071" TargetMode="External" /><Relationship Type="http://schemas.openxmlformats.org/officeDocument/2006/relationships/hyperlink" Id="rId86" Target="https://doi.org/10.1071/AR9630742" TargetMode="External" /><Relationship Type="http://schemas.openxmlformats.org/officeDocument/2006/relationships/hyperlink" Id="rId93" Target="https://doi.org/10.1093/af/vfaa040" TargetMode="External" /><Relationship Type="http://schemas.openxmlformats.org/officeDocument/2006/relationships/hyperlink" Id="rId135" Target="https://doi.org/10.1590/1807-1929/agriambi.v20n12p1095-1100" TargetMode="External" /><Relationship Type="http://schemas.openxmlformats.org/officeDocument/2006/relationships/hyperlink" Id="rId68" Target="https://doi.org/10.18637/jss.v067.i01" TargetMode="External" /><Relationship Type="http://schemas.openxmlformats.org/officeDocument/2006/relationships/hyperlink" Id="rId99" Target="https://doi.org/10.18637/jss.v075.i06" TargetMode="External" /><Relationship Type="http://schemas.openxmlformats.org/officeDocument/2006/relationships/hyperlink" Id="rId103" Target="https://doi.org/10.18637/jss.v082.i13" TargetMode="External" /><Relationship Type="http://schemas.openxmlformats.org/officeDocument/2006/relationships/hyperlink" Id="rId146" Target="https://doi.org/10.2134/agronj1988.00021962008000030002x" TargetMode="External" /><Relationship Type="http://schemas.openxmlformats.org/officeDocument/2006/relationships/hyperlink" Id="rId119" Target="https://doi.org/10.2134/agronj2019.03.0221" TargetMode="External" /><Relationship Type="http://schemas.openxmlformats.org/officeDocument/2006/relationships/hyperlink" Id="rId82" Target="https://doi.org/10.2135/cropsci1966.0011183X000600010011x" TargetMode="External" /><Relationship Type="http://schemas.openxmlformats.org/officeDocument/2006/relationships/hyperlink" Id="rId117" Target="https://doi.org/10.32614/CRAN.package.metan" TargetMode="External" /><Relationship Type="http://schemas.openxmlformats.org/officeDocument/2006/relationships/hyperlink" Id="rId115" Target="https://doi.org/10.32614/CRAN.package.vegan" TargetMode="External" /><Relationship Type="http://schemas.openxmlformats.org/officeDocument/2006/relationships/hyperlink" Id="rId84" Target="https://doi.org/10.3389/fpls.2021.668803" TargetMode="External" /><Relationship Type="http://schemas.openxmlformats.org/officeDocument/2006/relationships/hyperlink" Id="rId80" Target="https://doi.org/10.3389/fpls.2022.846720" TargetMode="External" /><Relationship Type="http://schemas.openxmlformats.org/officeDocument/2006/relationships/hyperlink" Id="rId123" Target="https://doi.org/10.3390/agriculture11010079" TargetMode="External" /><Relationship Type="http://schemas.openxmlformats.org/officeDocument/2006/relationships/hyperlink" Id="rId144" Target="https://doi.org/10.3390/agriculture110302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Mixed cropping of narrow‑leaved lupin with oat enhances grain‑yield stability across five European locations</dc:title>
  <dc:creator/>
  <dc:language>en-GB</dc:language>
  <cp:keywords/>
  <dcterms:created xsi:type="dcterms:W3CDTF">2026-03-20T17:18:11Z</dcterms:created>
  <dcterms:modified xsi:type="dcterms:W3CDTF">2026-03-20T17:18:11Z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lear-hidden-classes">
    <vt:lpwstr>none</vt:lpwstr>
  </property>
  <property fmtid="{D5CDD505-2E9C-101B-9397-08002B2CF9AE}" pid="5" name="csl">
    <vt:lpwstr>elsevier-harvard.csl</vt:lpwstr>
  </property>
  <property fmtid="{D5CDD505-2E9C-101B-9397-08002B2CF9AE}" pid="6" name="date">
    <vt:lpwstr>2026-03-20, 18:18</vt:lpwstr>
  </property>
  <property fmtid="{D5CDD505-2E9C-101B-9397-08002B2CF9AE}" pid="7" name="date-format">
    <vt:lpwstr>YYYY-MM-DD, HH:mm</vt:lpwstr>
  </property>
  <property fmtid="{D5CDD505-2E9C-101B-9397-08002B2CF9AE}" pid="8" name="google-scholar">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ghtbox">
    <vt:lpwstr>auto</vt:lpwstr>
  </property>
  <property fmtid="{D5CDD505-2E9C-101B-9397-08002B2CF9AE}" pid="14" name="manuscript">
    <vt:lpwstr/>
  </property>
  <property fmtid="{D5CDD505-2E9C-101B-9397-08002B2CF9AE}" pid="15" name="notebook-preview-options">
    <vt:lpwstr/>
  </property>
  <property fmtid="{D5CDD505-2E9C-101B-9397-08002B2CF9AE}" pid="16" name="page-navigation">
    <vt:lpwstr>True</vt:lpwstr>
  </property>
  <property fmtid="{D5CDD505-2E9C-101B-9397-08002B2CF9AE}" pid="17" name="quarto-internal">
    <vt:lpwstr/>
  </property>
  <property fmtid="{D5CDD505-2E9C-101B-9397-08002B2CF9AE}" pid="18" name="remove-hidden">
    <vt:lpwstr>all</vt:lpwstr>
  </property>
  <property fmtid="{D5CDD505-2E9C-101B-9397-08002B2CF9AE}" pid="19" name="template-partials">
    <vt:lpwstr/>
  </property>
  <property fmtid="{D5CDD505-2E9C-101B-9397-08002B2CF9AE}" pid="20" name="theme">
    <vt:lpwstr>cosmo</vt:lpwstr>
  </property>
  <property fmtid="{D5CDD505-2E9C-101B-9397-08002B2CF9AE}" pid="21" name="title-block-style">
    <vt:lpwstr>manuscript</vt:lpwstr>
  </property>
  <property fmtid="{D5CDD505-2E9C-101B-9397-08002B2CF9AE}" pid="22" name="toc-title">
    <vt:lpwstr>Table of contents</vt:lpwstr>
  </property>
  <property fmtid="{D5CDD505-2E9C-101B-9397-08002B2CF9AE}" pid="23" name="unroll-markdown-cells">
    <vt:lpwstr>True</vt:lpwstr>
  </property>
</Properties>
</file>