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9E88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1280"/>
        <w:jc w:val="both"/>
        <w:rPr>
          <w:rFonts w:hint="eastAsia" w:ascii="仿宋" w:hAnsi="仿宋" w:eastAsia="仿宋" w:cs="Times New Roman"/>
          <w:b w:val="0"/>
          <w:bCs w:val="0"/>
          <w:kern w:val="2"/>
          <w:sz w:val="28"/>
          <w:szCs w:val="28"/>
        </w:rPr>
      </w:pPr>
      <w:bookmarkStart w:id="0" w:name="_GoBack"/>
      <w:bookmarkEnd w:id="0"/>
      <w:r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"/>
        </w:rPr>
        <w:t>附件3：</w:t>
      </w:r>
    </w:p>
    <w:p w14:paraId="44977EC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1280" w:firstLine="643" w:firstLineChars="200"/>
        <w:jc w:val="both"/>
        <w:rPr>
          <w:rFonts w:hint="eastAsia" w:ascii="仿宋" w:hAnsi="仿宋" w:eastAsia="仿宋" w:cs="Times New Roman"/>
          <w:b/>
          <w:bCs/>
          <w:kern w:val="2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 w:bidi="ar"/>
        </w:rPr>
        <w:t>课程思政暨习近平文化思想“三进”示范课堂比赛</w:t>
      </w:r>
    </w:p>
    <w:p w14:paraId="1F747F7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1280"/>
        <w:jc w:val="center"/>
        <w:rPr>
          <w:rFonts w:hint="eastAsia" w:ascii="仿宋" w:hAnsi="仿宋" w:eastAsia="仿宋" w:cs="Times New Roman"/>
          <w:b/>
          <w:bCs/>
          <w:kern w:val="2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 w:bidi="ar"/>
        </w:rPr>
        <w:t>评分表</w:t>
      </w:r>
    </w:p>
    <w:p w14:paraId="237DC6EB">
      <w:pPr>
        <w:pStyle w:val="2"/>
        <w:widowControl/>
        <w:ind w:firstLine="840" w:firstLineChars="300"/>
        <w:rPr>
          <w:rFonts w:hint="eastAsia" w:eastAsia="仿宋" w:cs="Times New Roman"/>
          <w:b w:val="0"/>
          <w:bCs w:val="0"/>
          <w:kern w:val="1"/>
          <w:sz w:val="28"/>
          <w:szCs w:val="28"/>
          <w:u w:val="singl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kern w:val="1"/>
          <w:sz w:val="28"/>
          <w:szCs w:val="28"/>
          <w:lang w:val="en-US" w:eastAsia="zh-CN"/>
        </w:rPr>
        <w:t>比赛组别</w:t>
      </w:r>
      <w:r>
        <w:rPr>
          <w:rFonts w:hint="eastAsia" w:ascii="仿宋" w:hAnsi="仿宋" w:eastAsia="仿宋" w:cs="仿宋"/>
          <w:b w:val="0"/>
          <w:bCs w:val="0"/>
          <w:kern w:val="1"/>
          <w:sz w:val="28"/>
          <w:szCs w:val="28"/>
        </w:rPr>
        <w:t>：</w:t>
      </w:r>
      <w:r>
        <w:rPr>
          <w:rFonts w:hint="eastAsia" w:ascii="Cambria" w:hAnsi="Cambria" w:eastAsia="仿宋" w:cs="Times New Roman"/>
          <w:b w:val="0"/>
          <w:bCs w:val="0"/>
          <w:kern w:val="1"/>
          <w:sz w:val="28"/>
          <w:szCs w:val="28"/>
          <w:u w:val="single"/>
        </w:rPr>
        <w:t xml:space="preserve">       </w:t>
      </w:r>
      <w:r>
        <w:rPr>
          <w:rFonts w:hint="eastAsia" w:eastAsia="仿宋" w:cs="Times New Roman"/>
          <w:b w:val="0"/>
          <w:bCs w:val="0"/>
          <w:kern w:val="1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eastAsia="仿宋" w:cs="Times New Roman"/>
          <w:b w:val="0"/>
          <w:bCs w:val="0"/>
          <w:kern w:val="1"/>
          <w:sz w:val="28"/>
          <w:szCs w:val="28"/>
          <w:u w:val="none"/>
          <w:lang w:val="en-US" w:eastAsia="zh-CN"/>
        </w:rPr>
        <w:t xml:space="preserve">        比赛序号：</w:t>
      </w:r>
      <w:r>
        <w:rPr>
          <w:rFonts w:hint="eastAsia" w:eastAsia="仿宋" w:cs="Times New Roman"/>
          <w:b w:val="0"/>
          <w:bCs w:val="0"/>
          <w:kern w:val="1"/>
          <w:sz w:val="28"/>
          <w:szCs w:val="28"/>
          <w:u w:val="single"/>
          <w:lang w:val="en-US" w:eastAsia="zh-CN"/>
        </w:rPr>
        <w:t xml:space="preserve">          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1383"/>
        <w:gridCol w:w="4400"/>
        <w:gridCol w:w="684"/>
        <w:gridCol w:w="783"/>
      </w:tblGrid>
      <w:tr w14:paraId="02630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60" w:type="dxa"/>
            <w:shd w:val="clear" w:color="auto" w:fill="F2F2F2"/>
            <w:vAlign w:val="center"/>
          </w:tcPr>
          <w:p w14:paraId="6711D7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评价维度</w:t>
            </w:r>
          </w:p>
        </w:tc>
        <w:tc>
          <w:tcPr>
            <w:tcW w:w="1383" w:type="dxa"/>
            <w:shd w:val="clear" w:color="auto" w:fill="F2F2F2"/>
            <w:vAlign w:val="center"/>
          </w:tcPr>
          <w:p w14:paraId="6E59EA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评价指标</w:t>
            </w:r>
          </w:p>
        </w:tc>
        <w:tc>
          <w:tcPr>
            <w:tcW w:w="4400" w:type="dxa"/>
            <w:shd w:val="clear" w:color="auto" w:fill="F2F2F2"/>
          </w:tcPr>
          <w:p w14:paraId="201A71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评价要点</w:t>
            </w:r>
          </w:p>
        </w:tc>
        <w:tc>
          <w:tcPr>
            <w:tcW w:w="684" w:type="dxa"/>
            <w:shd w:val="clear" w:color="auto" w:fill="F2F2F2"/>
            <w:vAlign w:val="center"/>
          </w:tcPr>
          <w:p w14:paraId="354D9E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分值</w:t>
            </w:r>
          </w:p>
        </w:tc>
        <w:tc>
          <w:tcPr>
            <w:tcW w:w="783" w:type="dxa"/>
            <w:shd w:val="clear" w:color="auto" w:fill="F2F2F2"/>
          </w:tcPr>
          <w:p w14:paraId="1A2F7D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得分</w:t>
            </w:r>
          </w:p>
        </w:tc>
      </w:tr>
      <w:tr w14:paraId="1FBC2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60" w:type="dxa"/>
            <w:vMerge w:val="restart"/>
            <w:vAlign w:val="center"/>
          </w:tcPr>
          <w:p w14:paraId="400B08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DF84C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AF42E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45485C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线上评审：案例整体设计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（20分）</w:t>
            </w:r>
          </w:p>
        </w:tc>
        <w:tc>
          <w:tcPr>
            <w:tcW w:w="1383" w:type="dxa"/>
            <w:vAlign w:val="center"/>
          </w:tcPr>
          <w:p w14:paraId="71A746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F4ACE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44316C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1.课程思政与文化思想育人目标</w:t>
            </w:r>
          </w:p>
        </w:tc>
        <w:tc>
          <w:tcPr>
            <w:tcW w:w="4400" w:type="dxa"/>
          </w:tcPr>
          <w:p w14:paraId="2C5283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1.目标准确，把握课程思政建设与习近平文化思想</w:t>
            </w:r>
            <w:r>
              <w:rPr>
                <w:rFonts w:hint="eastAsia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三进</w:t>
            </w:r>
            <w:r>
              <w:rPr>
                <w:rFonts w:hint="eastAsia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要求，体现文旅融合人才素养要求。</w:t>
            </w:r>
          </w:p>
          <w:p w14:paraId="3EFBE0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2.对学生思想政治素质、审美素养</w:t>
            </w:r>
            <w:r>
              <w:rPr>
                <w:rFonts w:hint="eastAsia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数字素养</w:t>
            </w:r>
            <w:r>
              <w:rPr>
                <w:rFonts w:hint="eastAsia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专业能力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的描述具体、清晰。</w:t>
            </w:r>
          </w:p>
          <w:p w14:paraId="48333B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3.字数在500字以内，逻辑连贯。</w:t>
            </w:r>
          </w:p>
        </w:tc>
        <w:tc>
          <w:tcPr>
            <w:tcW w:w="684" w:type="dxa"/>
            <w:vAlign w:val="center"/>
          </w:tcPr>
          <w:p w14:paraId="606B80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7AB58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783" w:type="dxa"/>
          </w:tcPr>
          <w:p w14:paraId="496C46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9BE1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60" w:type="dxa"/>
            <w:vMerge w:val="continue"/>
            <w:vAlign w:val="center"/>
          </w:tcPr>
          <w:p w14:paraId="17EE60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3" w:type="dxa"/>
            <w:vAlign w:val="center"/>
          </w:tcPr>
          <w:p w14:paraId="4E7C42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.案例综述与设计实施</w:t>
            </w:r>
          </w:p>
        </w:tc>
        <w:tc>
          <w:tcPr>
            <w:tcW w:w="4400" w:type="dxa"/>
          </w:tcPr>
          <w:p w14:paraId="006416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.案例综述清晰概括课程核心内容。</w:t>
            </w:r>
          </w:p>
          <w:p w14:paraId="259693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.理念与思路体现课程思政、习近平文化思想进课堂与专业教学的深度融合。</w:t>
            </w:r>
          </w:p>
          <w:p w14:paraId="5724C5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.设计与实施过程具有可操作性和创新性。</w:t>
            </w:r>
          </w:p>
          <w:p w14:paraId="5CD37B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7.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内容在1000字以内，结构完整。</w:t>
            </w:r>
          </w:p>
        </w:tc>
        <w:tc>
          <w:tcPr>
            <w:tcW w:w="684" w:type="dxa"/>
            <w:vAlign w:val="center"/>
          </w:tcPr>
          <w:p w14:paraId="551744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64C54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83" w:type="dxa"/>
          </w:tcPr>
          <w:p w14:paraId="73D9BF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18E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60" w:type="dxa"/>
            <w:vMerge w:val="continue"/>
            <w:vAlign w:val="center"/>
          </w:tcPr>
          <w:p w14:paraId="762A1B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3" w:type="dxa"/>
            <w:vAlign w:val="center"/>
          </w:tcPr>
          <w:p w14:paraId="746911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.案例特色与创新</w:t>
            </w:r>
          </w:p>
        </w:tc>
        <w:tc>
          <w:tcPr>
            <w:tcW w:w="4400" w:type="dxa"/>
          </w:tcPr>
          <w:p w14:paraId="502187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8.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提炼出明确的特色亮点，体现文旅融合、红色基因、文化</w:t>
            </w:r>
            <w:r>
              <w:rPr>
                <w:rFonts w:hint="eastAsia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两创</w:t>
            </w:r>
            <w:r>
              <w:rPr>
                <w:rFonts w:hint="eastAsia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、美育渗透等元素。12. 创新点具有实践价值和推广意义。</w:t>
            </w:r>
          </w:p>
          <w:p w14:paraId="2B8DD8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9.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内容在500字以内，表述简洁到位。</w:t>
            </w:r>
          </w:p>
        </w:tc>
        <w:tc>
          <w:tcPr>
            <w:tcW w:w="684" w:type="dxa"/>
            <w:vAlign w:val="center"/>
          </w:tcPr>
          <w:p w14:paraId="347AA1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96CC9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783" w:type="dxa"/>
          </w:tcPr>
          <w:p w14:paraId="5F678B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1ED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60" w:type="dxa"/>
            <w:vMerge w:val="continue"/>
            <w:vAlign w:val="center"/>
          </w:tcPr>
          <w:p w14:paraId="6288F7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3" w:type="dxa"/>
            <w:vAlign w:val="center"/>
          </w:tcPr>
          <w:p w14:paraId="0D28EC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.材料规范性与完整性</w:t>
            </w:r>
          </w:p>
        </w:tc>
        <w:tc>
          <w:tcPr>
            <w:tcW w:w="4400" w:type="dxa"/>
          </w:tcPr>
          <w:p w14:paraId="004A5E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10.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申报表各项信息填写完整</w:t>
            </w:r>
            <w:r>
              <w:rPr>
                <w:rFonts w:hint="eastAsia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76B37E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11.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教材信息、学分学时等细节准确，格式符合要求。</w:t>
            </w:r>
          </w:p>
        </w:tc>
        <w:tc>
          <w:tcPr>
            <w:tcW w:w="684" w:type="dxa"/>
            <w:vAlign w:val="center"/>
          </w:tcPr>
          <w:p w14:paraId="230426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783" w:type="dxa"/>
          </w:tcPr>
          <w:p w14:paraId="46D70D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7F91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60" w:type="dxa"/>
            <w:vMerge w:val="restart"/>
            <w:vAlign w:val="center"/>
          </w:tcPr>
          <w:p w14:paraId="03A4D8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线上评审：教案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（20分）</w:t>
            </w:r>
          </w:p>
        </w:tc>
        <w:tc>
          <w:tcPr>
            <w:tcW w:w="1383" w:type="dxa"/>
            <w:vAlign w:val="center"/>
          </w:tcPr>
          <w:p w14:paraId="4256A0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1.教学要素完整，版式规范</w:t>
            </w:r>
          </w:p>
        </w:tc>
        <w:tc>
          <w:tcPr>
            <w:tcW w:w="4400" w:type="dxa"/>
          </w:tcPr>
          <w:p w14:paraId="63BB6B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1.教案的任务目标、学时、授课时间明确合理，教学基本要素完整、简明，详略得当。</w:t>
            </w:r>
          </w:p>
        </w:tc>
        <w:tc>
          <w:tcPr>
            <w:tcW w:w="684" w:type="dxa"/>
            <w:vAlign w:val="center"/>
          </w:tcPr>
          <w:p w14:paraId="089225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83" w:type="dxa"/>
          </w:tcPr>
          <w:p w14:paraId="28DACD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CF60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60" w:type="dxa"/>
            <w:vMerge w:val="continue"/>
            <w:vAlign w:val="center"/>
          </w:tcPr>
          <w:p w14:paraId="6A0865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3" w:type="dxa"/>
            <w:vAlign w:val="center"/>
          </w:tcPr>
          <w:p w14:paraId="20114F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2.课程思政、文化思想系统设计</w:t>
            </w:r>
          </w:p>
        </w:tc>
        <w:tc>
          <w:tcPr>
            <w:tcW w:w="4400" w:type="dxa"/>
          </w:tcPr>
          <w:p w14:paraId="3EC3CF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2.落实课程思政与习近平文化思想，思政、文化元素需贯穿</w:t>
            </w:r>
            <w:r>
              <w:rPr>
                <w:rFonts w:hint="eastAsia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教学目标—内容—方法—评价</w:t>
            </w:r>
            <w:r>
              <w:rPr>
                <w:rFonts w:hint="eastAsia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全环节，培养学生的职业综合素养。</w:t>
            </w:r>
          </w:p>
          <w:p w14:paraId="40FFFF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3.美育元素有机融入，体现以美育人理念。</w:t>
            </w:r>
          </w:p>
        </w:tc>
        <w:tc>
          <w:tcPr>
            <w:tcW w:w="684" w:type="dxa"/>
            <w:vAlign w:val="center"/>
          </w:tcPr>
          <w:p w14:paraId="714B3D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783" w:type="dxa"/>
          </w:tcPr>
          <w:p w14:paraId="5FAEFD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9AB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60" w:type="dxa"/>
            <w:vMerge w:val="continue"/>
            <w:vAlign w:val="center"/>
          </w:tcPr>
          <w:p w14:paraId="53752C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3" w:type="dxa"/>
            <w:vAlign w:val="center"/>
          </w:tcPr>
          <w:p w14:paraId="782EE3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3.学情分析精准，教学目标可评可测</w:t>
            </w:r>
          </w:p>
        </w:tc>
        <w:tc>
          <w:tcPr>
            <w:tcW w:w="4400" w:type="dxa"/>
          </w:tcPr>
          <w:p w14:paraId="7BC80D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4.客观分析学生的知识和技能基础、认知和实践能力、学习特点等。</w:t>
            </w:r>
          </w:p>
          <w:p w14:paraId="12833A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5.教学目标具体清晰、相互关联、逐渐递进、重点突出、可评可测。</w:t>
            </w:r>
          </w:p>
        </w:tc>
        <w:tc>
          <w:tcPr>
            <w:tcW w:w="684" w:type="dxa"/>
            <w:vAlign w:val="center"/>
          </w:tcPr>
          <w:p w14:paraId="76A57A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83" w:type="dxa"/>
          </w:tcPr>
          <w:p w14:paraId="17C53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8C9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60" w:type="dxa"/>
            <w:vMerge w:val="continue"/>
            <w:vAlign w:val="center"/>
          </w:tcPr>
          <w:p w14:paraId="5B357B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3" w:type="dxa"/>
            <w:vAlign w:val="center"/>
          </w:tcPr>
          <w:p w14:paraId="22D1C5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4.教学内容科学，教学策略恰当</w:t>
            </w:r>
          </w:p>
        </w:tc>
        <w:tc>
          <w:tcPr>
            <w:tcW w:w="4400" w:type="dxa"/>
          </w:tcPr>
          <w:p w14:paraId="68D935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6.教学内容对接新方法、新技术、新工艺、新标准，体现文旅行业发展新趋势，有效支撑教学目标实现。</w:t>
            </w:r>
          </w:p>
          <w:p w14:paraId="402B2D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7.教学设计科学合理，教学过程系统优化，突出项目式、任务式、案例式、情境化</w:t>
            </w:r>
            <w:r>
              <w:rPr>
                <w:rFonts w:hint="eastAsia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等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教学方式。</w:t>
            </w:r>
          </w:p>
        </w:tc>
        <w:tc>
          <w:tcPr>
            <w:tcW w:w="684" w:type="dxa"/>
            <w:vAlign w:val="center"/>
          </w:tcPr>
          <w:p w14:paraId="008160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83" w:type="dxa"/>
          </w:tcPr>
          <w:p w14:paraId="71EC0A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6E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60" w:type="dxa"/>
            <w:vMerge w:val="continue"/>
            <w:vAlign w:val="center"/>
          </w:tcPr>
          <w:p w14:paraId="6FC123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3" w:type="dxa"/>
            <w:vAlign w:val="center"/>
          </w:tcPr>
          <w:p w14:paraId="2BA919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5.教学评价科学，课后反思深刻</w:t>
            </w:r>
          </w:p>
        </w:tc>
        <w:tc>
          <w:tcPr>
            <w:tcW w:w="4400" w:type="dxa"/>
          </w:tcPr>
          <w:p w14:paraId="6B815B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8.针对目标要求开展教学与实践的考核与评价，应与前序的学情分析和后续的学习成效紧密关联。9. 教案的课后反思聚焦本次教学的授课实效、改革创新进行总结，针对不足的改进措施科学有效。</w:t>
            </w:r>
          </w:p>
        </w:tc>
        <w:tc>
          <w:tcPr>
            <w:tcW w:w="684" w:type="dxa"/>
            <w:vAlign w:val="center"/>
          </w:tcPr>
          <w:p w14:paraId="4B018C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6BC755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83" w:type="dxa"/>
          </w:tcPr>
          <w:p w14:paraId="26BBA1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152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60" w:type="dxa"/>
            <w:vMerge w:val="restart"/>
            <w:vAlign w:val="center"/>
          </w:tcPr>
          <w:p w14:paraId="2D6945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现场教学展示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（60分）</w:t>
            </w:r>
          </w:p>
        </w:tc>
        <w:tc>
          <w:tcPr>
            <w:tcW w:w="1383" w:type="dxa"/>
            <w:vAlign w:val="center"/>
          </w:tcPr>
          <w:p w14:paraId="37A7DF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25355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1.坚持立德树人，体现德技并修</w:t>
            </w:r>
          </w:p>
        </w:tc>
        <w:tc>
          <w:tcPr>
            <w:tcW w:w="4400" w:type="dxa"/>
          </w:tcPr>
          <w:p w14:paraId="13AC76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1.落实立德树人，结合课程特点挖掘思政元素，讲课过程中能结合专业特色，融入习近平文化思想，达到润物无声的育人效果。</w:t>
            </w:r>
          </w:p>
        </w:tc>
        <w:tc>
          <w:tcPr>
            <w:tcW w:w="684" w:type="dxa"/>
            <w:vAlign w:val="center"/>
          </w:tcPr>
          <w:p w14:paraId="01B377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83" w:type="dxa"/>
          </w:tcPr>
          <w:p w14:paraId="725BF3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22E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60" w:type="dxa"/>
            <w:vMerge w:val="continue"/>
            <w:vAlign w:val="center"/>
          </w:tcPr>
          <w:p w14:paraId="30E95E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3" w:type="dxa"/>
            <w:vAlign w:val="center"/>
          </w:tcPr>
          <w:p w14:paraId="31517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2.凸显职业教育类型特色</w:t>
            </w:r>
          </w:p>
        </w:tc>
        <w:tc>
          <w:tcPr>
            <w:tcW w:w="4400" w:type="dxa"/>
          </w:tcPr>
          <w:p w14:paraId="7420B8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2.依据教案开展教学，教学任务完整。</w:t>
            </w:r>
          </w:p>
          <w:p w14:paraId="44C60B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3.教学内容清晰准确，教学活动安排合理，教学过程突出学生中心，遵循学生认知规律，凸显职业教育类型特色。</w:t>
            </w:r>
          </w:p>
        </w:tc>
        <w:tc>
          <w:tcPr>
            <w:tcW w:w="684" w:type="dxa"/>
            <w:vAlign w:val="center"/>
          </w:tcPr>
          <w:p w14:paraId="4C4484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83" w:type="dxa"/>
          </w:tcPr>
          <w:p w14:paraId="7CD9A3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D21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60" w:type="dxa"/>
            <w:vMerge w:val="continue"/>
            <w:vAlign w:val="center"/>
          </w:tcPr>
          <w:p w14:paraId="4D2B8A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3" w:type="dxa"/>
            <w:vAlign w:val="center"/>
          </w:tcPr>
          <w:p w14:paraId="122F1F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3.渗透美育教育，提升审美素养</w:t>
            </w:r>
          </w:p>
        </w:tc>
        <w:tc>
          <w:tcPr>
            <w:tcW w:w="4400" w:type="dxa"/>
          </w:tcPr>
          <w:p w14:paraId="758EBE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4.将美育元素有机融入专业教学，引导学生发现美、欣赏美、创造美。</w:t>
            </w:r>
          </w:p>
          <w:p w14:paraId="3A0517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5. 结合专业特点，在教学中渗透美学教育，培养学生健康的审美情趣和艺术修养。</w:t>
            </w:r>
          </w:p>
        </w:tc>
        <w:tc>
          <w:tcPr>
            <w:tcW w:w="684" w:type="dxa"/>
            <w:vAlign w:val="center"/>
          </w:tcPr>
          <w:p w14:paraId="142CBC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783" w:type="dxa"/>
          </w:tcPr>
          <w:p w14:paraId="26D196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DF20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60" w:type="dxa"/>
            <w:vMerge w:val="continue"/>
            <w:vAlign w:val="center"/>
          </w:tcPr>
          <w:p w14:paraId="4A7DAA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3" w:type="dxa"/>
            <w:vAlign w:val="center"/>
          </w:tcPr>
          <w:p w14:paraId="1559BC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4.课堂教学质量高、效果好</w:t>
            </w:r>
          </w:p>
        </w:tc>
        <w:tc>
          <w:tcPr>
            <w:tcW w:w="4400" w:type="dxa"/>
          </w:tcPr>
          <w:p w14:paraId="07E458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6.课堂教学活动设计合理、逻辑清晰，重难点突出，课堂气氛活跃、学生积极参与。</w:t>
            </w:r>
          </w:p>
          <w:p w14:paraId="7D3D2D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7.教师能说会做善导，学生乐学、学会，有效达成教学目标。</w:t>
            </w:r>
          </w:p>
          <w:p w14:paraId="2BE96A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8.教学展示呈现真实教学，师生服装符合日常教学状态。</w:t>
            </w:r>
          </w:p>
        </w:tc>
        <w:tc>
          <w:tcPr>
            <w:tcW w:w="684" w:type="dxa"/>
            <w:vAlign w:val="center"/>
          </w:tcPr>
          <w:p w14:paraId="38693F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83" w:type="dxa"/>
          </w:tcPr>
          <w:p w14:paraId="50FF4D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346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60" w:type="dxa"/>
            <w:vMerge w:val="continue"/>
            <w:vAlign w:val="center"/>
          </w:tcPr>
          <w:p w14:paraId="3FA5D1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3" w:type="dxa"/>
            <w:vAlign w:val="center"/>
          </w:tcPr>
          <w:p w14:paraId="5EA948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5.人工智能技术运用恰当</w:t>
            </w:r>
          </w:p>
        </w:tc>
        <w:tc>
          <w:tcPr>
            <w:tcW w:w="4400" w:type="dxa"/>
          </w:tcPr>
          <w:p w14:paraId="47E521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9.应用人工智能等数智化教学手段，技术方法与课程内容、思政元素、美育元素自然融合。10.体现思想性、科学性、先进性、适用性、规范性要求，驱动学生高阶能力培养，形成人机协同教学新范式。</w:t>
            </w:r>
          </w:p>
        </w:tc>
        <w:tc>
          <w:tcPr>
            <w:tcW w:w="684" w:type="dxa"/>
            <w:vAlign w:val="center"/>
          </w:tcPr>
          <w:p w14:paraId="4E992B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783" w:type="dxa"/>
          </w:tcPr>
          <w:p w14:paraId="1332A3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B4D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60" w:type="dxa"/>
            <w:vMerge w:val="continue"/>
            <w:vAlign w:val="center"/>
          </w:tcPr>
          <w:p w14:paraId="0A0A5F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3" w:type="dxa"/>
            <w:vAlign w:val="center"/>
          </w:tcPr>
          <w:p w14:paraId="64AC23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6.展示教师良好综合素养</w:t>
            </w:r>
          </w:p>
        </w:tc>
        <w:tc>
          <w:tcPr>
            <w:tcW w:w="4400" w:type="dxa"/>
          </w:tcPr>
          <w:p w14:paraId="48D51C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11.教师课堂教学素养水平高，态度认真、严谨规范、教态自然、表述清晰、亲和力强、富有特色。</w:t>
            </w:r>
          </w:p>
          <w:p w14:paraId="459E1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12.实训教学讲解和操作配合恰当，规范娴熟、示范有效，符合职业岗位要求，展现良好</w:t>
            </w:r>
            <w:r>
              <w:rPr>
                <w:rFonts w:hint="eastAsia" w:ascii="宋体" w:hAnsi="宋体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双师</w:t>
            </w:r>
            <w:r>
              <w:rPr>
                <w:rFonts w:hint="eastAsia" w:ascii="宋体" w:hAnsi="宋体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素养。</w:t>
            </w:r>
          </w:p>
        </w:tc>
        <w:tc>
          <w:tcPr>
            <w:tcW w:w="684" w:type="dxa"/>
            <w:vAlign w:val="center"/>
          </w:tcPr>
          <w:p w14:paraId="3AD5E4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783" w:type="dxa"/>
          </w:tcPr>
          <w:p w14:paraId="63FDBF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725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6843" w:type="dxa"/>
            <w:gridSpan w:val="3"/>
            <w:vAlign w:val="center"/>
          </w:tcPr>
          <w:p w14:paraId="3B7F30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总分</w:t>
            </w:r>
          </w:p>
        </w:tc>
        <w:tc>
          <w:tcPr>
            <w:tcW w:w="684" w:type="dxa"/>
            <w:vAlign w:val="center"/>
          </w:tcPr>
          <w:p w14:paraId="736BE5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783" w:type="dxa"/>
          </w:tcPr>
          <w:p w14:paraId="6FB99E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58DA3B0"/>
    <w:sectPr>
      <w:headerReference r:id="rId3" w:type="default"/>
      <w:footerReference r:id="rId4" w:type="default"/>
      <w:pgSz w:w="11906" w:h="16838"/>
      <w:pgMar w:top="2098" w:right="1474" w:bottom="1984" w:left="158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1" w:fontKey="{35931DFD-1E2B-4EEE-B420-B5336767A058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80D3C0E5-87DD-47D8-B418-3AC73B618369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5D2AF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7A6E12">
                          <w:pPr>
                            <w:pStyle w:val="4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/>
                              <w:sz w:val="28"/>
                              <w:szCs w:val="28"/>
                              <w:lang w:val="en-US" w:eastAsia="zh-CN"/>
                            </w:rPr>
                            <w:t>-</w:t>
                          </w:r>
                          <w:r>
                            <w:rPr>
                              <w:rFonts w:ascii="宋体" w:hAnsi="宋体" w:cs="宋体"/>
                              <w:sz w:val="28"/>
                              <w:szCs w:val="28"/>
                            </w:rPr>
                            <w:t xml:space="preserve"> 7 -</w: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LNJWO7QAAAABQEAAA8AAAAAAAAAAQAgAAAAIgAA&#10;AGRycy9kb3ducmV2LnhtbFBLAQIUABQAAAAIAIdO4kABX/Gy1wEAALADAAAOAAAAAAAAAAEAIAAA&#10;AB8BAABkcnMvZTJvRG9jLnhtbFBLBQYAAAAABgAGAFkBAABo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7A6E12">
                    <w:pPr>
                      <w:pStyle w:val="4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cs="宋体"/>
                        <w:sz w:val="28"/>
                        <w:szCs w:val="28"/>
                        <w:lang w:val="en-US" w:eastAsia="zh-CN"/>
                      </w:rPr>
                      <w:t>-</w:t>
                    </w:r>
                    <w:r>
                      <w:rPr>
                        <w:rFonts w:ascii="宋体" w:hAnsi="宋体" w:cs="宋体"/>
                        <w:sz w:val="28"/>
                        <w:szCs w:val="28"/>
                      </w:rPr>
                      <w:t xml:space="preserve"> 7 -</w: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0B1FA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C559EA"/>
    <w:rsid w:val="005C70D5"/>
    <w:rsid w:val="0AF261C0"/>
    <w:rsid w:val="1FFF70AE"/>
    <w:rsid w:val="20792E6A"/>
    <w:rsid w:val="33EF2124"/>
    <w:rsid w:val="376F58E4"/>
    <w:rsid w:val="3F5ECCAC"/>
    <w:rsid w:val="4FFF87CB"/>
    <w:rsid w:val="57F29DE6"/>
    <w:rsid w:val="5FF72EB6"/>
    <w:rsid w:val="6A28364C"/>
    <w:rsid w:val="6ED63BD5"/>
    <w:rsid w:val="6FBFFD8B"/>
    <w:rsid w:val="6FFD0BC5"/>
    <w:rsid w:val="76FF986F"/>
    <w:rsid w:val="7AFEB226"/>
    <w:rsid w:val="7E6D9D70"/>
    <w:rsid w:val="7EBD66A0"/>
    <w:rsid w:val="7EC559EA"/>
    <w:rsid w:val="7FAD3918"/>
    <w:rsid w:val="AFE8F16F"/>
    <w:rsid w:val="CFECCC77"/>
    <w:rsid w:val="DCE470EE"/>
    <w:rsid w:val="DDD75A96"/>
    <w:rsid w:val="E77E0881"/>
    <w:rsid w:val="EBC3D9E0"/>
    <w:rsid w:val="F34BA116"/>
    <w:rsid w:val="FAF77B53"/>
    <w:rsid w:val="FFBE441B"/>
    <w:rsid w:val="FFBEEF8E"/>
    <w:rsid w:val="FFDF0B65"/>
    <w:rsid w:val="FFF4D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pBdr>
        <w:top w:val="none" w:color="000000" w:sz="0" w:space="3"/>
        <w:left w:val="none" w:color="000000" w:sz="0" w:space="3"/>
        <w:bottom w:val="none" w:color="000000" w:sz="0" w:space="3"/>
        <w:right w:val="none" w:color="000000" w:sz="0" w:space="3"/>
        <w:between w:val="none" w:color="000000" w:sz="0" w:space="0"/>
      </w:pBdr>
      <w:spacing w:line="360" w:lineRule="auto"/>
      <w:outlineLvl w:val="1"/>
    </w:pPr>
    <w:rPr>
      <w:rFonts w:ascii="Cambria" w:hAnsi="Cambria" w:eastAsia="Cambria" w:cs="Times New Roman"/>
      <w:b/>
      <w:bCs/>
      <w:kern w:val="1"/>
      <w:sz w:val="28"/>
      <w:szCs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ascii="Calibri" w:hAnsi="Calibri" w:eastAsia="宋体" w:cs="Times New Roman"/>
      <w:kern w:val="0"/>
      <w:sz w:val="24"/>
      <w:szCs w:val="24"/>
    </w:rPr>
  </w:style>
  <w:style w:type="table" w:styleId="7">
    <w:name w:val="Table Grid"/>
    <w:basedOn w:val="6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table" w:customStyle="1" w:styleId="10">
    <w:name w:val="Table Normal"/>
    <w:basedOn w:val="6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2775</Words>
  <Characters>2887</Characters>
  <Lines>0</Lines>
  <Paragraphs>0</Paragraphs>
  <TotalTime>1</TotalTime>
  <ScaleCrop>false</ScaleCrop>
  <LinksUpToDate>false</LinksUpToDate>
  <CharactersWithSpaces>2987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2026-04-26T21:39:00Z</dcterms:created>
  <dc:creator>风华正茂</dc:creator>
  <cp:lastModifiedBy>小轩子</cp:lastModifiedBy>
  <dcterms:modified xsi:type="dcterms:W3CDTF">2026-06-09T13:56:41Z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D5FE92B8B6734A3382B4CE08DCCB1E5F_13</vt:lpwstr>
  </property>
  <property fmtid="{D5CDD505-2E9C-101B-9397-08002B2CF9AE}" pid="4" name="KSOTemplateDocerSaveRecord">
    <vt:lpwstr>eyJoZGlkIjoiY2JjOWQyNTlmNWFmY2JhZTBiYzIyMWIxMDRhMWM2MDQiLCJ1c2VySWQiOiIyNTY0NTkwNTYifQ==</vt:lpwstr>
  </property>
</Properties>
</file>