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0F2A4A"/>
          <w:sz w:val="56"/>
          <w:szCs w:val="56"/>
        </w:rPr>
        <w:t xml:space="preserve">BYM CONSTRUCTION</w:t>
      </w:r>
    </w:p>
    <w:p>
      <w:pPr>
        <w:spacing w:after="600" w:before="100"/>
        <w:jc w:val="center"/>
      </w:pPr>
      <w:r>
        <w:rPr>
          <w:rFonts w:ascii="Arial" w:cs="Arial" w:eastAsia="Arial" w:hAnsi="Arial"/>
          <w:color w:val="B8945A"/>
          <w:sz w:val="32"/>
          <w:szCs w:val="32"/>
        </w:rPr>
        <w:t xml:space="preserve">Business plan stratégique et financier</w:t>
      </w:r>
    </w:p>
    <w:p>
      <w:pPr>
        <w:spacing w:after="200" w:before="100"/>
        <w:jc w:val="center"/>
      </w:pPr>
      <w:r>
        <w:rPr>
          <w:rFonts w:ascii="Arial" w:cs="Arial" w:eastAsia="Arial" w:hAnsi="Arial"/>
          <w:b/>
          <w:bCs/>
          <w:sz w:val="28"/>
          <w:szCs w:val="28"/>
        </w:rPr>
        <w:t xml:space="preserve">Exercices 2026, 2027 et 2028</w:t>
      </w:r>
    </w:p>
    <w:p>
      <w:pPr>
        <w:spacing w:after="100" w:before="800"/>
        <w:jc w:val="center"/>
      </w:pPr>
      <w:r>
        <w:rPr>
          <w:rFonts w:ascii="Arial" w:cs="Arial" w:eastAsia="Arial" w:hAnsi="Arial"/>
          <w:i/>
          <w:iCs/>
          <w:sz w:val="20"/>
          <w:szCs w:val="20"/>
        </w:rPr>
        <w:t xml:space="preserve">Document confidentiel à usage interne</w:t>
      </w:r>
    </w:p>
    <w:p>
      <w:pPr>
        <w:spacing w:after="100" w:before="100"/>
        <w:jc w:val="center"/>
      </w:pPr>
      <w:r>
        <w:rPr>
          <w:rFonts w:ascii="Arial" w:cs="Arial" w:eastAsia="Arial" w:hAnsi="Arial"/>
          <w:sz w:val="20"/>
          <w:szCs w:val="20"/>
        </w:rPr>
        <w:t xml:space="preserve">Yannis Benbaouali (IRIS H), Vilmar Filho (GARV HOLDING), Junior Bageti (BAGUETI JR H)</w:t>
      </w:r>
    </w:p>
    <w:p>
      <w:pPr>
        <w:spacing w:after="100" w:before="100"/>
        <w:jc w:val="center"/>
      </w:pPr>
      <w:r>
        <w:rPr>
          <w:rFonts w:ascii="Arial" w:cs="Arial" w:eastAsia="Arial" w:hAnsi="Arial"/>
          <w:sz w:val="20"/>
          <w:szCs w:val="20"/>
        </w:rPr>
        <w:t xml:space="preserve">Date d’émission : 9 mai 2026</w:t>
      </w:r>
    </w:p>
    <w:p>
      <w:r>
        <w:br w:type="page"/>
      </w:r>
    </w:p>
    <w:p>
      <w:pPr>
        <w:pStyle w:val="Heading1"/>
        <w:spacing w:after="200" w:before="360"/>
      </w:pPr>
      <w:r>
        <w:rPr>
          <w:rFonts w:ascii="Arial" w:cs="Arial" w:eastAsia="Arial" w:hAnsi="Arial"/>
          <w:b/>
          <w:bCs/>
          <w:color w:val="0F2A4A"/>
          <w:sz w:val="32"/>
          <w:szCs w:val="32"/>
        </w:rPr>
        <w:t xml:space="preserve">1. Synthèse exécutive</w:t>
      </w:r>
    </w:p>
    <w:p>
      <w:pPr>
        <w:spacing w:after="100" w:before="0"/>
        <w:jc w:val="left"/>
      </w:pPr>
      <w:r>
        <w:rPr>
          <w:rFonts w:ascii="Arial" w:cs="Arial" w:eastAsia="Arial" w:hAnsi="Arial"/>
          <w:b w:val="false"/>
          <w:bCs w:val="false"/>
          <w:i w:val="false"/>
          <w:iCs w:val="false"/>
          <w:color w:val="000000"/>
          <w:sz w:val="22"/>
          <w:szCs w:val="22"/>
        </w:rPr>
        <w:t xml:space="preserve">BYM Construction est l’entreprise de rénovation tous corps d’état du groupe IRIS, codirigée par 3 actionnaires opérationnels. Ce business plan définit la trajectoire 2026 à 2028 permettant d’atteindre, à horizon 4 à 5 ans, l’objectif financier stratégique : permettre à chacun des 3 dirigeants de se verser 30 000 € nets mensuels, soit 360 000 € nets annuels par dirigeant et environ 1 080 000 € nets cumulés.</w:t>
      </w:r>
    </w:p>
    <w:p>
      <w:pPr>
        <w:spacing w:after="100" w:before="100"/>
        <w:jc w:val="left"/>
      </w:pPr>
      <w:r>
        <w:rPr>
          <w:rFonts w:ascii="Arial" w:cs="Arial" w:eastAsia="Arial" w:hAnsi="Arial"/>
          <w:b w:val="false"/>
          <w:bCs w:val="false"/>
          <w:i w:val="false"/>
          <w:iCs w:val="false"/>
          <w:color w:val="000000"/>
          <w:sz w:val="22"/>
          <w:szCs w:val="22"/>
        </w:rPr>
        <w:t xml:space="preserve">Cet objectif requiert un EBITDA après rémunération des dirigeants d’environ 1 000 000 € par an, soit un chiffre d’affaires consolidé cible de 8 000 000 à 10 000 000 €. La trajectoire 2026 à 2028 vise 7 000 000 € de chiffre d’affaires en sortie, avec une atteinte pleine de la cible salariale en 2029.</w:t>
      </w:r>
    </w:p>
    <w:p>
      <w:pPr>
        <w:pStyle w:val="Heading3"/>
        <w:spacing w:after="100" w:before="200"/>
      </w:pPr>
      <w:r>
        <w:rPr>
          <w:rFonts w:ascii="Arial" w:cs="Arial" w:eastAsia="Arial" w:hAnsi="Arial"/>
          <w:b/>
          <w:bCs/>
          <w:color w:val="B8945A"/>
          <w:sz w:val="22"/>
          <w:szCs w:val="22"/>
        </w:rPr>
        <w:t xml:space="preserve">Trajectoire 3 ans en bref</w:t>
      </w:r>
    </w:p>
    <w:p>
      <w:pPr>
        <w:spacing w:after="100" w:before="0"/>
        <w:jc w:val="left"/>
      </w:pPr>
      <w:r>
        <w:rPr>
          <w:rFonts w:ascii="Arial" w:cs="Arial" w:eastAsia="Arial" w:hAnsi="Arial"/>
          <w:b w:val="false"/>
          <w:bCs w:val="false"/>
          <w:i w:val="false"/>
          <w:iCs w:val="false"/>
          <w:color w:val="000000"/>
          <w:sz w:val="22"/>
          <w:szCs w:val="22"/>
        </w:rPr>
        <w:t xml:space="preserve">2026 : chiffre d’affaires 2 000 000 €, EBITDA 140 000 €, résultat net 109 250 €.</w:t>
      </w:r>
    </w:p>
    <w:p>
      <w:pPr>
        <w:spacing w:after="100" w:before="0"/>
        <w:jc w:val="left"/>
      </w:pPr>
      <w:r>
        <w:rPr>
          <w:rFonts w:ascii="Arial" w:cs="Arial" w:eastAsia="Arial" w:hAnsi="Arial"/>
          <w:b w:val="false"/>
          <w:bCs w:val="false"/>
          <w:i w:val="false"/>
          <w:iCs w:val="false"/>
          <w:color w:val="000000"/>
          <w:sz w:val="22"/>
          <w:szCs w:val="22"/>
        </w:rPr>
        <w:t xml:space="preserve">2027 : chiffre d’affaires 4 000 000 €, EBITDA 480 000 €, résultat net 364 250 €.</w:t>
      </w:r>
    </w:p>
    <w:p>
      <w:pPr>
        <w:spacing w:after="100" w:before="0"/>
        <w:jc w:val="left"/>
      </w:pPr>
      <w:r>
        <w:rPr>
          <w:rFonts w:ascii="Arial" w:cs="Arial" w:eastAsia="Arial" w:hAnsi="Arial"/>
          <w:b w:val="false"/>
          <w:bCs w:val="false"/>
          <w:i w:val="false"/>
          <w:iCs w:val="false"/>
          <w:color w:val="000000"/>
          <w:sz w:val="22"/>
          <w:szCs w:val="22"/>
        </w:rPr>
        <w:t xml:space="preserve">2028 : chiffre d’affaires 7 000 000 €, EBITDA 995 000 €, résultat net 750 500 €.</w:t>
      </w:r>
    </w:p>
    <w:p>
      <w:pPr>
        <w:pStyle w:val="Heading3"/>
        <w:spacing w:after="100" w:before="200"/>
      </w:pPr>
      <w:r>
        <w:rPr>
          <w:rFonts w:ascii="Arial" w:cs="Arial" w:eastAsia="Arial" w:hAnsi="Arial"/>
          <w:b/>
          <w:bCs/>
          <w:color w:val="B8945A"/>
          <w:sz w:val="22"/>
          <w:szCs w:val="22"/>
        </w:rPr>
        <w:t xml:space="preserve">Stratégie en 3 briques séquentielles</w:t>
      </w:r>
    </w:p>
    <w:p>
      <w:pPr>
        <w:spacing w:after="100" w:before="0"/>
        <w:jc w:val="left"/>
      </w:pPr>
      <w:r>
        <w:rPr>
          <w:rFonts w:ascii="Arial" w:cs="Arial" w:eastAsia="Arial" w:hAnsi="Arial"/>
          <w:b w:val="false"/>
          <w:bCs w:val="false"/>
          <w:i w:val="false"/>
          <w:iCs w:val="false"/>
          <w:color w:val="000000"/>
          <w:sz w:val="22"/>
          <w:szCs w:val="22"/>
        </w:rPr>
        <w:t xml:space="preserve">Brique A en 2026, consolidation rénovation résidentielle TCE en CVL et IDF Sud.</w:t>
      </w:r>
    </w:p>
    <w:p>
      <w:pPr>
        <w:spacing w:after="100" w:before="0"/>
        <w:jc w:val="left"/>
      </w:pPr>
      <w:r>
        <w:rPr>
          <w:rFonts w:ascii="Arial" w:cs="Arial" w:eastAsia="Arial" w:hAnsi="Arial"/>
          <w:b w:val="false"/>
          <w:bCs w:val="false"/>
          <w:i w:val="false"/>
          <w:iCs w:val="false"/>
          <w:color w:val="000000"/>
          <w:sz w:val="22"/>
          <w:szCs w:val="22"/>
        </w:rPr>
        <w:t xml:space="preserve">Brique B en 2027 et 2028, montée en rénovation tertiaire et capex IRIS REP Asset Services.</w:t>
      </w:r>
    </w:p>
    <w:p>
      <w:pPr>
        <w:spacing w:after="100" w:before="0"/>
        <w:jc w:val="left"/>
      </w:pPr>
      <w:r>
        <w:rPr>
          <w:rFonts w:ascii="Arial" w:cs="Arial" w:eastAsia="Arial" w:hAnsi="Arial"/>
          <w:b w:val="false"/>
          <w:bCs w:val="false"/>
          <w:i w:val="false"/>
          <w:iCs w:val="false"/>
          <w:color w:val="000000"/>
          <w:sz w:val="22"/>
          <w:szCs w:val="22"/>
        </w:rPr>
        <w:t xml:space="preserve">Brique C à partir de 2028, marchés publics et chantiers d’ampleur.</w:t>
      </w:r>
    </w:p>
    <w:p>
      <w:pPr>
        <w:pStyle w:val="Heading1"/>
        <w:spacing w:after="200" w:before="360"/>
      </w:pPr>
      <w:r>
        <w:rPr>
          <w:rFonts w:ascii="Arial" w:cs="Arial" w:eastAsia="Arial" w:hAnsi="Arial"/>
          <w:b/>
          <w:bCs/>
          <w:color w:val="0F2A4A"/>
          <w:sz w:val="32"/>
          <w:szCs w:val="32"/>
        </w:rPr>
        <w:t xml:space="preserve">2. État actuel BYM au 9 mai 2026</w:t>
      </w:r>
    </w:p>
    <w:p>
      <w:pPr>
        <w:pStyle w:val="Heading3"/>
        <w:spacing w:after="100" w:before="200"/>
      </w:pPr>
      <w:r>
        <w:rPr>
          <w:rFonts w:ascii="Arial" w:cs="Arial" w:eastAsia="Arial" w:hAnsi="Arial"/>
          <w:b/>
          <w:bCs/>
          <w:color w:val="B8945A"/>
          <w:sz w:val="22"/>
          <w:szCs w:val="22"/>
        </w:rPr>
        <w:t xml:space="preserve">Activité en production</w:t>
      </w:r>
    </w:p>
    <w:p>
      <w:pPr>
        <w:spacing w:after="100" w:before="0"/>
        <w:jc w:val="left"/>
      </w:pPr>
      <w:r>
        <w:rPr>
          <w:rFonts w:ascii="Arial" w:cs="Arial" w:eastAsia="Arial" w:hAnsi="Arial"/>
          <w:b w:val="false"/>
          <w:bCs w:val="false"/>
          <w:i w:val="false"/>
          <w:iCs w:val="false"/>
          <w:color w:val="000000"/>
          <w:sz w:val="22"/>
          <w:szCs w:val="22"/>
        </w:rPr>
        <w:t xml:space="preserve">3 chantiers résidentiels en cours, montants respectifs 100 000 €, 300 000 € et 500 000 €, soit 900 000 € de carnet en production.</w:t>
      </w:r>
    </w:p>
    <w:p>
      <w:pPr>
        <w:spacing w:after="100" w:before="0"/>
        <w:jc w:val="left"/>
      </w:pPr>
      <w:r>
        <w:rPr>
          <w:rFonts w:ascii="Arial" w:cs="Arial" w:eastAsia="Arial" w:hAnsi="Arial"/>
          <w:b w:val="false"/>
          <w:bCs w:val="false"/>
          <w:i w:val="false"/>
          <w:iCs w:val="false"/>
          <w:color w:val="000000"/>
          <w:sz w:val="22"/>
          <w:szCs w:val="22"/>
        </w:rPr>
        <w:t xml:space="preserve">Chiffre d’affaires 2025 réalisé : 500 000 €. Pipeline 2026 déjà signé : 1 000 000 €, soit la moitié de la cible 2026 déjà sécurisée.</w:t>
      </w:r>
    </w:p>
    <w:p>
      <w:pPr>
        <w:pStyle w:val="Heading3"/>
        <w:spacing w:after="100" w:before="200"/>
      </w:pPr>
      <w:r>
        <w:rPr>
          <w:rFonts w:ascii="Arial" w:cs="Arial" w:eastAsia="Arial" w:hAnsi="Arial"/>
          <w:b/>
          <w:bCs/>
          <w:color w:val="B8945A"/>
          <w:sz w:val="22"/>
          <w:szCs w:val="22"/>
        </w:rPr>
        <w:t xml:space="preserve">Effectif</w:t>
      </w:r>
    </w:p>
    <w:p>
      <w:pPr>
        <w:spacing w:after="100" w:before="0"/>
        <w:jc w:val="left"/>
      </w:pPr>
      <w:r>
        <w:rPr>
          <w:rFonts w:ascii="Arial" w:cs="Arial" w:eastAsia="Arial" w:hAnsi="Arial"/>
          <w:b w:val="false"/>
          <w:bCs w:val="false"/>
          <w:i w:val="false"/>
          <w:iCs w:val="false"/>
          <w:color w:val="000000"/>
          <w:sz w:val="22"/>
          <w:szCs w:val="22"/>
        </w:rPr>
        <w:t xml:space="preserve">8 personnes au total : 6 compagnons (maçon, manœuvre, électricien, plombier), 1 chef de chantier, 1 conducteur de travaux. Pas de recours à l’intérim. Sous traitance ponctuelle.</w:t>
      </w:r>
    </w:p>
    <w:p>
      <w:pPr>
        <w:pStyle w:val="Heading3"/>
        <w:spacing w:after="100" w:before="200"/>
      </w:pPr>
      <w:r>
        <w:rPr>
          <w:rFonts w:ascii="Arial" w:cs="Arial" w:eastAsia="Arial" w:hAnsi="Arial"/>
          <w:b/>
          <w:bCs/>
          <w:color w:val="B8945A"/>
          <w:sz w:val="22"/>
          <w:szCs w:val="22"/>
        </w:rPr>
        <w:t xml:space="preserve">Cadre réglementaire en place</w:t>
      </w:r>
    </w:p>
    <w:p>
      <w:pPr>
        <w:spacing w:after="100" w:before="0"/>
        <w:jc w:val="left"/>
      </w:pPr>
      <w:r>
        <w:rPr>
          <w:rFonts w:ascii="Arial" w:cs="Arial" w:eastAsia="Arial" w:hAnsi="Arial"/>
          <w:b w:val="false"/>
          <w:bCs w:val="false"/>
          <w:i w:val="false"/>
          <w:iCs w:val="false"/>
          <w:color w:val="000000"/>
          <w:sz w:val="22"/>
          <w:szCs w:val="22"/>
        </w:rPr>
        <w:t xml:space="preserve">Qualification entreprise portée par 1 CAP. Assurances en place : Responsabilité Civile Décennale et Responsabilité Civile Professionnelle (compagnie à reconfirmer, mention orale Sénal). Pas encore de RGE, objectif d’obtention 2026.</w:t>
      </w:r>
    </w:p>
    <w:p>
      <w:pPr>
        <w:pStyle w:val="Heading3"/>
        <w:spacing w:after="100" w:before="200"/>
      </w:pPr>
      <w:r>
        <w:rPr>
          <w:rFonts w:ascii="Arial" w:cs="Arial" w:eastAsia="Arial" w:hAnsi="Arial"/>
          <w:b/>
          <w:bCs/>
          <w:color w:val="B8945A"/>
          <w:sz w:val="22"/>
          <w:szCs w:val="22"/>
        </w:rPr>
        <w:t xml:space="preserve">Partenaires</w:t>
      </w:r>
    </w:p>
    <w:p>
      <w:pPr>
        <w:spacing w:after="100" w:before="0"/>
        <w:jc w:val="left"/>
      </w:pPr>
      <w:r>
        <w:rPr>
          <w:rFonts w:ascii="Arial" w:cs="Arial" w:eastAsia="Arial" w:hAnsi="Arial"/>
          <w:b w:val="false"/>
          <w:bCs w:val="false"/>
          <w:i w:val="false"/>
          <w:iCs w:val="false"/>
          <w:color w:val="000000"/>
          <w:sz w:val="22"/>
          <w:szCs w:val="22"/>
        </w:rPr>
        <w:t xml:space="preserve">Expert comptable : Benjamin Pallaud, cabinet RBA Fondettes. Banque : Qonto. Aucun litige, aucune mise en demeure, aucun contentieux en cours.</w:t>
      </w:r>
    </w:p>
    <w:p>
      <w:pPr>
        <w:pStyle w:val="Heading1"/>
        <w:spacing w:after="200" w:before="360"/>
      </w:pPr>
      <w:r>
        <w:rPr>
          <w:rFonts w:ascii="Arial" w:cs="Arial" w:eastAsia="Arial" w:hAnsi="Arial"/>
          <w:b/>
          <w:bCs/>
          <w:color w:val="0F2A4A"/>
          <w:sz w:val="32"/>
          <w:szCs w:val="32"/>
        </w:rPr>
        <w:t xml:space="preserve">3. Hypothèses structurantes du plan</w:t>
      </w:r>
    </w:p>
    <w:p>
      <w:pPr>
        <w:spacing w:after="100" w:before="0"/>
        <w:jc w:val="left"/>
      </w:pPr>
      <w:r>
        <w:rPr>
          <w:rFonts w:ascii="Arial" w:cs="Arial" w:eastAsia="Arial" w:hAnsi="Arial"/>
          <w:b w:val="false"/>
          <w:bCs w:val="false"/>
          <w:i w:val="false"/>
          <w:iCs w:val="false"/>
          <w:color w:val="000000"/>
          <w:sz w:val="22"/>
          <w:szCs w:val="22"/>
        </w:rPr>
        <w:t xml:space="preserve">Modélisation construite sur les ratios standards d’une entreprise BTP rénovation TCE saine, ajustés pour la trajectoire de montée en gamme :</w:t>
      </w:r>
    </w:p>
    <w:p>
      <w:pPr>
        <w:spacing w:after="100" w:before="80"/>
        <w:jc w:val="left"/>
      </w:pPr>
      <w:r>
        <w:rPr>
          <w:rFonts w:ascii="Arial" w:cs="Arial" w:eastAsia="Arial" w:hAnsi="Arial"/>
          <w:b w:val="false"/>
          <w:bCs w:val="false"/>
          <w:i w:val="false"/>
          <w:iCs w:val="false"/>
          <w:color w:val="000000"/>
          <w:sz w:val="22"/>
          <w:szCs w:val="22"/>
        </w:rPr>
        <w:t xml:space="preserve">Coûts directs (achats matériaux, sous traitance, salaires production) : 70 % du chiffre d’affaires en 2026 et 2027, 68 % en 2028 avec la montée en marges sur les chantiers tertiaires.</w:t>
      </w:r>
    </w:p>
    <w:p>
      <w:pPr>
        <w:spacing w:after="100" w:before="80"/>
        <w:jc w:val="left"/>
      </w:pPr>
      <w:r>
        <w:rPr>
          <w:rFonts w:ascii="Arial" w:cs="Arial" w:eastAsia="Arial" w:hAnsi="Arial"/>
          <w:b w:val="false"/>
          <w:bCs w:val="false"/>
          <w:i w:val="false"/>
          <w:iCs w:val="false"/>
          <w:color w:val="000000"/>
          <w:sz w:val="22"/>
          <w:szCs w:val="22"/>
        </w:rPr>
        <w:t xml:space="preserve">Frais de structure (assurances, expert comptable, juridique, informatique, déplacements, locaux, formation) : 11 % du chiffre d’affaires en moyenne, croissance progressive avec les effectifs.</w:t>
      </w:r>
    </w:p>
    <w:p>
      <w:pPr>
        <w:spacing w:after="100" w:before="80"/>
        <w:jc w:val="left"/>
      </w:pPr>
      <w:r>
        <w:rPr>
          <w:rFonts w:ascii="Arial" w:cs="Arial" w:eastAsia="Arial" w:hAnsi="Arial"/>
          <w:b w:val="false"/>
          <w:bCs w:val="false"/>
          <w:i w:val="false"/>
          <w:iCs w:val="false"/>
          <w:color w:val="000000"/>
          <w:sz w:val="22"/>
          <w:szCs w:val="22"/>
        </w:rPr>
        <w:t xml:space="preserve">Rémunération des dirigeants : ratio coût employeur sur net d’environ 1,9 (statut SAS assimilés salariés), montée progressive du net mensuel par dirigeant 3 500 € en 2026, 5 000 € en 2027, 8 000 € en 2028, 10 000 € en 2029.</w:t>
      </w:r>
    </w:p>
    <w:p>
      <w:pPr>
        <w:spacing w:after="100" w:before="80"/>
        <w:jc w:val="left"/>
      </w:pPr>
      <w:r>
        <w:rPr>
          <w:rFonts w:ascii="Arial" w:cs="Arial" w:eastAsia="Arial" w:hAnsi="Arial"/>
          <w:b w:val="false"/>
          <w:bCs w:val="false"/>
          <w:i w:val="false"/>
          <w:iCs w:val="false"/>
          <w:color w:val="000000"/>
          <w:sz w:val="22"/>
          <w:szCs w:val="22"/>
        </w:rPr>
        <w:t xml:space="preserve">Impôt sur les sociétés : taux réduit 15 % sur les premiers 42 500 € de bénéfice imposable, 25 % au delà.</w:t>
      </w:r>
    </w:p>
    <w:p>
      <w:pPr>
        <w:spacing w:after="100" w:before="80"/>
        <w:jc w:val="left"/>
      </w:pPr>
      <w:r>
        <w:rPr>
          <w:rFonts w:ascii="Arial" w:cs="Arial" w:eastAsia="Arial" w:hAnsi="Arial"/>
          <w:b w:val="false"/>
          <w:bCs w:val="false"/>
          <w:i w:val="false"/>
          <w:iCs w:val="false"/>
          <w:color w:val="000000"/>
          <w:sz w:val="22"/>
          <w:szCs w:val="22"/>
        </w:rPr>
        <w:t xml:space="preserve">Délais de paiement : DSO clients 60 jours en moyenne, atténué par les acomptes BTP (30 % à la signature, 30 % à mi chantier, 30 % à 80 % d’avancement, 10 % à réception). DPO fournisseurs 45 jours.</w:t>
      </w:r>
    </w:p>
    <w:p>
      <w:r>
        <w:br w:type="page"/>
      </w:r>
    </w:p>
    <w:p>
      <w:pPr>
        <w:pStyle w:val="Heading1"/>
        <w:spacing w:after="200" w:before="360"/>
      </w:pPr>
      <w:r>
        <w:rPr>
          <w:rFonts w:ascii="Arial" w:cs="Arial" w:eastAsia="Arial" w:hAnsi="Arial"/>
          <w:b/>
          <w:bCs/>
          <w:color w:val="0F2A4A"/>
          <w:sz w:val="32"/>
          <w:szCs w:val="32"/>
        </w:rPr>
        <w:t xml:space="preserve">4. Compte de résultat prévisionnel</w:t>
      </w:r>
    </w:p>
    <w:p>
      <w:pPr>
        <w:spacing w:after="100" w:before="0"/>
        <w:jc w:val="left"/>
      </w:pPr>
      <w:r>
        <w:rPr>
          <w:rFonts w:ascii="Arial" w:cs="Arial" w:eastAsia="Arial" w:hAnsi="Arial"/>
          <w:b w:val="false"/>
          <w:bCs w:val="false"/>
          <w:i w:val="false"/>
          <w:iCs w:val="false"/>
          <w:color w:val="000000"/>
          <w:sz w:val="22"/>
          <w:szCs w:val="22"/>
        </w:rPr>
        <w:t xml:space="preserve">Modélisation prévisionnelle 2026 à 2028 par poste clé. Tous les montants sont en euros, hors taxes pour les flux d’exploitation.</w:t>
      </w:r>
    </w:p>
    <w:p>
      <w:pPr>
        <w:spacing w:after="200" w:before="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900"/>
      </w:tblGrid>
      <w:tr>
        <w:trPr>
          <w:tblHeader/>
        </w:trPr>
        <w:tc>
          <w:tcPr>
            <w:tcW w:type="dxa" w:w="37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w:r>
          </w:p>
        </w:tc>
        <w:tc>
          <w:tcPr>
            <w:tcW w:type="dxa" w:w="19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2026</w:t>
            </w:r>
          </w:p>
        </w:tc>
        <w:tc>
          <w:tcPr>
            <w:tcW w:type="dxa" w:w="19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2027</w:t>
            </w:r>
          </w:p>
        </w:tc>
        <w:tc>
          <w:tcPr>
            <w:tcW w:type="dxa" w:w="19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2028</w:t>
            </w:r>
          </w:p>
        </w:tc>
      </w:tr>
      <w:tr>
        <w:tc>
          <w:tcPr>
            <w:tcW w:type="dxa" w:w="3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Chiffre d’affaires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2 000 000 €</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4 000 000 €</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7 000 000 €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Coûts directs (achats, sous traitance, salaires production)</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1 400 000 €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2 800 000 €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4 760 000 €</w:t>
            </w:r>
          </w:p>
        </w:tc>
      </w:tr>
      <w:tr>
        <w:tc>
          <w:tcPr>
            <w:tcW w:type="dxa" w:w="3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Marge brute</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600 000 €</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1 200 000 €</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2 240 000 €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Taux de marge brute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30,0 %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30,0 %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32,0 %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Rémunération des dirigeants chargée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240 000 €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340 000 €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545 000 €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Net mensuel cible par dirigeant</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3 500 €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5 000 €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8 000 €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Frais de structure (assurances, EC, juridique, IT, déplacements)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220 000 €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380 000 €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700 000 €</w:t>
            </w:r>
          </w:p>
        </w:tc>
      </w:tr>
      <w:tr>
        <w:tc>
          <w:tcPr>
            <w:tcW w:type="dxa" w:w="3700"/>
            <w:tcBorders>
              <w:top w:val="single" w:color="BFBFBF" w:sz="4"/>
              <w:left w:val="single" w:color="BFBFBF" w:sz="4"/>
              <w:bottom w:val="single" w:color="BFBFBF" w:sz="4"/>
              <w:right w:val="single" w:color="BFBFBF" w:sz="4"/>
            </w:tcBorders>
            <w:shd w:fill="D9D9D9"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EBITDA</w:t>
            </w:r>
          </w:p>
        </w:tc>
        <w:tc>
          <w:tcPr>
            <w:tcW w:type="dxa" w:w="1900"/>
            <w:tcBorders>
              <w:top w:val="single" w:color="BFBFBF" w:sz="4"/>
              <w:left w:val="single" w:color="BFBFBF" w:sz="4"/>
              <w:bottom w:val="single" w:color="BFBFBF" w:sz="4"/>
              <w:right w:val="single" w:color="BFBFBF" w:sz="4"/>
            </w:tcBorders>
            <w:shd w:fill="D9D9D9"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140 000 €</w:t>
            </w:r>
          </w:p>
        </w:tc>
        <w:tc>
          <w:tcPr>
            <w:tcW w:type="dxa" w:w="1900"/>
            <w:tcBorders>
              <w:top w:val="single" w:color="BFBFBF" w:sz="4"/>
              <w:left w:val="single" w:color="BFBFBF" w:sz="4"/>
              <w:bottom w:val="single" w:color="BFBFBF" w:sz="4"/>
              <w:right w:val="single" w:color="BFBFBF" w:sz="4"/>
            </w:tcBorders>
            <w:shd w:fill="D9D9D9"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480 000 €</w:t>
            </w:r>
          </w:p>
        </w:tc>
        <w:tc>
          <w:tcPr>
            <w:tcW w:type="dxa" w:w="1900"/>
            <w:tcBorders>
              <w:top w:val="single" w:color="BFBFBF" w:sz="4"/>
              <w:left w:val="single" w:color="BFBFBF" w:sz="4"/>
              <w:bottom w:val="single" w:color="BFBFBF" w:sz="4"/>
              <w:right w:val="single" w:color="BFBFBF" w:sz="4"/>
            </w:tcBorders>
            <w:shd w:fill="D9D9D9"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995 000 €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Taux d’EBITDA</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7,0 %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12,0 %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14,2 %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Impôt sur les sociétés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30 750 €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115 750 €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244 500 €</w:t>
            </w:r>
          </w:p>
        </w:tc>
      </w:tr>
      <w:tr>
        <w:tc>
          <w:tcPr>
            <w:tcW w:type="dxa" w:w="37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Résultat net</w:t>
            </w:r>
          </w:p>
        </w:tc>
        <w:tc>
          <w:tcPr>
            <w:tcW w:type="dxa" w:w="19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109 250 €</w:t>
            </w:r>
          </w:p>
        </w:tc>
        <w:tc>
          <w:tcPr>
            <w:tcW w:type="dxa" w:w="19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364 250 €</w:t>
            </w:r>
          </w:p>
        </w:tc>
        <w:tc>
          <w:tcPr>
            <w:tcW w:type="dxa" w:w="19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750 500 €</w:t>
            </w:r>
          </w:p>
        </w:tc>
      </w:tr>
    </w:tbl>
    <w:p>
      <w:pPr>
        <w:pStyle w:val="Heading3"/>
        <w:spacing w:after="100" w:before="200"/>
      </w:pPr>
      <w:r>
        <w:rPr>
          <w:rFonts w:ascii="Arial" w:cs="Arial" w:eastAsia="Arial" w:hAnsi="Arial"/>
          <w:b/>
          <w:bCs/>
          <w:color w:val="B8945A"/>
          <w:sz w:val="22"/>
          <w:szCs w:val="22"/>
        </w:rPr>
        <w:t xml:space="preserve">Lecture clé</w:t>
      </w:r>
    </w:p>
    <w:p>
      <w:pPr>
        <w:spacing w:after="100" w:before="0"/>
        <w:jc w:val="left"/>
      </w:pPr>
      <w:r>
        <w:rPr>
          <w:rFonts w:ascii="Arial" w:cs="Arial" w:eastAsia="Arial" w:hAnsi="Arial"/>
          <w:b w:val="false"/>
          <w:bCs w:val="false"/>
          <w:i w:val="false"/>
          <w:iCs w:val="false"/>
          <w:color w:val="000000"/>
          <w:sz w:val="22"/>
          <w:szCs w:val="22"/>
        </w:rPr>
        <w:t xml:space="preserve">La marge brute progresse de 30 % à 32 % entre 2026 et 2028, traduisant la montée en gamme vers le tertiaire et l’amélioration des conditions d’achat liée au volume.</w:t>
      </w:r>
    </w:p>
    <w:p>
      <w:pPr>
        <w:spacing w:after="100" w:before="0"/>
        <w:jc w:val="left"/>
      </w:pPr>
      <w:r>
        <w:rPr>
          <w:rFonts w:ascii="Arial" w:cs="Arial" w:eastAsia="Arial" w:hAnsi="Arial"/>
          <w:b w:val="false"/>
          <w:bCs w:val="false"/>
          <w:i w:val="false"/>
          <w:iCs w:val="false"/>
          <w:color w:val="000000"/>
          <w:sz w:val="22"/>
          <w:szCs w:val="22"/>
        </w:rPr>
        <w:t xml:space="preserve">Le taux d’EBITDA passe de 7 % à 14,2 %, porté par l’effet de levier opérationnel (les frais de structure progressent moins vite que le chiffre d’affaires).</w:t>
      </w:r>
    </w:p>
    <w:p>
      <w:pPr>
        <w:spacing w:after="100" w:before="0"/>
        <w:jc w:val="left"/>
      </w:pPr>
      <w:r>
        <w:rPr>
          <w:rFonts w:ascii="Arial" w:cs="Arial" w:eastAsia="Arial" w:hAnsi="Arial"/>
          <w:b w:val="false"/>
          <w:bCs w:val="false"/>
          <w:i w:val="false"/>
          <w:iCs w:val="false"/>
          <w:color w:val="000000"/>
          <w:sz w:val="22"/>
          <w:szCs w:val="22"/>
        </w:rPr>
        <w:t xml:space="preserve">La rémunération des dirigeants reste modérée en début de période pour préserver la capacité d’autofinancement et la montée en charge BFR.</w:t>
      </w:r>
    </w:p>
    <w:p>
      <w:r>
        <w:br w:type="page"/>
      </w:r>
    </w:p>
    <w:p>
      <w:pPr>
        <w:pStyle w:val="Heading1"/>
        <w:spacing w:after="200" w:before="360"/>
      </w:pPr>
      <w:r>
        <w:rPr>
          <w:rFonts w:ascii="Arial" w:cs="Arial" w:eastAsia="Arial" w:hAnsi="Arial"/>
          <w:b/>
          <w:bCs/>
          <w:color w:val="0F2A4A"/>
          <w:sz w:val="32"/>
          <w:szCs w:val="32"/>
        </w:rPr>
        <w:t xml:space="preserve">5. Plan de trésorerie</w:t>
      </w:r>
    </w:p>
    <w:p>
      <w:pPr>
        <w:spacing w:after="100" w:before="0"/>
        <w:jc w:val="left"/>
      </w:pPr>
      <w:r>
        <w:rPr>
          <w:rFonts w:ascii="Arial" w:cs="Arial" w:eastAsia="Arial" w:hAnsi="Arial"/>
          <w:b w:val="false"/>
          <w:bCs w:val="false"/>
          <w:i w:val="false"/>
          <w:iCs w:val="false"/>
          <w:color w:val="000000"/>
          <w:sz w:val="22"/>
          <w:szCs w:val="22"/>
        </w:rPr>
        <w:t xml:space="preserve">Le tableau ci dessous intègre les variations de besoin en fonds de roulement liées à la croissance forte du chiffre d’affaires (multiplication par 3,5 en 3 ans). La position de trésorerie de début 2026 est une hypothèse à valider avec Benjamin Pallaud (banque Qonto).</w:t>
      </w:r>
    </w:p>
    <w:p>
      <w:pPr>
        <w:spacing w:after="200" w:before="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900"/>
      </w:tblGrid>
      <w:tr>
        <w:trPr>
          <w:tblHeader/>
        </w:trPr>
        <w:tc>
          <w:tcPr>
            <w:tcW w:type="dxa" w:w="37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w:r>
          </w:p>
        </w:tc>
        <w:tc>
          <w:tcPr>
            <w:tcW w:type="dxa" w:w="19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2026</w:t>
            </w:r>
          </w:p>
        </w:tc>
        <w:tc>
          <w:tcPr>
            <w:tcW w:type="dxa" w:w="19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2027</w:t>
            </w:r>
          </w:p>
        </w:tc>
        <w:tc>
          <w:tcPr>
            <w:tcW w:type="dxa" w:w="19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2028</w:t>
            </w:r>
          </w:p>
        </w:tc>
      </w:tr>
      <w:tr>
        <w:tc>
          <w:tcPr>
            <w:tcW w:type="dxa" w:w="3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Trésorerie début de période (hypothèse)</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100 000 €</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70 000 €</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320 000 €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Encaissements clients (95 % du CA, acomptes BTP)</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1 900 000 €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3 800 000 €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6 650 000 €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Décaissements achats et sous traitance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1 350 000 €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2 700 000 €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4 590 000 €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Décaissements salaires charges sociales production</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390 000 €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780 000 €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1 240 000 €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Décaissements REM dirigeants chargée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240 000 €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340 000 €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545 000 €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Décaissements frais de structure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220 000 €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380 000 €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700 000 €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Impôt sur les sociétés payé</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30 750 €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115 750 €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Investissements ponctuels (RGE, formations, courtage, outillage)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15 000 €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20 000 €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50 000 €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Variation du besoin en fonds de roulement</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180 000 €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160 000 €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200 000 €</w:t>
            </w:r>
          </w:p>
        </w:tc>
      </w:tr>
      <w:tr>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Variation nette de trésorerie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moins 495 000 €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plus 250 000 €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right"/>
            </w:pPr>
            <w:r>
              <w:rPr>
                <w:rFonts w:ascii="Arial" w:cs="Arial" w:eastAsia="Arial" w:hAnsi="Arial"/>
                <w:b w:val="false"/>
                <w:bCs w:val="false"/>
                <w:color w:val="000000"/>
                <w:sz w:val="19"/>
                <w:szCs w:val="19"/>
              </w:rPr>
              <w:t xml:space="preserve">plus 1 050 000 €</w:t>
            </w:r>
          </w:p>
        </w:tc>
      </w:tr>
      <w:tr>
        <w:tc>
          <w:tcPr>
            <w:tcW w:type="dxa" w:w="3700"/>
            <w:tcBorders>
              <w:top w:val="single" w:color="BFBFBF" w:sz="4"/>
              <w:left w:val="single" w:color="BFBFBF" w:sz="4"/>
              <w:bottom w:val="single" w:color="BFBFBF" w:sz="4"/>
              <w:right w:val="single" w:color="BFBFBF" w:sz="4"/>
            </w:tcBorders>
            <w:shd w:fill="D9D9D9"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Trésorerie fin de période (avant financement BFR)</w:t>
            </w:r>
          </w:p>
        </w:tc>
        <w:tc>
          <w:tcPr>
            <w:tcW w:type="dxa" w:w="1900"/>
            <w:tcBorders>
              <w:top w:val="single" w:color="BFBFBF" w:sz="4"/>
              <w:left w:val="single" w:color="BFBFBF" w:sz="4"/>
              <w:bottom w:val="single" w:color="BFBFBF" w:sz="4"/>
              <w:right w:val="single" w:color="BFBFBF" w:sz="4"/>
            </w:tcBorders>
            <w:shd w:fill="D9D9D9"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moins 395 000 €</w:t>
            </w:r>
          </w:p>
        </w:tc>
        <w:tc>
          <w:tcPr>
            <w:tcW w:type="dxa" w:w="1900"/>
            <w:tcBorders>
              <w:top w:val="single" w:color="BFBFBF" w:sz="4"/>
              <w:left w:val="single" w:color="BFBFBF" w:sz="4"/>
              <w:bottom w:val="single" w:color="BFBFBF" w:sz="4"/>
              <w:right w:val="single" w:color="BFBFBF" w:sz="4"/>
            </w:tcBorders>
            <w:shd w:fill="D9D9D9"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320 000 €</w:t>
            </w:r>
          </w:p>
        </w:tc>
        <w:tc>
          <w:tcPr>
            <w:tcW w:type="dxa" w:w="1900"/>
            <w:tcBorders>
              <w:top w:val="single" w:color="BFBFBF" w:sz="4"/>
              <w:left w:val="single" w:color="BFBFBF" w:sz="4"/>
              <w:bottom w:val="single" w:color="BFBFBF" w:sz="4"/>
              <w:right w:val="single" w:color="BFBFBF" w:sz="4"/>
            </w:tcBorders>
            <w:shd w:fill="D9D9D9"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1 370 000 €</w:t>
            </w:r>
          </w:p>
        </w:tc>
      </w:tr>
      <w:tr>
        <w:tc>
          <w:tcPr>
            <w:tcW w:type="dxa" w:w="37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Financement BFR nécessaire (affacturage ou ligne court terme)</w:t>
            </w:r>
          </w:p>
        </w:tc>
        <w:tc>
          <w:tcPr>
            <w:tcW w:type="dxa" w:w="19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500 000 €</w:t>
            </w:r>
          </w:p>
        </w:tc>
        <w:tc>
          <w:tcPr>
            <w:tcW w:type="dxa" w:w="19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0 €</w:t>
            </w:r>
          </w:p>
        </w:tc>
        <w:tc>
          <w:tcPr>
            <w:tcW w:type="dxa" w:w="1900"/>
            <w:tcBorders>
              <w:top w:val="single" w:color="BFBFBF" w:sz="4"/>
              <w:left w:val="single" w:color="BFBFBF" w:sz="4"/>
              <w:bottom w:val="single" w:color="BFBFBF" w:sz="4"/>
              <w:right w:val="single" w:color="BFBFBF" w:sz="4"/>
            </w:tcBorders>
            <w:shd w:fill="FFE699"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0 €</w:t>
            </w:r>
          </w:p>
        </w:tc>
      </w:tr>
      <w:tr>
        <w:tc>
          <w:tcPr>
            <w:tcW w:type="dxa" w:w="37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left"/>
            </w:pPr>
            <w:r>
              <w:rPr>
                <w:rFonts w:ascii="Arial" w:cs="Arial" w:eastAsia="Arial" w:hAnsi="Arial"/>
                <w:b/>
                <w:bCs/>
                <w:color w:val="000000"/>
                <w:sz w:val="19"/>
                <w:szCs w:val="19"/>
              </w:rPr>
              <w:t xml:space="preserve">Trésorerie fin de période après financement</w:t>
            </w:r>
          </w:p>
        </w:tc>
        <w:tc>
          <w:tcPr>
            <w:tcW w:type="dxa" w:w="19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105 000 €</w:t>
            </w:r>
          </w:p>
        </w:tc>
        <w:tc>
          <w:tcPr>
            <w:tcW w:type="dxa" w:w="19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320 000 €</w:t>
            </w:r>
          </w:p>
        </w:tc>
        <w:tc>
          <w:tcPr>
            <w:tcW w:type="dxa" w:w="1900"/>
            <w:tcBorders>
              <w:top w:val="single" w:color="BFBFBF" w:sz="4"/>
              <w:left w:val="single" w:color="BFBFBF" w:sz="4"/>
              <w:bottom w:val="single" w:color="BFBFBF" w:sz="4"/>
              <w:right w:val="single" w:color="BFBFBF" w:sz="4"/>
            </w:tcBorders>
            <w:shd w:fill="0F2A4A" w:val="clear"/>
            <w:tcMar>
              <w:top w:type="dxa" w:w="100"/>
              <w:left w:type="dxa" w:w="140"/>
              <w:bottom w:type="dxa" w:w="100"/>
              <w:right w:type="dxa" w:w="140"/>
            </w:tcMar>
            <w:vAlign w:val="center"/>
          </w:tcPr>
          <w:p>
            <w:pPr>
              <w:jc w:val="right"/>
            </w:pPr>
            <w:r>
              <w:rPr>
                <w:rFonts w:ascii="Arial" w:cs="Arial" w:eastAsia="Arial" w:hAnsi="Arial"/>
                <w:b/>
                <w:bCs/>
                <w:color w:val="000000"/>
                <w:sz w:val="19"/>
                <w:szCs w:val="19"/>
              </w:rPr>
              <w:t xml:space="preserve">1 370 000 €</w:t>
            </w:r>
          </w:p>
        </w:tc>
      </w:tr>
    </w:tbl>
    <w:p>
      <w:pPr>
        <w:pStyle w:val="Heading3"/>
        <w:spacing w:after="100" w:before="200"/>
      </w:pPr>
      <w:r>
        <w:rPr>
          <w:rFonts w:ascii="Arial" w:cs="Arial" w:eastAsia="Arial" w:hAnsi="Arial"/>
          <w:b/>
          <w:bCs/>
          <w:color w:val="B8945A"/>
          <w:sz w:val="22"/>
          <w:szCs w:val="22"/>
        </w:rPr>
        <w:t xml:space="preserve">Point clé sur le besoin en fonds de roulement 2026</w:t>
      </w:r>
    </w:p>
    <w:p>
      <w:pPr>
        <w:spacing w:after="100" w:before="0"/>
        <w:jc w:val="left"/>
      </w:pPr>
      <w:r>
        <w:rPr>
          <w:rFonts w:ascii="Arial" w:cs="Arial" w:eastAsia="Arial" w:hAnsi="Arial"/>
          <w:b w:val="false"/>
          <w:bCs w:val="false"/>
          <w:i w:val="false"/>
          <w:iCs w:val="false"/>
          <w:color w:val="000000"/>
          <w:sz w:val="22"/>
          <w:szCs w:val="22"/>
        </w:rPr>
        <w:t xml:space="preserve">La montée du chiffre d’affaires de 500 000 € à 2 000 000 € en un exercice crée un besoin de financement BFR estimé à environ 500 000 € sur l’exercice 2026. 4 leviers à mobiliser, classés par ordre de priorité :</w:t>
      </w:r>
    </w:p>
    <w:p>
      <w:pPr>
        <w:spacing w:after="100" w:before="0"/>
        <w:jc w:val="left"/>
      </w:pPr>
      <w:r>
        <w:rPr>
          <w:rFonts w:ascii="Arial" w:cs="Arial" w:eastAsia="Arial" w:hAnsi="Arial"/>
          <w:b w:val="false"/>
          <w:bCs w:val="false"/>
          <w:i w:val="false"/>
          <w:iCs w:val="false"/>
          <w:color w:val="000000"/>
          <w:sz w:val="22"/>
          <w:szCs w:val="22"/>
        </w:rPr>
        <w:t xml:space="preserve">1. Acomptes clients renforcés : structurer systématiquement les contrats avec acompte 30 % à la signature et appels de fonds par phases. Levier le plus puissant et sans coût financier.</w:t>
      </w:r>
    </w:p>
    <w:p>
      <w:pPr>
        <w:spacing w:after="100" w:before="0"/>
        <w:jc w:val="left"/>
      </w:pPr>
      <w:r>
        <w:rPr>
          <w:rFonts w:ascii="Arial" w:cs="Arial" w:eastAsia="Arial" w:hAnsi="Arial"/>
          <w:b w:val="false"/>
          <w:bCs w:val="false"/>
          <w:i w:val="false"/>
          <w:iCs w:val="false"/>
          <w:color w:val="000000"/>
          <w:sz w:val="22"/>
          <w:szCs w:val="22"/>
        </w:rPr>
        <w:t xml:space="preserve">2. Affacturage chantiers de plus de 100 000 € : céder les factures clients à un factor (Crédit Mutuel, BNP Factor, Eurofactor) pour transformer 60 jours de DSO en encaissement à 7 jours. Coût 1 à 2 % du CA facturé, soit 20 000 à 40 000 € sur l’exercice 2026.</w:t>
      </w:r>
    </w:p>
    <w:p>
      <w:pPr>
        <w:spacing w:after="100" w:before="0"/>
        <w:jc w:val="left"/>
      </w:pPr>
      <w:r>
        <w:rPr>
          <w:rFonts w:ascii="Arial" w:cs="Arial" w:eastAsia="Arial" w:hAnsi="Arial"/>
          <w:b w:val="false"/>
          <w:bCs w:val="false"/>
          <w:i w:val="false"/>
          <w:iCs w:val="false"/>
          <w:color w:val="000000"/>
          <w:sz w:val="22"/>
          <w:szCs w:val="22"/>
        </w:rPr>
        <w:t xml:space="preserve">3. Ligne de crédit court terme négociée Qonto ou banque traditionnelle : viser 200 000 € de découvert autorisé en garantie pour absorber les pics.</w:t>
      </w:r>
    </w:p>
    <w:p>
      <w:pPr>
        <w:spacing w:after="100" w:before="0"/>
        <w:jc w:val="left"/>
      </w:pPr>
      <w:r>
        <w:rPr>
          <w:rFonts w:ascii="Arial" w:cs="Arial" w:eastAsia="Arial" w:hAnsi="Arial"/>
          <w:b w:val="false"/>
          <w:bCs w:val="false"/>
          <w:i w:val="false"/>
          <w:iCs w:val="false"/>
          <w:color w:val="000000"/>
          <w:sz w:val="22"/>
          <w:szCs w:val="22"/>
        </w:rPr>
        <w:t xml:space="preserve">4. Apport en compte courant des associés : Yannis, Vilmar, Junior peuvent apporter ponctuellement, rémunéré au taux maximum déductible (environ 4 % en 2026).</w:t>
      </w:r>
    </w:p>
    <w:p>
      <w:r>
        <w:br w:type="page"/>
      </w:r>
    </w:p>
    <w:p>
      <w:pPr>
        <w:pStyle w:val="Heading1"/>
        <w:spacing w:after="200" w:before="360"/>
      </w:pPr>
      <w:r>
        <w:rPr>
          <w:rFonts w:ascii="Arial" w:cs="Arial" w:eastAsia="Arial" w:hAnsi="Arial"/>
          <w:b/>
          <w:bCs/>
          <w:color w:val="0F2A4A"/>
          <w:sz w:val="32"/>
          <w:szCs w:val="32"/>
        </w:rPr>
        <w:t xml:space="preserve">6. Roadmap stratégique brique par brique</w:t>
      </w:r>
    </w:p>
    <w:p>
      <w:pPr>
        <w:spacing w:after="100" w:before="0"/>
        <w:jc w:val="left"/>
      </w:pPr>
      <w:r>
        <w:rPr>
          <w:rFonts w:ascii="Arial" w:cs="Arial" w:eastAsia="Arial" w:hAnsi="Arial"/>
          <w:b w:val="false"/>
          <w:bCs w:val="false"/>
          <w:i w:val="false"/>
          <w:iCs w:val="false"/>
          <w:color w:val="000000"/>
          <w:sz w:val="22"/>
          <w:szCs w:val="22"/>
        </w:rPr>
        <w:t xml:space="preserve">Méthodologie calée sur le book mentor IRIS REP : chaque brique est traitée comme un palier autonome avec des KPI durs de passage à la brique suivante. Pas de montée en charge sur la brique B sans validation des KPI de la brique A.</w:t>
      </w:r>
    </w:p>
    <w:p>
      <w:pPr>
        <w:pStyle w:val="Heading2"/>
        <w:spacing w:after="140" w:before="240"/>
      </w:pPr>
      <w:r>
        <w:rPr>
          <w:rFonts w:ascii="Arial" w:cs="Arial" w:eastAsia="Arial" w:hAnsi="Arial"/>
          <w:b/>
          <w:bCs/>
          <w:color w:val="0F2A4A"/>
          <w:sz w:val="26"/>
          <w:szCs w:val="26"/>
        </w:rPr>
        <w:t xml:space="preserve">Brique A en 2026 : consolidation résidentielle TCE en CVL et IDF Sud</w:t>
      </w:r>
    </w:p>
    <w:p>
      <w:pPr>
        <w:spacing w:after="100" w:before="0"/>
        <w:jc w:val="left"/>
      </w:pPr>
      <w:r>
        <w:rPr>
          <w:rFonts w:ascii="Arial" w:cs="Arial" w:eastAsia="Arial" w:hAnsi="Arial"/>
          <w:b w:val="false"/>
          <w:bCs w:val="false"/>
          <w:i w:val="false"/>
          <w:iCs w:val="false"/>
          <w:color w:val="000000"/>
          <w:sz w:val="22"/>
          <w:szCs w:val="22"/>
        </w:rPr>
        <w:t xml:space="preserve">Cible volume : 6 à 8 chantiers simultanés, ticket moyen 200 000 à 400 000 €, CA Brique A 2 000 000 €.</w:t>
      </w:r>
    </w:p>
    <w:p>
      <w:pPr>
        <w:spacing w:after="100" w:before="100"/>
        <w:jc w:val="left"/>
      </w:pPr>
      <w:r>
        <w:rPr>
          <w:rFonts w:ascii="Arial" w:cs="Arial" w:eastAsia="Arial" w:hAnsi="Arial"/>
          <w:b/>
          <w:bCs/>
          <w:i w:val="false"/>
          <w:iCs w:val="false"/>
          <w:color w:val="000000"/>
          <w:sz w:val="22"/>
          <w:szCs w:val="22"/>
        </w:rPr>
        <w:t xml:space="preserve">KPI durs de passage à Brique B :</w:t>
      </w:r>
    </w:p>
    <w:p>
      <w:pPr>
        <w:spacing w:after="100" w:before="0"/>
        <w:jc w:val="left"/>
      </w:pPr>
      <w:r>
        <w:rPr>
          <w:rFonts w:ascii="Arial" w:cs="Arial" w:eastAsia="Arial" w:hAnsi="Arial"/>
          <w:b w:val="false"/>
          <w:bCs w:val="false"/>
          <w:i w:val="false"/>
          <w:iCs w:val="false"/>
          <w:color w:val="000000"/>
          <w:sz w:val="22"/>
          <w:szCs w:val="22"/>
        </w:rPr>
        <w:t xml:space="preserve">1. RGE Qualibat acquis sur les 4 corps d’état exercés en interne (gros œuvre, électricité, plomberie chauffage, isolation).</w:t>
      </w:r>
    </w:p>
    <w:p>
      <w:pPr>
        <w:spacing w:after="100" w:before="0"/>
        <w:jc w:val="left"/>
      </w:pPr>
      <w:r>
        <w:rPr>
          <w:rFonts w:ascii="Arial" w:cs="Arial" w:eastAsia="Arial" w:hAnsi="Arial"/>
          <w:b w:val="false"/>
          <w:bCs w:val="false"/>
          <w:i w:val="false"/>
          <w:iCs w:val="false"/>
          <w:color w:val="000000"/>
          <w:sz w:val="22"/>
          <w:szCs w:val="22"/>
        </w:rPr>
        <w:t xml:space="preserve">2. 1 référence tertiaire light signée (commerce ou bureau, ticket moins de 1 000 000 €).</w:t>
      </w:r>
    </w:p>
    <w:p>
      <w:pPr>
        <w:spacing w:after="100" w:before="0"/>
        <w:jc w:val="left"/>
      </w:pPr>
      <w:r>
        <w:rPr>
          <w:rFonts w:ascii="Arial" w:cs="Arial" w:eastAsia="Arial" w:hAnsi="Arial"/>
          <w:b w:val="false"/>
          <w:bCs w:val="false"/>
          <w:i w:val="false"/>
          <w:iCs w:val="false"/>
          <w:color w:val="000000"/>
          <w:sz w:val="22"/>
          <w:szCs w:val="22"/>
        </w:rPr>
        <w:t xml:space="preserve">3. Trésorerie nette équivalente à 6 mois de charges fixes.</w:t>
      </w:r>
    </w:p>
    <w:p>
      <w:pPr>
        <w:spacing w:after="100" w:before="0"/>
        <w:jc w:val="left"/>
      </w:pPr>
      <w:r>
        <w:rPr>
          <w:rFonts w:ascii="Arial" w:cs="Arial" w:eastAsia="Arial" w:hAnsi="Arial"/>
          <w:b w:val="false"/>
          <w:bCs w:val="false"/>
          <w:i w:val="false"/>
          <w:iCs w:val="false"/>
          <w:color w:val="000000"/>
          <w:sz w:val="22"/>
          <w:szCs w:val="22"/>
        </w:rPr>
        <w:t xml:space="preserve">4. Marge brute consolidée minimum 28 %.</w:t>
      </w:r>
    </w:p>
    <w:p>
      <w:pPr>
        <w:pStyle w:val="Heading2"/>
        <w:spacing w:after="140" w:before="240"/>
      </w:pPr>
      <w:r>
        <w:rPr>
          <w:rFonts w:ascii="Arial" w:cs="Arial" w:eastAsia="Arial" w:hAnsi="Arial"/>
          <w:b/>
          <w:bCs/>
          <w:color w:val="0F2A4A"/>
          <w:sz w:val="26"/>
          <w:szCs w:val="26"/>
        </w:rPr>
        <w:t xml:space="preserve">Brique B en 2027 et 2028 : montée tertiaire et capex IRIS REP Asset Services</w:t>
      </w:r>
    </w:p>
    <w:p>
      <w:pPr>
        <w:spacing w:after="100" w:before="0"/>
        <w:jc w:val="left"/>
      </w:pPr>
      <w:r>
        <w:rPr>
          <w:rFonts w:ascii="Arial" w:cs="Arial" w:eastAsia="Arial" w:hAnsi="Arial"/>
          <w:b w:val="false"/>
          <w:bCs w:val="false"/>
          <w:i w:val="false"/>
          <w:iCs w:val="false"/>
          <w:color w:val="000000"/>
          <w:sz w:val="22"/>
          <w:szCs w:val="22"/>
        </w:rPr>
        <w:t xml:space="preserve">Cible volume : 3 à 5 chantiers tertiaires par an, ticket moyen 500 000 à 1 500 000 €, part Brique B représentant 40 % du CA en 2027 puis 60 % en 2028.</w:t>
      </w:r>
    </w:p>
    <w:p>
      <w:pPr>
        <w:spacing w:after="100" w:before="0"/>
        <w:jc w:val="left"/>
      </w:pPr>
      <w:r>
        <w:rPr>
          <w:rFonts w:ascii="Arial" w:cs="Arial" w:eastAsia="Arial" w:hAnsi="Arial"/>
          <w:b w:val="false"/>
          <w:bCs w:val="false"/>
          <w:i w:val="false"/>
          <w:iCs w:val="false"/>
          <w:color w:val="000000"/>
          <w:sz w:val="22"/>
          <w:szCs w:val="22"/>
        </w:rPr>
        <w:t xml:space="preserve">Synergie clé IRIS REP : positionner BYM comme partenaire travaux capex référent de la mission 5 du Pack Full Service Asset Services, viser 1 à 2 portefeuilles tertiaires en CVL en partenariat exclusif.</w:t>
      </w:r>
    </w:p>
    <w:p>
      <w:pPr>
        <w:spacing w:after="100" w:before="100"/>
        <w:jc w:val="left"/>
      </w:pPr>
      <w:r>
        <w:rPr>
          <w:rFonts w:ascii="Arial" w:cs="Arial" w:eastAsia="Arial" w:hAnsi="Arial"/>
          <w:b/>
          <w:bCs/>
          <w:i w:val="false"/>
          <w:iCs w:val="false"/>
          <w:color w:val="000000"/>
          <w:sz w:val="22"/>
          <w:szCs w:val="22"/>
        </w:rPr>
        <w:t xml:space="preserve">KPI durs de passage à Brique C :</w:t>
      </w:r>
    </w:p>
    <w:p>
      <w:pPr>
        <w:spacing w:after="100" w:before="0"/>
        <w:jc w:val="left"/>
      </w:pPr>
      <w:r>
        <w:rPr>
          <w:rFonts w:ascii="Arial" w:cs="Arial" w:eastAsia="Arial" w:hAnsi="Arial"/>
          <w:b w:val="false"/>
          <w:bCs w:val="false"/>
          <w:i w:val="false"/>
          <w:iCs w:val="false"/>
          <w:color w:val="000000"/>
          <w:sz w:val="22"/>
          <w:szCs w:val="22"/>
        </w:rPr>
        <w:t xml:space="preserve">1. Qualibat 1132 ou équivalent supérieur.</w:t>
      </w:r>
    </w:p>
    <w:p>
      <w:pPr>
        <w:spacing w:after="100" w:before="0"/>
        <w:jc w:val="left"/>
      </w:pPr>
      <w:r>
        <w:rPr>
          <w:rFonts w:ascii="Arial" w:cs="Arial" w:eastAsia="Arial" w:hAnsi="Arial"/>
          <w:b w:val="false"/>
          <w:bCs w:val="false"/>
          <w:i w:val="false"/>
          <w:iCs w:val="false"/>
          <w:color w:val="000000"/>
          <w:sz w:val="22"/>
          <w:szCs w:val="22"/>
        </w:rPr>
        <w:t xml:space="preserve">2. 5 références tertiaires livrées.</w:t>
      </w:r>
    </w:p>
    <w:p>
      <w:pPr>
        <w:spacing w:after="100" w:before="0"/>
        <w:jc w:val="left"/>
      </w:pPr>
      <w:r>
        <w:rPr>
          <w:rFonts w:ascii="Arial" w:cs="Arial" w:eastAsia="Arial" w:hAnsi="Arial"/>
          <w:b w:val="false"/>
          <w:bCs w:val="false"/>
          <w:i w:val="false"/>
          <w:iCs w:val="false"/>
          <w:color w:val="000000"/>
          <w:sz w:val="22"/>
          <w:szCs w:val="22"/>
        </w:rPr>
        <w:t xml:space="preserve">3. 1 conducteur travaux senior expérimenté tertiaire recruté.</w:t>
      </w:r>
    </w:p>
    <w:p>
      <w:pPr>
        <w:spacing w:after="100" w:before="0"/>
        <w:jc w:val="left"/>
      </w:pPr>
      <w:r>
        <w:rPr>
          <w:rFonts w:ascii="Arial" w:cs="Arial" w:eastAsia="Arial" w:hAnsi="Arial"/>
          <w:b w:val="false"/>
          <w:bCs w:val="false"/>
          <w:i w:val="false"/>
          <w:iCs w:val="false"/>
          <w:color w:val="000000"/>
          <w:sz w:val="22"/>
          <w:szCs w:val="22"/>
        </w:rPr>
        <w:t xml:space="preserve">4. Capacité financière par chantier portée à 1 000 000 €.</w:t>
      </w:r>
    </w:p>
    <w:p>
      <w:pPr>
        <w:pStyle w:val="Heading2"/>
        <w:spacing w:after="140" w:before="240"/>
      </w:pPr>
      <w:r>
        <w:rPr>
          <w:rFonts w:ascii="Arial" w:cs="Arial" w:eastAsia="Arial" w:hAnsi="Arial"/>
          <w:b/>
          <w:bCs/>
          <w:color w:val="0F2A4A"/>
          <w:sz w:val="26"/>
          <w:szCs w:val="26"/>
        </w:rPr>
        <w:t xml:space="preserve">Brique C en 2028 puis 2029 : marchés publics et chantiers d’ampleur</w:t>
      </w:r>
    </w:p>
    <w:p>
      <w:pPr>
        <w:spacing w:after="100" w:before="0"/>
        <w:jc w:val="left"/>
      </w:pPr>
      <w:r>
        <w:rPr>
          <w:rFonts w:ascii="Arial" w:cs="Arial" w:eastAsia="Arial" w:hAnsi="Arial"/>
          <w:b w:val="false"/>
          <w:bCs w:val="false"/>
          <w:i w:val="false"/>
          <w:iCs w:val="false"/>
          <w:color w:val="000000"/>
          <w:sz w:val="22"/>
          <w:szCs w:val="22"/>
        </w:rPr>
        <w:t xml:space="preserve">Amorçage 2028, plein régime 2029.</w:t>
      </w:r>
    </w:p>
    <w:p>
      <w:pPr>
        <w:spacing w:after="100" w:before="0"/>
        <w:jc w:val="left"/>
      </w:pPr>
      <w:r>
        <w:rPr>
          <w:rFonts w:ascii="Arial" w:cs="Arial" w:eastAsia="Arial" w:hAnsi="Arial"/>
          <w:b w:val="false"/>
          <w:bCs w:val="false"/>
          <w:i w:val="false"/>
          <w:iCs w:val="false"/>
          <w:color w:val="000000"/>
          <w:sz w:val="22"/>
          <w:szCs w:val="22"/>
        </w:rPr>
        <w:t xml:space="preserve">Cible : appels d’offres MAPA 200 000 à 5 000 000 €, premières opérations construction neuve en synergie avec Urban Rise et RIR.</w:t>
      </w:r>
    </w:p>
    <w:p>
      <w:pPr>
        <w:spacing w:after="100" w:before="0"/>
        <w:jc w:val="left"/>
      </w:pPr>
      <w:r>
        <w:rPr>
          <w:rFonts w:ascii="Arial" w:cs="Arial" w:eastAsia="Arial" w:hAnsi="Arial"/>
          <w:b w:val="false"/>
          <w:bCs w:val="false"/>
          <w:i w:val="false"/>
          <w:iCs w:val="false"/>
          <w:color w:val="000000"/>
          <w:sz w:val="22"/>
          <w:szCs w:val="22"/>
        </w:rPr>
        <w:t xml:space="preserve">Prérequis structurants : capacité de cautionnement bancaire, Qualibat niveau haut sur les corps d’état stratégiques, inscription profil acheteur public (PLACE, Maximilien), cellule appel d’offres interne dédiée.</w:t>
      </w:r>
    </w:p>
    <w:p>
      <w:r>
        <w:br w:type="page"/>
      </w:r>
    </w:p>
    <w:p>
      <w:pPr>
        <w:pStyle w:val="Heading1"/>
        <w:spacing w:after="200" w:before="360"/>
      </w:pPr>
      <w:r>
        <w:rPr>
          <w:rFonts w:ascii="Arial" w:cs="Arial" w:eastAsia="Arial" w:hAnsi="Arial"/>
          <w:b/>
          <w:bCs/>
          <w:color w:val="0F2A4A"/>
          <w:sz w:val="32"/>
          <w:szCs w:val="32"/>
        </w:rPr>
        <w:t xml:space="preserve">7. Points bloquants et plan d’action 90 jours</w:t>
      </w:r>
    </w:p>
    <w:p>
      <w:pPr>
        <w:spacing w:after="100" w:before="0"/>
        <w:jc w:val="left"/>
      </w:pPr>
      <w:r>
        <w:rPr>
          <w:rFonts w:ascii="Arial" w:cs="Arial" w:eastAsia="Arial" w:hAnsi="Arial"/>
          <w:b w:val="false"/>
          <w:bCs w:val="false"/>
          <w:i w:val="false"/>
          <w:iCs w:val="false"/>
          <w:color w:val="000000"/>
          <w:sz w:val="22"/>
          <w:szCs w:val="22"/>
        </w:rPr>
        <w:t xml:space="preserve">4 chantiers prioritaires à lancer simultanément dès mai 2026 pour sécuriser la trajectoire 2026.</w:t>
      </w:r>
    </w:p>
    <w:p>
      <w:pPr>
        <w:pStyle w:val="Heading3"/>
        <w:spacing w:after="100" w:before="200"/>
      </w:pPr>
      <w:r>
        <w:rPr>
          <w:rFonts w:ascii="Arial" w:cs="Arial" w:eastAsia="Arial" w:hAnsi="Arial"/>
          <w:b/>
          <w:bCs/>
          <w:color w:val="B8945A"/>
          <w:sz w:val="22"/>
          <w:szCs w:val="22"/>
        </w:rPr>
        <w:t xml:space="preserve">Chantier 1 : RGE Qualibat</w:t>
      </w:r>
    </w:p>
    <w:p>
      <w:pPr>
        <w:spacing w:after="100" w:before="0"/>
        <w:jc w:val="left"/>
      </w:pPr>
      <w:r>
        <w:rPr>
          <w:rFonts w:ascii="Arial" w:cs="Arial" w:eastAsia="Arial" w:hAnsi="Arial"/>
          <w:b w:val="false"/>
          <w:bCs w:val="false"/>
          <w:i w:val="false"/>
          <w:iCs w:val="false"/>
          <w:color w:val="000000"/>
          <w:sz w:val="22"/>
          <w:szCs w:val="22"/>
        </w:rPr>
        <w:t xml:space="preserve">Sans RGE, BYM perd l’accès aux clients particuliers utilisant MaPrimeRénov ou les Certificats d’Économies d’Énergie, soit la majorité du marché résidentiel rénovation énergétique. Démarche à lancer immédiatement.</w:t>
      </w:r>
    </w:p>
    <w:p>
      <w:pPr>
        <w:spacing w:after="100" w:before="0"/>
        <w:jc w:val="left"/>
      </w:pPr>
      <w:r>
        <w:rPr>
          <w:rFonts w:ascii="Arial" w:cs="Arial" w:eastAsia="Arial" w:hAnsi="Arial"/>
          <w:b w:val="false"/>
          <w:bCs w:val="false"/>
          <w:i w:val="false"/>
          <w:iCs w:val="false"/>
          <w:color w:val="000000"/>
          <w:sz w:val="22"/>
          <w:szCs w:val="22"/>
        </w:rPr>
        <w:t xml:space="preserve">Coûts : frais demande initiale 247,50 € HT, mention RGE 42,50 € HT supplémentaires, cotisation annuelle 93,33 € HT par qualification (moins de 5 salariés). Cumul indicatif sur 4 qualifications clés : 1 200 € en frais d’instruction la 1ère année, 1 000 € de cotisations annuelles, plus la formation FEEBAT et RENOPERF (2 500 à 4 000 €).</w:t>
      </w:r>
    </w:p>
    <w:p>
      <w:pPr>
        <w:spacing w:after="100" w:before="0"/>
        <w:jc w:val="left"/>
      </w:pPr>
      <w:r>
        <w:rPr>
          <w:rFonts w:ascii="Arial" w:cs="Arial" w:eastAsia="Arial" w:hAnsi="Arial"/>
          <w:b w:val="false"/>
          <w:bCs w:val="false"/>
          <w:i w:val="false"/>
          <w:iCs w:val="false"/>
          <w:color w:val="000000"/>
          <w:sz w:val="22"/>
          <w:szCs w:val="22"/>
        </w:rPr>
        <w:t xml:space="preserve">Délai d’obtention : 3 à 6 mois selon la qualité du dossier. 2 références chantiers achevés sur les 4 dernières années à fournir, plus les bilans des 2 derniers exercices clos.</w:t>
      </w:r>
    </w:p>
    <w:p>
      <w:pPr>
        <w:pStyle w:val="Heading3"/>
        <w:spacing w:after="100" w:before="200"/>
      </w:pPr>
      <w:r>
        <w:rPr>
          <w:rFonts w:ascii="Arial" w:cs="Arial" w:eastAsia="Arial" w:hAnsi="Arial"/>
          <w:b/>
          <w:bCs/>
          <w:color w:val="B8945A"/>
          <w:sz w:val="22"/>
          <w:szCs w:val="22"/>
        </w:rPr>
        <w:t xml:space="preserve">Chantier 2 : audit et benchmark assurance</w:t>
      </w:r>
    </w:p>
    <w:p>
      <w:pPr>
        <w:spacing w:after="100" w:before="0"/>
        <w:jc w:val="left"/>
      </w:pPr>
      <w:r>
        <w:rPr>
          <w:rFonts w:ascii="Arial" w:cs="Arial" w:eastAsia="Arial" w:hAnsi="Arial"/>
          <w:b w:val="false"/>
          <w:bCs w:val="false"/>
          <w:i w:val="false"/>
          <w:iCs w:val="false"/>
          <w:color w:val="000000"/>
          <w:sz w:val="22"/>
          <w:szCs w:val="22"/>
        </w:rPr>
        <w:t xml:space="preserve">Récupérer le contrat actuel (compagnie à reconfirmer), vérifier le plafond de garantie, les corps d’état couverts, les exclusions. Lancer un benchmark via courtier spécialisé BTP (Cogirisk ou April Pro recommandés) pour préparer le renouvellement avec les remises qualification entreprise et RGE.</w:t>
      </w:r>
    </w:p>
    <w:p>
      <w:pPr>
        <w:spacing w:after="100" w:before="0"/>
        <w:jc w:val="left"/>
      </w:pPr>
      <w:r>
        <w:rPr>
          <w:rFonts w:ascii="Arial" w:cs="Arial" w:eastAsia="Arial" w:hAnsi="Arial"/>
          <w:b w:val="false"/>
          <w:bCs w:val="false"/>
          <w:i w:val="false"/>
          <w:iCs w:val="false"/>
          <w:color w:val="000000"/>
          <w:sz w:val="22"/>
          <w:szCs w:val="22"/>
        </w:rPr>
        <w:t xml:space="preserve">Cible : RC Décennale 4 corps d’état couverts, RC Pro, RC Exploitation, dommages en cours de travaux, dommages environnementaux, protection juridique. Budget annuel cible 2026 : 8 000 à 12 000 € pour CA 2 000 000 €.</w:t>
      </w:r>
    </w:p>
    <w:p>
      <w:pPr>
        <w:pStyle w:val="Heading3"/>
        <w:spacing w:after="100" w:before="200"/>
      </w:pPr>
      <w:r>
        <w:rPr>
          <w:rFonts w:ascii="Arial" w:cs="Arial" w:eastAsia="Arial" w:hAnsi="Arial"/>
          <w:b/>
          <w:bCs/>
          <w:color w:val="B8945A"/>
          <w:sz w:val="22"/>
          <w:szCs w:val="22"/>
        </w:rPr>
        <w:t xml:space="preserve">Chantier 3 : audit social et conformité BTP</w:t>
      </w:r>
    </w:p>
    <w:p>
      <w:pPr>
        <w:spacing w:after="100" w:before="0"/>
        <w:jc w:val="left"/>
      </w:pPr>
      <w:r>
        <w:rPr>
          <w:rFonts w:ascii="Arial" w:cs="Arial" w:eastAsia="Arial" w:hAnsi="Arial"/>
          <w:b w:val="false"/>
          <w:bCs w:val="false"/>
          <w:i w:val="false"/>
          <w:iCs w:val="false"/>
          <w:color w:val="000000"/>
          <w:sz w:val="22"/>
          <w:szCs w:val="22"/>
        </w:rPr>
        <w:t xml:space="preserve">Vérifier la conformité avec la convention collective Bâtiment Ouvriers IDCC 1596 (jusqu’à 10 salariés, applicable aujourd’hui). Préparer la bascule vers IDCC 1597 dès l’embauche du 11e salarié ouvrier.</w:t>
      </w:r>
    </w:p>
    <w:p>
      <w:pPr>
        <w:spacing w:after="100" w:before="0"/>
        <w:jc w:val="left"/>
      </w:pPr>
      <w:r>
        <w:rPr>
          <w:rFonts w:ascii="Arial" w:cs="Arial" w:eastAsia="Arial" w:hAnsi="Arial"/>
          <w:b w:val="false"/>
          <w:bCs w:val="false"/>
          <w:i w:val="false"/>
          <w:iCs w:val="false"/>
          <w:color w:val="000000"/>
          <w:sz w:val="22"/>
          <w:szCs w:val="22"/>
        </w:rPr>
        <w:t xml:space="preserve">Points à vérifier avec Benjamin Pallaud : affiliation CIBTP Centre Ouest pour les chantiers CVL et CIBTP Île de France pour les chantiers IDF, Cartes BTP des 6 compagnons via cartebtp.fr (sanction 2 000 € par salarié non titulaire), prévoyance Pro BTP, prime de vacances, indemnités petits déplacements selon accord régional.</w:t>
      </w:r>
    </w:p>
    <w:p>
      <w:pPr>
        <w:pStyle w:val="Heading3"/>
        <w:spacing w:after="100" w:before="200"/>
      </w:pPr>
      <w:r>
        <w:rPr>
          <w:rFonts w:ascii="Arial" w:cs="Arial" w:eastAsia="Arial" w:hAnsi="Arial"/>
          <w:b/>
          <w:bCs/>
          <w:color w:val="B8945A"/>
          <w:sz w:val="22"/>
          <w:szCs w:val="22"/>
        </w:rPr>
        <w:t xml:space="preserve">Chantier 4 : positionnement mandataire MaPrimeRénov et partenariat CEE</w:t>
      </w:r>
    </w:p>
    <w:p>
      <w:pPr>
        <w:spacing w:after="100" w:before="0"/>
        <w:jc w:val="left"/>
      </w:pPr>
      <w:r>
        <w:rPr>
          <w:rFonts w:ascii="Arial" w:cs="Arial" w:eastAsia="Arial" w:hAnsi="Arial"/>
          <w:b w:val="false"/>
          <w:bCs w:val="false"/>
          <w:i w:val="false"/>
          <w:iCs w:val="false"/>
          <w:color w:val="000000"/>
          <w:sz w:val="22"/>
          <w:szCs w:val="22"/>
        </w:rPr>
        <w:t xml:space="preserve">Dès obtention du RGE, structurer le positionnement de BYM comme mandataire mixte MaPrimeRénov (gestion administrative et perception des fonds). Permet à BYM de percevoir directement la prime à la place du client, fort levé commercial sur le closing.</w:t>
      </w:r>
    </w:p>
    <w:p>
      <w:pPr>
        <w:spacing w:after="100" w:before="0"/>
        <w:jc w:val="left"/>
      </w:pPr>
      <w:r>
        <w:rPr>
          <w:rFonts w:ascii="Arial" w:cs="Arial" w:eastAsia="Arial" w:hAnsi="Arial"/>
          <w:b w:val="false"/>
          <w:bCs w:val="false"/>
          <w:i w:val="false"/>
          <w:iCs w:val="false"/>
          <w:color w:val="000000"/>
          <w:sz w:val="22"/>
          <w:szCs w:val="22"/>
        </w:rPr>
        <w:t xml:space="preserve">En parallèle, identifier un délégataire CEE partenaire (Effy, Hellio, Primesenergie, Ecair, Opera Énergie) pour proposer la prime CEE aux clients dès aujourd’hui, avant même l’obtention du RGE, en déduction du devis. Demande CEE à engager impérativement avant signature des devis.</w:t>
      </w:r>
    </w:p>
    <w:p>
      <w:r>
        <w:br w:type="page"/>
      </w:r>
    </w:p>
    <w:p>
      <w:pPr>
        <w:pStyle w:val="Heading1"/>
        <w:spacing w:after="200" w:before="360"/>
      </w:pPr>
      <w:r>
        <w:rPr>
          <w:rFonts w:ascii="Arial" w:cs="Arial" w:eastAsia="Arial" w:hAnsi="Arial"/>
          <w:b/>
          <w:bCs/>
          <w:color w:val="0F2A4A"/>
          <w:sz w:val="32"/>
          <w:szCs w:val="32"/>
        </w:rPr>
        <w:t xml:space="preserve">8. Indicateurs de pilotage à suivre mensuellement</w:t>
      </w:r>
    </w:p>
    <w:p>
      <w:pPr>
        <w:spacing w:after="100" w:before="0"/>
        <w:jc w:val="left"/>
      </w:pPr>
      <w:r>
        <w:rPr>
          <w:rFonts w:ascii="Arial" w:cs="Arial" w:eastAsia="Arial" w:hAnsi="Arial"/>
          <w:b w:val="false"/>
          <w:bCs w:val="false"/>
          <w:i w:val="false"/>
          <w:iCs w:val="false"/>
          <w:color w:val="000000"/>
          <w:sz w:val="22"/>
          <w:szCs w:val="22"/>
        </w:rPr>
        <w:t xml:space="preserve">Reporting mensuel à mettre en place sur le dashboard IRIS H, onglet Finance, sous onglet BYM.</w:t>
      </w:r>
    </w:p>
    <w:p>
      <w:pPr>
        <w:spacing w:after="100" w:before="0"/>
        <w:jc w:val="left"/>
      </w:pPr>
      <w:r>
        <w:rPr>
          <w:rFonts w:ascii="Arial" w:cs="Arial" w:eastAsia="Arial" w:hAnsi="Arial"/>
          <w:b w:val="false"/>
          <w:bCs w:val="false"/>
          <w:i w:val="false"/>
          <w:iCs w:val="false"/>
          <w:color w:val="000000"/>
          <w:sz w:val="22"/>
          <w:szCs w:val="22"/>
        </w:rPr>
        <w:t xml:space="preserve">Chiffre d’affaires facturé du mois et cumulé année.</w:t>
      </w:r>
    </w:p>
    <w:p>
      <w:pPr>
        <w:spacing w:after="100" w:before="0"/>
        <w:jc w:val="left"/>
      </w:pPr>
      <w:r>
        <w:rPr>
          <w:rFonts w:ascii="Arial" w:cs="Arial" w:eastAsia="Arial" w:hAnsi="Arial"/>
          <w:b w:val="false"/>
          <w:bCs w:val="false"/>
          <w:i w:val="false"/>
          <w:iCs w:val="false"/>
          <w:color w:val="000000"/>
          <w:sz w:val="22"/>
          <w:szCs w:val="22"/>
        </w:rPr>
        <w:t xml:space="preserve">Carnet de commandes signé et carnet en négociation chiffré pondéré par probabilité de signature.</w:t>
      </w:r>
    </w:p>
    <w:p>
      <w:pPr>
        <w:spacing w:after="100" w:before="0"/>
        <w:jc w:val="left"/>
      </w:pPr>
      <w:r>
        <w:rPr>
          <w:rFonts w:ascii="Arial" w:cs="Arial" w:eastAsia="Arial" w:hAnsi="Arial"/>
          <w:b w:val="false"/>
          <w:bCs w:val="false"/>
          <w:i w:val="false"/>
          <w:iCs w:val="false"/>
          <w:color w:val="000000"/>
          <w:sz w:val="22"/>
          <w:szCs w:val="22"/>
        </w:rPr>
        <w:t xml:space="preserve">Marge brute par chantier (suivi via la table chantier_budget Supabase).</w:t>
      </w:r>
    </w:p>
    <w:p>
      <w:pPr>
        <w:spacing w:after="100" w:before="0"/>
        <w:jc w:val="left"/>
      </w:pPr>
      <w:r>
        <w:rPr>
          <w:rFonts w:ascii="Arial" w:cs="Arial" w:eastAsia="Arial" w:hAnsi="Arial"/>
          <w:b w:val="false"/>
          <w:bCs w:val="false"/>
          <w:i w:val="false"/>
          <w:iCs w:val="false"/>
          <w:color w:val="000000"/>
          <w:sz w:val="22"/>
          <w:szCs w:val="22"/>
        </w:rPr>
        <w:t xml:space="preserve">Taux d’occupation des compagnons (heures facturées sur heures travaillées).</w:t>
      </w:r>
    </w:p>
    <w:p>
      <w:pPr>
        <w:spacing w:after="100" w:before="0"/>
        <w:jc w:val="left"/>
      </w:pPr>
      <w:r>
        <w:rPr>
          <w:rFonts w:ascii="Arial" w:cs="Arial" w:eastAsia="Arial" w:hAnsi="Arial"/>
          <w:b w:val="false"/>
          <w:bCs w:val="false"/>
          <w:i w:val="false"/>
          <w:iCs w:val="false"/>
          <w:color w:val="000000"/>
          <w:sz w:val="22"/>
          <w:szCs w:val="22"/>
        </w:rPr>
        <w:t xml:space="preserve">Position de trésorerie hebdomadaire avec projection à 13 semaines.</w:t>
      </w:r>
    </w:p>
    <w:p>
      <w:pPr>
        <w:spacing w:after="100" w:before="0"/>
        <w:jc w:val="left"/>
      </w:pPr>
      <w:r>
        <w:rPr>
          <w:rFonts w:ascii="Arial" w:cs="Arial" w:eastAsia="Arial" w:hAnsi="Arial"/>
          <w:b w:val="false"/>
          <w:bCs w:val="false"/>
          <w:i w:val="false"/>
          <w:iCs w:val="false"/>
          <w:color w:val="000000"/>
          <w:sz w:val="22"/>
          <w:szCs w:val="22"/>
        </w:rPr>
        <w:t xml:space="preserve">État des paiements clients en retard et plan de recouvrement.</w:t>
      </w:r>
    </w:p>
    <w:p>
      <w:pPr>
        <w:spacing w:after="100" w:before="0"/>
        <w:jc w:val="left"/>
      </w:pPr>
      <w:r>
        <w:rPr>
          <w:rFonts w:ascii="Arial" w:cs="Arial" w:eastAsia="Arial" w:hAnsi="Arial"/>
          <w:b w:val="false"/>
          <w:bCs w:val="false"/>
          <w:i w:val="false"/>
          <w:iCs w:val="false"/>
          <w:color w:val="000000"/>
          <w:sz w:val="22"/>
          <w:szCs w:val="22"/>
        </w:rPr>
        <w:t xml:space="preserve">Suivi RGE (étape du dossier Qualibat, formations FEEBAT complétées).</w:t>
      </w:r>
    </w:p>
    <w:p>
      <w:pPr>
        <w:spacing w:after="100" w:before="0"/>
        <w:jc w:val="left"/>
      </w:pPr>
      <w:r>
        <w:rPr>
          <w:rFonts w:ascii="Arial" w:cs="Arial" w:eastAsia="Arial" w:hAnsi="Arial"/>
          <w:b w:val="false"/>
          <w:bCs w:val="false"/>
          <w:i w:val="false"/>
          <w:iCs w:val="false"/>
          <w:color w:val="000000"/>
          <w:sz w:val="22"/>
          <w:szCs w:val="22"/>
        </w:rPr>
        <w:t xml:space="preserve">Nombre de devis MaPrimeRénov et CEE émis et signés.</w:t>
      </w:r>
    </w:p>
    <w:p>
      <w:pPr>
        <w:spacing w:after="100" w:before="600"/>
        <w:jc w:val="center"/>
      </w:pPr>
      <w:r>
        <w:rPr>
          <w:rFonts w:ascii="Arial" w:cs="Arial" w:eastAsia="Arial" w:hAnsi="Arial"/>
          <w:i/>
          <w:iCs/>
          <w:color w:val="808080"/>
          <w:sz w:val="18"/>
          <w:szCs w:val="18"/>
        </w:rPr>
        <w:t xml:space="preserve">Fin du document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A4A"/>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0F2A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B894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BYM Construction - Business Plan 2026 à 2028</dc:title>
  <dc:creator>Yannis Benbaouali</dc:creator>
  <dc:description>Business plan stratégique et financier 3 ans BYM Construction</dc:description>
  <cp:lastModifiedBy>Un-named</cp:lastModifiedBy>
  <cp:revision>1</cp:revision>
  <dcterms:created xsi:type="dcterms:W3CDTF">2026-05-09T21:53:53.144Z</dcterms:created>
  <dcterms:modified xsi:type="dcterms:W3CDTF">2026-05-09T21:53:53.145Z</dcterms:modified>
</cp:coreProperties>
</file>

<file path=docProps/custom.xml><?xml version="1.0" encoding="utf-8"?>
<Properties xmlns="http://schemas.openxmlformats.org/officeDocument/2006/custom-properties" xmlns:vt="http://schemas.openxmlformats.org/officeDocument/2006/docPropsVTypes"/>
</file>